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441284-2024-02622</w:t>
      </w:r>
    </w:p>
    <w:p>
      <w:pPr>
        <w:pStyle w:val="null3"/>
        <w:jc w:val="center"/>
        <w:outlineLvl w:val="3"/>
      </w:pPr>
      <w:r>
        <w:rPr>
          <w:sz w:val="24"/>
          <w:b/>
        </w:rPr>
        <w:t>采购项目编号：</w:t>
      </w:r>
      <w:r>
        <w:rPr>
          <w:sz w:val="24"/>
          <w:b/>
        </w:rPr>
        <w:t>0809-2441SHC3BA03</w:t>
      </w:r>
    </w:p>
    <w:p>
      <w:pPr>
        <w:pStyle w:val="null3"/>
        <w:jc w:val="center"/>
        <w:outlineLvl w:val="3"/>
      </w:pPr>
      <w:r>
        <w:rPr>
          <w:sz w:val="24"/>
          <w:b/>
        </w:rPr>
        <w:t>项目名称：</w:t>
      </w:r>
      <w:r>
        <w:rPr>
          <w:sz w:val="24"/>
          <w:b/>
        </w:rPr>
        <w:t>四会市以县城为重要载体的新型城镇化发展和建设规划项目</w:t>
      </w:r>
    </w:p>
    <w:p>
      <w:pPr>
        <w:pStyle w:val="null3"/>
        <w:jc w:val="center"/>
        <w:outlineLvl w:val="3"/>
      </w:pPr>
      <w:r>
        <w:rPr>
          <w:sz w:val="24"/>
          <w:b/>
        </w:rPr>
        <w:t>采购人：</w:t>
      </w:r>
      <w:r>
        <w:rPr>
          <w:sz w:val="24"/>
          <w:b/>
        </w:rPr>
        <w:t>四会市自然资源局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四会市自然资源局</w:t>
      </w:r>
      <w:r>
        <w:rPr/>
        <w:t>的委托，采用</w:t>
      </w:r>
      <w:r>
        <w:rPr/>
        <w:t>竞争性磋商</w:t>
      </w:r>
      <w:r>
        <w:rPr/>
        <w:t>方式组织采购</w:t>
      </w:r>
      <w:r>
        <w:rPr/>
        <w:t>四会市以县城为重要载体的新型城镇化发展和建设规划项目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四会市以县城为重要载体的新型城镇化发展和建设规划项目</w:t>
      </w:r>
    </w:p>
    <w:p>
      <w:pPr>
        <w:pStyle w:val="null3"/>
        <w:ind w:firstLine="480"/>
      </w:pPr>
      <w:r>
        <w:rPr/>
        <w:t>采购计划编号：</w:t>
      </w:r>
      <w:r>
        <w:rPr/>
        <w:t>441284-2024-02622</w:t>
      </w:r>
    </w:p>
    <w:p>
      <w:pPr>
        <w:pStyle w:val="null3"/>
        <w:ind w:firstLine="480"/>
      </w:pPr>
      <w:r>
        <w:rPr/>
        <w:t>采购项目编号：</w:t>
      </w:r>
      <w:r>
        <w:rPr/>
        <w:t>0809-2441SHC3BA03</w:t>
      </w:r>
    </w:p>
    <w:p>
      <w:pPr>
        <w:pStyle w:val="null3"/>
        <w:ind w:firstLine="480"/>
      </w:pPr>
      <w:r>
        <w:rPr/>
        <w:t>采购方式：</w:t>
      </w:r>
      <w:r>
        <w:rPr/>
        <w:t>竞争性磋商</w:t>
      </w:r>
    </w:p>
    <w:p>
      <w:pPr>
        <w:pStyle w:val="null3"/>
        <w:ind w:firstLine="480"/>
      </w:pPr>
      <w:r>
        <w:rPr/>
        <w:t>预算金额：</w:t>
      </w:r>
      <w:r>
        <w:rPr/>
        <w:t>1,910,000.00</w:t>
      </w:r>
      <w:r>
        <w:rPr/>
        <w:t>元</w:t>
      </w:r>
    </w:p>
    <w:p>
      <w:pPr>
        <w:pStyle w:val="null3"/>
        <w:outlineLvl w:val="3"/>
      </w:pPr>
      <w:r>
        <w:rPr>
          <w:sz w:val="24"/>
          <w:b/>
        </w:rPr>
        <w:t>2.项目内容及需求情况（采购项目技术规格、参数及要求）</w:t>
      </w:r>
    </w:p>
    <w:p>
      <w:pPr>
        <w:pStyle w:val="null3"/>
      </w:pPr>
      <w:r>
        <w:rPr/>
        <w:t>采购包1(四会市以县城为重要载体的新型城镇化发展和建设规划项目):</w:t>
      </w:r>
    </w:p>
    <w:p>
      <w:pPr>
        <w:pStyle w:val="null3"/>
      </w:pPr>
      <w:r>
        <w:rPr/>
        <w:t>采购包预算金额：1,910,000.00元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区域规划和设计服务</w:t>
            </w:r>
          </w:p>
        </w:tc>
        <w:tc>
          <w:tcPr>
            <w:tcW w:type="dxa" w:w="2052"/>
          </w:tcPr>
          <w:p>
            <w:pPr>
              <w:pStyle w:val="null3"/>
            </w:pPr>
            <w:r>
              <w:rPr/>
              <w:t>四会市以县城为重要载体的新型城镇化发展和建设规划项目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1,910,000.00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合同履行期限：完成时间：签订合同之日起1个月内完成。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3）具有良好的商业信誉和健全的财务会计制度：供应商提供以下其中一项有效材料即可：1、填写完整并加盖公章的《附件1：资格条件承诺函》；2、提供2023年度财务状况报告或基本开户行出具的资信证明。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采购包1（四会市以县城为重要载体的新型城镇化发展和建设规划项目）：</w:t>
      </w: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p>
      <w:pPr>
        <w:pStyle w:val="null3"/>
        <w:outlineLvl w:val="3"/>
      </w:pPr>
      <w:r>
        <w:rPr>
          <w:sz w:val="24"/>
          <w:b/>
        </w:rPr>
        <w:t>3.本项目特定的资格要求：</w:t>
      </w:r>
    </w:p>
    <w:p>
      <w:pPr>
        <w:pStyle w:val="null3"/>
      </w:pPr>
      <w:r>
        <w:rPr/>
        <w:t>采购包1（四会市以县城为重要载体的新型城镇化发展和建设规划项目）：</w:t>
      </w:r>
    </w:p>
    <w:p>
      <w:pPr>
        <w:pStyle w:val="null3"/>
      </w:pPr>
      <w:r>
        <w:rPr/>
        <w:t>1)供应商必须具有城乡规划编制甲级资质。(注：若属于因国家资质管理程序，相关资质到期未换证的单位，需提供相关证明资料)</w:t>
      </w:r>
    </w:p>
    <w:p>
      <w:pPr>
        <w:pStyle w:val="null3"/>
      </w:pPr>
      <w:r>
        <w:rPr/>
        <w:t>2)供应商未被列入“信用中国”网站(www.creditchina.gov.cn)“重大税收违法失信主体、政府采购严重违法失信行为记录名单”；未被列入中国执行信息公开网(http://zxgk.court.gov.cn)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r>
        <w:rPr/>
        <w:t>3)单位负责人为同一人或者存在直接控股、 管理关系的不同供应商，不得同时参加本采购项目（或采购包） 投标（响应）。为本项目提供整体设计、规范编制或者项目管理、 监理、检测等服务的供应商，不得再参与本项目投标（响应）。投标（报价）函相关承诺要求内容。</w:t>
      </w:r>
    </w:p>
    <w:p>
      <w:pPr>
        <w:pStyle w:val="null3"/>
      </w:pPr>
      <w:r>
        <w:rPr/>
        <w:t>4)本项目不接受联合体参与投标。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广东华伦招标有限公司网( http://www.gdhualun.com.cn/)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四会市自然资源局</w:t>
      </w:r>
    </w:p>
    <w:p>
      <w:pPr>
        <w:pStyle w:val="null3"/>
        <w:ind w:firstLine="480"/>
      </w:pPr>
      <w:r>
        <w:rPr/>
        <w:t>地址：</w:t>
      </w:r>
      <w:r>
        <w:rPr/>
        <w:t>四会市自然资源局</w:t>
      </w:r>
    </w:p>
    <w:p>
      <w:pPr>
        <w:pStyle w:val="null3"/>
        <w:ind w:firstLine="480"/>
      </w:pPr>
      <w:r>
        <w:rPr/>
        <w:t>联系方式：</w:t>
      </w:r>
      <w:r>
        <w:rPr/>
        <w:t>0758-3267280</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本项目为</w:t>
      </w:r>
      <w:r>
        <w:rPr>
          <w:color w:val="000000"/>
        </w:rPr>
        <w:t>四会市以县城为重要载体的新型城镇化发展和建设规划项目</w:t>
      </w:r>
      <w:r>
        <w:rPr>
          <w:color w:val="000000"/>
        </w:rPr>
        <w:t>。本项目为一个整体，供应商须对本项目进行整体报价，不得分拆报价，且要提供完整的技术及服务资料。本项目最高限价为</w:t>
      </w:r>
      <w:r>
        <w:rPr>
          <w:color w:val="000000"/>
        </w:rPr>
        <w:t>人民币壹佰玖拾壹万元整</w:t>
      </w:r>
      <w:r>
        <w:rPr>
          <w:color w:val="000000"/>
        </w:rPr>
        <w:t>（</w:t>
      </w:r>
      <w:r>
        <w:rPr>
          <w:color w:val="000000"/>
        </w:rPr>
        <w:t>￥1,910,000.00元</w:t>
      </w:r>
      <w:r>
        <w:rPr>
          <w:color w:val="000000"/>
        </w:rPr>
        <w:t>），超出最高限价的投标将被拒绝。</w:t>
      </w:r>
    </w:p>
    <w:p>
      <w:pPr>
        <w:pStyle w:val="null3"/>
      </w:pPr>
      <w:r>
        <w:rPr/>
        <w:t>采购包1（四会市以县城为重要载体的新型城镇化发展和建设规划项目）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完成时间：签订合同之日起1个月内完成。</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1期：支付比例20%,签订合同后10日内提交初步成果，由采购人向市财政主管部门申请支付合同总金额20%的款项。</w:t>
            </w:r>
          </w:p>
          <w:p>
            <w:pPr>
              <w:pStyle w:val="null3"/>
            </w:pPr>
            <w:r>
              <w:rPr/>
              <w:t>2期：支付比例30%,中标人提交专家评审稿，并通过采购人组织的专家评审会后的5日内，由采购人向市财政主管部门申请支付合同总金额30%的款项。</w:t>
            </w:r>
          </w:p>
          <w:p>
            <w:pPr>
              <w:pStyle w:val="null3"/>
            </w:pPr>
            <w:r>
              <w:rPr/>
              <w:t>3期：支付比例30%,中标人提交规委会审议稿，并通过采购人组织的规划委员会后的5日内，由采购人向市财政主管部门申请支付合同总金额30%的款项。</w:t>
            </w:r>
          </w:p>
          <w:p>
            <w:pPr>
              <w:pStyle w:val="null3"/>
            </w:pPr>
            <w:r>
              <w:rPr/>
              <w:t>4期：支付比例20%,中标人提交最终成果，并经采购人报市政府批复后的10日内，由采购人向市财政主管部门申请支付合同总金额20%的款项。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1期：成果取得市政府批复</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其他要求，1、根据国家税务机关的相关管理规定，中标人应在本单位机构所在地开具收款发票，采购人付款前，中标人必须向采购人提供相应款项的发票，收款方、出具发票方、合同乙方均必须与成交供应商名称一致。 2、以上款项的支付均为采购人收到中标人开具同等金额的正式发票之日起5日内。因采购人使用的是财政资金，采购人在约定时间内向政府采购支付部门提出支付申请手续后即视为采购人已经按期履行支付义务，如因政府采购支付部门原因导致支付延迟，不属于违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四会市以县城为重要载体的新型城镇化发展和建设规划项目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1,910,000.00</w:t>
            </w:r>
          </w:p>
        </w:tc>
        <w:tc>
          <w:tcPr>
            <w:tcW w:type="dxa" w:w="933"/>
          </w:tcPr>
          <w:p>
            <w:pPr>
              <w:pStyle w:val="null3"/>
              <w:jc w:val="right"/>
            </w:pPr>
            <w:r>
              <w:rPr/>
              <w:t>1,910,000.00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四会市以县城为重要载体的新型城镇化发展和建设规划项目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color w:val="000000"/>
              </w:rPr>
              <w:t>项目背景：</w:t>
            </w:r>
          </w:p>
          <w:p>
            <w:pPr>
              <w:pStyle w:val="null3"/>
              <w:jc w:val="left"/>
            </w:pPr>
            <w:r>
              <w:rPr>
                <w:color w:val="000000"/>
              </w:rPr>
              <w:t>2024年3月，省“百千万工程”指挥部办公室印发《省委主要领导关于“百千万工程”近期交办任务清单及责任分工》，提出在持续抓好镇村建设的基础上大力推进新型城镇化建设，通过10年左右时间对全省57个县（市）逐批打造、压茬推进、实现全覆盖，全面提升县城综合承载能力，力争到2035年，全省县城城镇化率大幅度提升 ，基本建成各具特色、富有活力、宜居宜业宜游的现代化县城，并提出全省57个县（市）要迅速研究具体落实方案和县城建设规划，2024年启动打造的县（市）于9月底前，其他县（市）于年底前形成方案和规划。</w:t>
            </w:r>
          </w:p>
          <w:p>
            <w:pPr>
              <w:pStyle w:val="null3"/>
              <w:jc w:val="left"/>
            </w:pPr>
            <w:r>
              <w:rPr>
                <w:color w:val="000000"/>
              </w:rPr>
              <w:t>2024年4月，省“百千万工程”指挥部办公室《关于开展首批以县城为重要载体的新型城镇化试点的通知》，明确四会市作为首批试点。</w:t>
            </w:r>
          </w:p>
          <w:p>
            <w:pPr>
              <w:pStyle w:val="null3"/>
              <w:jc w:val="left"/>
            </w:pPr>
            <w:r>
              <w:rPr>
                <w:color w:val="000000"/>
              </w:rPr>
              <w:t>2024年8月，省“百千万工程”指挥部办公室印发《深入推进以县城为重要载体的新型城镇化促进城乡区域协同发展行动方案（第二次征求意见稿）》（以下简称“行动方案”），明确提出以高起点规划引领县城建设，要综合考虑资源禀赋、功能定位、文化特色、发展阶段、财力保障等因素，立足长远高标准编制县城发展和建设规划。</w:t>
            </w:r>
          </w:p>
          <w:p>
            <w:pPr>
              <w:pStyle w:val="null3"/>
            </w:pPr>
            <w:r>
              <w:rPr>
                <w:color w:val="000000"/>
              </w:rPr>
              <w:t>为贯彻落实“行动方案”等相关政策文件要求，完成《省委主要领导关于“百千万工程”近期交办任务清单及责任分工》中关于迅速研究县城建设规划的工作任务，深入实施“百县千镇万村高质量发展工程”，应加快开展《四会市以县城为重要载体的新型城镇化发展和建设规划》编制工作，发挥规划统筹引领作用，提高城镇化发展质量和水平，力争到2027年底初见成效，五年实现新型城镇化建设出现显著变化。</w:t>
            </w:r>
          </w:p>
          <w:p>
            <w:pPr>
              <w:pStyle w:val="null3"/>
            </w:pPr>
          </w:p>
        </w:tc>
      </w:tr>
      <w:tr>
        <w:tc>
          <w:tcPr>
            <w:tcW w:type="dxa" w:w="2076"/>
          </w:tcPr>
          <w:p/>
        </w:tc>
        <w:tc>
          <w:tcPr>
            <w:tcW w:type="dxa" w:w="415"/>
          </w:tcPr>
          <w:p>
            <w:pPr>
              <w:pStyle w:val="null3"/>
            </w:pPr>
            <w:r>
              <w:rPr/>
              <w:t>2</w:t>
            </w:r>
          </w:p>
        </w:tc>
        <w:tc>
          <w:tcPr>
            <w:tcW w:type="dxa" w:w="5814"/>
          </w:tcPr>
          <w:p>
            <w:pPr>
              <w:pStyle w:val="null3"/>
            </w:pPr>
            <w:r>
              <w:rPr>
                <w:color w:val="000000"/>
              </w:rPr>
              <w:t>工作内容：</w:t>
            </w:r>
          </w:p>
          <w:p>
            <w:pPr>
              <w:pStyle w:val="null3"/>
              <w:jc w:val="both"/>
            </w:pPr>
            <w:r>
              <w:rPr>
                <w:color w:val="000000"/>
              </w:rPr>
              <w:t>1.评估发展和建设基础。一是对四会城镇化发展基础进行综合评估，从“城镇化阶段、城镇化动力、城镇化形态、城镇化需求”四大维度，分析四会市新型城镇化的现状特征与面临问题；二是对四会县城发展基本情况进行评估，包括产业发展、绿美休闲、历史文化等建设情况，以及市政基础设施、公服基础设施等方面建设成效和发展短板，明晰四会市新型城镇化的建设。</w:t>
            </w:r>
          </w:p>
          <w:p>
            <w:pPr>
              <w:pStyle w:val="null3"/>
              <w:jc w:val="both"/>
            </w:pPr>
            <w:r>
              <w:rPr>
                <w:color w:val="000000"/>
              </w:rPr>
              <w:t>2.明确发展和建设总体思路。以建设格局特色、富有活力、宜居宜业宜游的现代化县城为目标，以实现高质量发展、高品质生活、高水平治理为导向，明确四会市以县城为重要载体的新型城镇化的总体思路、目标定位，明晰四会市发展和建设指标体系，从规划建设、特色产业、基础设施、公共服务、绿美生态、数字建设、城乡融合等方面提出分项发展目标。</w:t>
            </w:r>
          </w:p>
          <w:p>
            <w:pPr>
              <w:pStyle w:val="null3"/>
              <w:jc w:val="both"/>
            </w:pPr>
            <w:r>
              <w:rPr>
                <w:color w:val="000000"/>
              </w:rPr>
              <w:t>3.优化发展和建设空间格局。一是着眼县域城镇布局，根据人口、土地、资源条件和生态环境承载能力,与全国“两横三纵”以及全省“一核一带一区”区域发展格局相协调,结合全省“百千万工程”综合部署，优化四会市城镇化战略格局,明确四会市城镇等级规模结构和职能体系，建立符合四会实际情况的县镇村联动发展体系。二是聚焦县城发展布局，结合四会城市空间发展战略，提出产城融合、新老融合、城景融合的城市发展格局；三是围绕县城新城开发和城市更新，结合省级历史名城创建、五老空间活化利用、未来社区建设等方面，明确四会县城近期建设项目和行动计划。</w:t>
            </w:r>
          </w:p>
          <w:p>
            <w:pPr>
              <w:pStyle w:val="null3"/>
              <w:jc w:val="both"/>
            </w:pPr>
            <w:r>
              <w:rPr>
                <w:color w:val="000000"/>
              </w:rPr>
              <w:t>4.培育产业发展驱动力。一是开展产业发展现状评估与未来发展态势研究，梳理关键短板与弱项，明确产业发展机遇与未来发展方向；二是壮大特色制造业，聚焦“做精做细传统优势产业”“做大做强·战略·新兴产业”“积极培育新质生产力”等产业发展思路，提出稳链强链补链延链的具体措施；三是提升产业平台，围绕园区“硬软件”建设，细化深化各产业平台扩容提质的主要措施与要素保障内容，保障优质产业空间供给，提升产业平台功能，促进产城融合发展；四是发展特色优势产业，聚焦打造千亿玉器产业集群、全域推进农文旅融合发展等方向；五是打造一批县城特色消费商圈，结合玉器商贸发展以及大型商场，培育一批特色步行街/商圈；提出相应的发展策略与行动计划。</w:t>
            </w:r>
          </w:p>
          <w:p>
            <w:pPr>
              <w:pStyle w:val="null3"/>
              <w:jc w:val="both"/>
            </w:pPr>
            <w:r>
              <w:rPr>
                <w:color w:val="000000"/>
              </w:rPr>
              <w:t>5.提升城镇建设吸引力。一是研究为县城提供多样化公共服务，构建完善的公共服务体系，完善“基础型”公共服务设施，打造“提升型”公共服务设施，培育“特色型”公共服务设施，结合中心城区空间战略导向以及产城融合发展的需求，明确近期建设重点。二是提升县城空间品质和魅力，统筹城市总体风貌，特别是高速/城轨出入口及进入城区的主要道路、滨水空间、历史街区和商圈风貌，打造看得见、摸得着、有欣喜的绿美生态空间，建设魅力人文城市，结合中心城区空间战略导向以及产城融合发展的需求，明确近期建设重点。三是推动城市更新发展，提升县城老小区、老街巷、老厂房、老仓库等五老空间的空间活力，引导老旧小区和旧厂房连片改造，整体性提升老城区的舒适宜居性，结合中心城区空间战略导向以及产城融合发展的需求，明确近期建设重点。</w:t>
            </w:r>
          </w:p>
          <w:p>
            <w:pPr>
              <w:pStyle w:val="null3"/>
              <w:jc w:val="both"/>
            </w:pPr>
            <w:r>
              <w:rPr>
                <w:color w:val="000000"/>
              </w:rPr>
              <w:t>6.提升城镇综合承载能力。一是围绕大城市周边县的试点类型，加强交通体系与广佛肇都市圈深度融合，完善市域快速交通网络，优化中心城区交通体系，改善乡村交通服务条件。二是加强城市市政基础设施建设，加大城市给水、排水、综合管廊建设力度；推进第五代通信基础设施、新能源汽车充电桩、大数据应用平台等新型基础设施建设。结合中心城区空间战略导向以及产城融合发展的需求，明确近期建设重点。</w:t>
            </w:r>
          </w:p>
          <w:p>
            <w:pPr>
              <w:pStyle w:val="null3"/>
              <w:jc w:val="both"/>
            </w:pPr>
            <w:r>
              <w:rPr>
                <w:color w:val="000000"/>
              </w:rPr>
              <w:t>7.开展城镇空间品质提升设计。梳理四会市中心城区目前空间品质存在短板和问题，主要围绕高速/城轨出入口及进入城区的主要道路、滨江廊道等关键节点开展空间品质规划设计引导，为中心城区风貌提升、品质升级和绿美建设提供建设指引，推动四会市中心城区塑品提质。</w:t>
            </w:r>
          </w:p>
          <w:p>
            <w:pPr>
              <w:pStyle w:val="null3"/>
              <w:jc w:val="both"/>
            </w:pPr>
            <w:r>
              <w:rPr>
                <w:color w:val="000000"/>
              </w:rPr>
              <w:t>8.推动城乡融合发展。充分发挥乡镇特别是中心镇联城带乡的作用，围绕中心镇、专业镇、特色镇、普通镇等各类乡镇的建设要点，建立健全城乡均等化公共服务体系，推进城乡教育、卫生、文化、养老服务体系建设，结合县镇村体系，以及中心镇、典型镇等工作部署，明确近期建设重点。</w:t>
            </w:r>
          </w:p>
          <w:p>
            <w:pPr>
              <w:pStyle w:val="null3"/>
              <w:jc w:val="both"/>
            </w:pPr>
            <w:r>
              <w:rPr>
                <w:color w:val="000000"/>
              </w:rPr>
              <w:t>9.汇聚项目，形成一张建设项目表。通过对城市现状建设情况进行实施评估，从特色产业、基础设施、公共服务、数字建设、城乡统筹等方面谋划近期建设项目，形成近期重点实施方案，落实土地规模保障。</w:t>
            </w:r>
          </w:p>
          <w:p>
            <w:pPr>
              <w:pStyle w:val="null3"/>
              <w:jc w:val="both"/>
            </w:pPr>
            <w:r>
              <w:rPr>
                <w:color w:val="000000"/>
              </w:rPr>
              <w:t>10.资金建议，提出项目资金来源。提出项目投融资模式建议。摸清新型城镇化建设重点项目投融资需求，用好各类政策资金、社会资金等。</w:t>
            </w:r>
          </w:p>
          <w:p>
            <w:pPr>
              <w:pStyle w:val="null3"/>
            </w:pPr>
            <w:r>
              <w:rPr>
                <w:color w:val="000000"/>
              </w:rPr>
              <w:t>11.土地保障，形成一张项目布局图。围绕近期建设重点项目，用好自然资源支撑百千万工程的系列政策，提出相应的土地保障和建设落地的指引和建议，同步衔接城镇开发边界优化调整需求、全域土地综合整治方案等。</w:t>
            </w:r>
          </w:p>
          <w:p>
            <w:pPr>
              <w:pStyle w:val="null3"/>
            </w:pPr>
          </w:p>
        </w:tc>
      </w:tr>
      <w:tr>
        <w:tc>
          <w:tcPr>
            <w:tcW w:type="dxa" w:w="2076"/>
          </w:tcPr>
          <w:p/>
        </w:tc>
        <w:tc>
          <w:tcPr>
            <w:tcW w:type="dxa" w:w="415"/>
          </w:tcPr>
          <w:p>
            <w:pPr>
              <w:pStyle w:val="null3"/>
            </w:pPr>
            <w:r>
              <w:rPr/>
              <w:t>3</w:t>
            </w:r>
          </w:p>
        </w:tc>
        <w:tc>
          <w:tcPr>
            <w:tcW w:type="dxa" w:w="5814"/>
          </w:tcPr>
          <w:p>
            <w:pPr>
              <w:pStyle w:val="null3"/>
            </w:pPr>
            <w:r>
              <w:rPr/>
              <w:t>成果内容：</w:t>
            </w:r>
          </w:p>
          <w:p>
            <w:pPr>
              <w:pStyle w:val="null3"/>
            </w:pPr>
            <w:r>
              <w:rPr>
                <w:color w:val="000000"/>
              </w:rPr>
              <w:t>主要包括1份汇报文件和1份说明文件以及相关图集。内容包括建设基础、总体思路、空间格局、产业发展、城市品质、基础设施、节点设计等内容。图集内容包括城市发展格局图、若干分析图、以及若干节点设计效果图。</w:t>
            </w:r>
          </w:p>
        </w:tc>
      </w:tr>
      <w:tr>
        <w:tc>
          <w:tcPr>
            <w:tcW w:type="dxa" w:w="2076"/>
          </w:tcPr>
          <w:p/>
        </w:tc>
        <w:tc>
          <w:tcPr>
            <w:tcW w:type="dxa" w:w="415"/>
          </w:tcPr>
          <w:p>
            <w:pPr>
              <w:pStyle w:val="null3"/>
            </w:pPr>
            <w:r>
              <w:rPr/>
              <w:t>4</w:t>
            </w:r>
          </w:p>
        </w:tc>
        <w:tc>
          <w:tcPr>
            <w:tcW w:type="dxa" w:w="5814"/>
          </w:tcPr>
          <w:p>
            <w:pPr>
              <w:pStyle w:val="null3"/>
            </w:pPr>
            <w:r>
              <w:rPr/>
              <w:t>成果要求：</w:t>
            </w:r>
          </w:p>
          <w:p>
            <w:pPr>
              <w:pStyle w:val="null3"/>
            </w:pPr>
            <w:r>
              <w:rPr>
                <w:color w:val="000000"/>
              </w:rPr>
              <w:t>成果应符合四会市以县城为重要载体的新型城镇化工作要求。成果文件格式分为纸质文件和电子文件（刻录成光盘），其中电子文件格式方面提供pdf或jpg格式，纸质文件为规格为A4（297mm×210mm）或 A3（297mm×420mm）；图件为JPG；汇报演示文件采用PPT格式。</w:t>
            </w:r>
          </w:p>
        </w:tc>
      </w:tr>
      <w:tr>
        <w:tc>
          <w:tcPr>
            <w:tcW w:type="dxa" w:w="2076"/>
          </w:tcPr>
          <w:p/>
        </w:tc>
        <w:tc>
          <w:tcPr>
            <w:tcW w:type="dxa" w:w="415"/>
          </w:tcPr>
          <w:p>
            <w:pPr>
              <w:pStyle w:val="null3"/>
            </w:pPr>
            <w:r>
              <w:rPr/>
              <w:t>5</w:t>
            </w:r>
          </w:p>
        </w:tc>
        <w:tc>
          <w:tcPr>
            <w:tcW w:type="dxa" w:w="5814"/>
          </w:tcPr>
          <w:p>
            <w:pPr>
              <w:pStyle w:val="null3"/>
            </w:pPr>
            <w:r>
              <w:rPr/>
              <w:t>其他：</w:t>
            </w:r>
          </w:p>
          <w:p>
            <w:pPr>
              <w:pStyle w:val="null3"/>
              <w:jc w:val="left"/>
            </w:pPr>
            <w:r>
              <w:rPr>
                <w:color w:val="000000"/>
              </w:rPr>
              <w:t>1.供应商应根据本项目采购需求所列的项目背景、工作内容、成果内容、成果要求等各项要求，在响应文件中编制详细的技术服务方案，内容包括但不限于：评估发展和建设基础、明确发展和建设总体思路、优化发展和建设空间格局、培育产业发展驱动力、提升城镇建设吸引力和城镇综合承载能力、服务保障措施。</w:t>
            </w:r>
          </w:p>
          <w:p>
            <w:pPr>
              <w:pStyle w:val="null3"/>
              <w:jc w:val="both"/>
            </w:pPr>
            <w:r>
              <w:rPr>
                <w:color w:val="000000"/>
              </w:rPr>
              <w:t>2.供应商应配备专业的技术服务团队，并投入本项目的编制服务工作，项目团队人员应具备城乡规划、市政、建筑、景观等相关专业技术能力。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四会市自然资源局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和国家发展改革委调整招标代理服务收费标准(发改价格[2011]534号)的服务类标准收取；2.计费基数：成交通知书中确定的成交总金额；3.计算方法：差额定率累进法；4.缴纳方式：电汇等付款方式；5.缴纳时间：在领取成交通知书前一次性向采购代理机构缴清。</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信用承诺书》的递交，根据肇庆市公共资源交易中心四会分中心的要求，请供应商填写《附件2：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二、其他，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广东华伦招标有限公司网( http://www.gdhualun.com.cn/)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广东华伦招标有限公司网( http://www.gdhualun.com.cn/)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四会市以县城为重要载体的新型城镇化发展和建设规划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采购包1（四会市以县城为重要载体的新型城镇化发展和建设规划项目）：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采购包1（四会市以县城为重要载体的新型城镇化发展和建设规划项目）：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城乡规划资质</w:t>
            </w:r>
          </w:p>
        </w:tc>
        <w:tc>
          <w:tcPr>
            <w:tcW w:type="dxa" w:w="4238"/>
          </w:tcPr>
          <w:p>
            <w:pPr>
              <w:pStyle w:val="null3"/>
            </w:pPr>
            <w:r>
              <w:rPr/>
              <w:t>供应商必须具有城乡规划编制甲级资质。(注：若属于因国家资质管理程序，相关资质到期未换证的单位，需提供相关证明资料)</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投标（响应）。为本项目提供整体设计、规范编制或者项目管理、 监理、检测等服务的供应商，不得再参与本项目投标（响应）。投标（报价）函相关承诺要求内容。</w:t>
            </w:r>
          </w:p>
        </w:tc>
      </w:tr>
      <w:tr>
        <w:tc>
          <w:tcPr>
            <w:tcW w:type="dxa" w:w="890"/>
          </w:tcPr>
          <w:p>
            <w:pPr>
              <w:pStyle w:val="null3"/>
            </w:pPr>
            <w:r>
              <w:rPr/>
              <w:t>9</w:t>
            </w:r>
          </w:p>
        </w:tc>
        <w:tc>
          <w:tcPr>
            <w:tcW w:type="dxa" w:w="3178"/>
          </w:tcPr>
          <w:p>
            <w:pPr>
              <w:pStyle w:val="null3"/>
            </w:pPr>
            <w:r>
              <w:rPr/>
              <w:t>不接受联合体投标</w:t>
            </w:r>
          </w:p>
        </w:tc>
        <w:tc>
          <w:tcPr>
            <w:tcW w:type="dxa" w:w="4238"/>
          </w:tcPr>
          <w:p>
            <w:pPr>
              <w:pStyle w:val="null3"/>
            </w:pPr>
            <w:r>
              <w:rPr/>
              <w:t>本项目不接受联合体参与投标。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tc>
      </w:tr>
    </w:tbl>
    <w:p>
      <w:pPr>
        <w:pStyle w:val="null3"/>
        <w:ind w:firstLine="480"/>
      </w:pPr>
      <w:r>
        <w:rPr/>
        <w:t>表二符合性审查表：</w:t>
      </w:r>
    </w:p>
    <w:p>
      <w:pPr>
        <w:pStyle w:val="null3"/>
      </w:pPr>
      <w:r>
        <w:rPr/>
        <w:t>采购包1（四会市以县城为重要载体的新型城镇化发展和建设规划项目）：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响应承诺函已提交，并符合竞争性磋商文件格式要求。响应文件内容基本完整，无重大错漏，并按要求签署、盖章。</w:t>
            </w:r>
          </w:p>
        </w:tc>
      </w:tr>
      <w:tr>
        <w:tc>
          <w:tcPr>
            <w:tcW w:type="dxa" w:w="890"/>
          </w:tcPr>
          <w:p>
            <w:pPr>
              <w:pStyle w:val="null3"/>
            </w:pPr>
            <w:r>
              <w:rPr/>
              <w:t>2</w:t>
            </w:r>
          </w:p>
        </w:tc>
        <w:tc>
          <w:tcPr>
            <w:tcW w:type="dxa" w:w="3178"/>
          </w:tcPr>
          <w:p>
            <w:pPr>
              <w:pStyle w:val="null3"/>
            </w:pPr>
            <w:r>
              <w:rPr/>
              <w:t>关于报价</w:t>
            </w:r>
          </w:p>
        </w:tc>
        <w:tc>
          <w:tcPr>
            <w:tcW w:type="dxa" w:w="4238"/>
          </w:tcPr>
          <w:p>
            <w:pPr>
              <w:pStyle w:val="null3"/>
            </w:pPr>
            <w:r>
              <w:rPr/>
              <w:t>报价总金额是固定价且是唯一的，未超过本项目采购预算。磋商小组认为响应供应商的报价明显低于其他响应供应商的报价，有可能影响产品质量或者不能诚信履约的，应当要求其在评审现场合理的时间内提供书面说明，必要时提交相关证明材料。</w:t>
            </w:r>
          </w:p>
        </w:tc>
      </w:tr>
      <w:tr>
        <w:tc>
          <w:tcPr>
            <w:tcW w:type="dxa" w:w="890"/>
          </w:tcPr>
          <w:p>
            <w:pPr>
              <w:pStyle w:val="null3"/>
            </w:pPr>
            <w:r>
              <w:rPr/>
              <w:t>3</w:t>
            </w:r>
          </w:p>
        </w:tc>
        <w:tc>
          <w:tcPr>
            <w:tcW w:type="dxa" w:w="3178"/>
          </w:tcPr>
          <w:p>
            <w:pPr>
              <w:pStyle w:val="null3"/>
            </w:pPr>
            <w:r>
              <w:rPr/>
              <w:t>法定代表人（负责人）证明书及授权委托书（如需委托）</w:t>
            </w:r>
          </w:p>
        </w:tc>
        <w:tc>
          <w:tcPr>
            <w:tcW w:type="dxa" w:w="4238"/>
          </w:tcPr>
          <w:p>
            <w:pPr>
              <w:pStyle w:val="null3"/>
            </w:pPr>
            <w:r>
              <w:rPr/>
              <w:t>法定代表人（负责人）证明书及授权委托书，按竞争性磋商文件对应格式文件签署、盖章。备注：如响应供应商代表为法定代表人的，则无需提交授权书。</w:t>
            </w:r>
          </w:p>
        </w:tc>
      </w:tr>
      <w:tr>
        <w:tc>
          <w:tcPr>
            <w:tcW w:type="dxa" w:w="890"/>
          </w:tcPr>
          <w:p>
            <w:pPr>
              <w:pStyle w:val="null3"/>
            </w:pPr>
            <w:r>
              <w:rPr/>
              <w:t>4</w:t>
            </w:r>
          </w:p>
        </w:tc>
        <w:tc>
          <w:tcPr>
            <w:tcW w:type="dxa" w:w="3178"/>
          </w:tcPr>
          <w:p>
            <w:pPr>
              <w:pStyle w:val="null3"/>
            </w:pPr>
            <w:r>
              <w:rPr/>
              <w:t>报价有效期</w:t>
            </w:r>
          </w:p>
        </w:tc>
        <w:tc>
          <w:tcPr>
            <w:tcW w:type="dxa" w:w="4238"/>
          </w:tcPr>
          <w:p>
            <w:pPr>
              <w:pStyle w:val="null3"/>
            </w:pPr>
            <w:r>
              <w:rPr/>
              <w:t>从提交投标（响应）文件的截止之日起90日历天。</w:t>
            </w:r>
          </w:p>
        </w:tc>
      </w:tr>
      <w:tr>
        <w:tc>
          <w:tcPr>
            <w:tcW w:type="dxa" w:w="890"/>
          </w:tcPr>
          <w:p>
            <w:pPr>
              <w:pStyle w:val="null3"/>
            </w:pPr>
            <w:r>
              <w:rPr/>
              <w:t>5</w:t>
            </w:r>
          </w:p>
        </w:tc>
        <w:tc>
          <w:tcPr>
            <w:tcW w:type="dxa" w:w="3178"/>
          </w:tcPr>
          <w:p>
            <w:pPr>
              <w:pStyle w:val="null3"/>
            </w:pPr>
            <w:r>
              <w:rPr/>
              <w:t>满足文件带“★”号条款（如有）</w:t>
            </w:r>
          </w:p>
        </w:tc>
        <w:tc>
          <w:tcPr>
            <w:tcW w:type="dxa" w:w="4238"/>
          </w:tcPr>
          <w:p>
            <w:pPr>
              <w:pStyle w:val="null3"/>
            </w:pPr>
            <w:r>
              <w:rPr/>
              <w:t>满足竞争性磋商文件中带“★”号条款的要求（如有）。</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未含有采购人不可接受的附加条件。</w:t>
            </w:r>
          </w:p>
        </w:tc>
      </w:tr>
      <w:tr>
        <w:tc>
          <w:tcPr>
            <w:tcW w:type="dxa" w:w="890"/>
          </w:tcPr>
          <w:p>
            <w:pPr>
              <w:pStyle w:val="null3"/>
            </w:pPr>
            <w:r>
              <w:rPr/>
              <w:t>7</w:t>
            </w:r>
          </w:p>
        </w:tc>
        <w:tc>
          <w:tcPr>
            <w:tcW w:type="dxa" w:w="3178"/>
          </w:tcPr>
          <w:p>
            <w:pPr>
              <w:pStyle w:val="null3"/>
            </w:pPr>
            <w:r>
              <w:rPr/>
              <w:t>响应无效的情形</w:t>
            </w:r>
          </w:p>
        </w:tc>
        <w:tc>
          <w:tcPr>
            <w:tcW w:type="dxa" w:w="4238"/>
          </w:tcPr>
          <w:p>
            <w:pPr>
              <w:pStyle w:val="null3"/>
            </w:pPr>
            <w:r>
              <w:rPr/>
              <w:t>响应文件中未出现法律、法规和竞争性磋商文件所列的视为响应无效的情形。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采购包1(四会市以县城为重要载体的新型城镇化发展和建设规划项目):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评估发展和建设基础 (10.0分)</w:t>
            </w:r>
            <w:r>
              <w:rPr/>
              <w:t>，（等次分值选择：</w:t>
            </w:r>
            <w:r>
              <w:rPr/>
              <w:t>0.0;</w:t>
            </w:r>
            <w:r>
              <w:rPr/>
              <w:t>2.0;</w:t>
            </w:r>
            <w:r>
              <w:rPr/>
              <w:t>6.0;</w:t>
            </w:r>
            <w:r>
              <w:rPr/>
              <w:t>10.0;</w:t>
            </w:r>
            <w:r>
              <w:rPr/>
              <w:t>）</w:t>
            </w:r>
          </w:p>
        </w:tc>
        <w:tc>
          <w:tcPr>
            <w:tcW w:type="dxa" w:w="5076"/>
          </w:tcPr>
          <w:p>
            <w:pPr>
              <w:pStyle w:val="null3"/>
              <w:jc w:val="left"/>
            </w:pPr>
            <w:r>
              <w:rPr/>
              <w:t>1.响应供应商对政策背景、广东省首批以县城为重要载体的新型城镇化试点县对比分析、现状特征、现状问题的掌握程度把握准确详细，有深入研究，得10分； 2. 响应供应商对政策背景、广东省首批以县城为重要载体的新型城镇化试点县对比分析、现状特征、现状问题的掌握程度把握比较准确详细，有比较深入的研究，得6分； 3. 响应供应商对政策背景、广东省首批以县城为重要载体的新型城镇化试点县对比分析、现状特征、现状问题的掌握程度把握基本准确，有一般程度的研究，得2分； 4.无相关内容不得分。</w:t>
            </w:r>
          </w:p>
        </w:tc>
      </w:tr>
      <w:tr>
        <w:tc>
          <w:tcPr>
            <w:tcW w:type="dxa" w:w="922"/>
            <w:gridSpan w:val="2"/>
            <w:vMerge/>
          </w:tcPr>
          <w:p/>
        </w:tc>
        <w:tc>
          <w:tcPr>
            <w:tcW w:type="dxa" w:w="2307"/>
          </w:tcPr>
          <w:p>
            <w:pPr>
              <w:pStyle w:val="null3"/>
              <w:jc w:val="left"/>
            </w:pPr>
            <w:r>
              <w:rPr/>
              <w:t>明确发展和建设总体思路 (10.0分)</w:t>
            </w:r>
            <w:r>
              <w:rPr/>
              <w:t>，（等次分值选择：</w:t>
            </w:r>
            <w:r>
              <w:rPr/>
              <w:t>0.0;</w:t>
            </w:r>
            <w:r>
              <w:rPr/>
              <w:t>2.0;</w:t>
            </w:r>
            <w:r>
              <w:rPr/>
              <w:t>6.0;</w:t>
            </w:r>
            <w:r>
              <w:rPr/>
              <w:t>10.0;</w:t>
            </w:r>
            <w:r>
              <w:rPr/>
              <w:t>）</w:t>
            </w:r>
          </w:p>
        </w:tc>
        <w:tc>
          <w:tcPr>
            <w:tcW w:type="dxa" w:w="5076"/>
          </w:tcPr>
          <w:p>
            <w:pPr>
              <w:pStyle w:val="null3"/>
              <w:jc w:val="left"/>
            </w:pPr>
            <w:r>
              <w:rPr/>
              <w:t>1.响应供应商提出的发展定位、发展目标、指标体系等内容科学合理可行的，得10分； 2.响应供应商提出的发展定位、发展目标、指标体系等内容比较合理可行的，得6分； 3.响应供应商提出的发展定位、发展目标、指标体系等内容基本合理可行的，得2分； 4.无相关内容不得分。</w:t>
            </w:r>
          </w:p>
        </w:tc>
      </w:tr>
      <w:tr>
        <w:tc>
          <w:tcPr>
            <w:tcW w:type="dxa" w:w="922"/>
            <w:gridSpan w:val="2"/>
            <w:vMerge/>
          </w:tcPr>
          <w:p/>
        </w:tc>
        <w:tc>
          <w:tcPr>
            <w:tcW w:type="dxa" w:w="2307"/>
          </w:tcPr>
          <w:p>
            <w:pPr>
              <w:pStyle w:val="null3"/>
              <w:jc w:val="left"/>
            </w:pPr>
            <w:r>
              <w:rPr/>
              <w:t>优化发展和建设空间格局 (5.0分)</w:t>
            </w:r>
            <w:r>
              <w:rPr/>
              <w:t>，（等次分值选择：</w:t>
            </w:r>
            <w:r>
              <w:rPr/>
              <w:t>0.0;</w:t>
            </w:r>
            <w:r>
              <w:rPr/>
              <w:t>1.0;</w:t>
            </w:r>
            <w:r>
              <w:rPr/>
              <w:t>3.0;</w:t>
            </w:r>
            <w:r>
              <w:rPr/>
              <w:t>5.0;</w:t>
            </w:r>
            <w:r>
              <w:rPr/>
              <w:t>）</w:t>
            </w:r>
          </w:p>
        </w:tc>
        <w:tc>
          <w:tcPr>
            <w:tcW w:type="dxa" w:w="5076"/>
          </w:tcPr>
          <w:p>
            <w:pPr>
              <w:pStyle w:val="null3"/>
              <w:jc w:val="left"/>
            </w:pPr>
            <w:r>
              <w:rPr/>
              <w:t>1.响应供应商提出的县域城镇格局、县城发展格局等内容科学合理可行的，得5分； 2.响应供应商提出的县域城镇格局、县城发展格局等内容一般合理可行的，得3分； 3.响应供应商提出的县域城镇格局、县城发展格局等内容不够合理可行的，得1分； 4.无相关内容不得分。</w:t>
            </w:r>
          </w:p>
        </w:tc>
      </w:tr>
      <w:tr>
        <w:tc>
          <w:tcPr>
            <w:tcW w:type="dxa" w:w="922"/>
            <w:gridSpan w:val="2"/>
            <w:vMerge/>
          </w:tcPr>
          <w:p/>
        </w:tc>
        <w:tc>
          <w:tcPr>
            <w:tcW w:type="dxa" w:w="2307"/>
          </w:tcPr>
          <w:p>
            <w:pPr>
              <w:pStyle w:val="null3"/>
              <w:jc w:val="left"/>
            </w:pPr>
            <w:r>
              <w:rPr/>
              <w:t>培育产业发展驱动力 (5.0分)</w:t>
            </w:r>
            <w:r>
              <w:rPr/>
              <w:t>，（等次分值选择：</w:t>
            </w:r>
            <w:r>
              <w:rPr/>
              <w:t>0.0;</w:t>
            </w:r>
            <w:r>
              <w:rPr/>
              <w:t>1.0;</w:t>
            </w:r>
            <w:r>
              <w:rPr/>
              <w:t>3.0;</w:t>
            </w:r>
            <w:r>
              <w:rPr/>
              <w:t>5.0;</w:t>
            </w:r>
            <w:r>
              <w:rPr/>
              <w:t>）</w:t>
            </w:r>
          </w:p>
        </w:tc>
        <w:tc>
          <w:tcPr>
            <w:tcW w:type="dxa" w:w="5076"/>
          </w:tcPr>
          <w:p>
            <w:pPr>
              <w:pStyle w:val="null3"/>
              <w:jc w:val="left"/>
            </w:pPr>
            <w:r>
              <w:rPr/>
              <w:t>1.响应供应商提出的产业发展思路等内容完善、合理、具备可行性的，得5分； 2.响应供应商提出的产业发展思路等内容一般完善、具备一般实用性、可行性的，得3分； 3.响应供应商提出的产业发展思路等内容不完善、不具备实用性、可行性的，得1分； 4.无相关内容不得分。</w:t>
            </w:r>
          </w:p>
        </w:tc>
      </w:tr>
      <w:tr>
        <w:tc>
          <w:tcPr>
            <w:tcW w:type="dxa" w:w="922"/>
            <w:gridSpan w:val="2"/>
            <w:vMerge/>
          </w:tcPr>
          <w:p/>
        </w:tc>
        <w:tc>
          <w:tcPr>
            <w:tcW w:type="dxa" w:w="2307"/>
          </w:tcPr>
          <w:p>
            <w:pPr>
              <w:pStyle w:val="null3"/>
              <w:jc w:val="left"/>
            </w:pPr>
            <w:r>
              <w:rPr/>
              <w:t>提升城镇建设吸引力和城镇综合承载能力 (15.0分)</w:t>
            </w:r>
            <w:r>
              <w:rPr/>
              <w:t>，（等次分值选择：</w:t>
            </w:r>
            <w:r>
              <w:rPr/>
              <w:t>0.0;</w:t>
            </w:r>
            <w:r>
              <w:rPr/>
              <w:t>3.0;</w:t>
            </w:r>
            <w:r>
              <w:rPr/>
              <w:t>9.0;</w:t>
            </w:r>
            <w:r>
              <w:rPr/>
              <w:t>15.0;</w:t>
            </w:r>
            <w:r>
              <w:rPr/>
              <w:t>）</w:t>
            </w:r>
          </w:p>
        </w:tc>
        <w:tc>
          <w:tcPr>
            <w:tcW w:type="dxa" w:w="5076"/>
          </w:tcPr>
          <w:p>
            <w:pPr>
              <w:pStyle w:val="null3"/>
              <w:jc w:val="left"/>
            </w:pPr>
            <w:r>
              <w:rPr/>
              <w:t>1.响应供应商提出的公共服务设施、绿美生态建设、城市更新发展以及交通基础设施、市政基础设施等内容等内容完善、合理、具备很高可行性的，得15分； 2.响应供应商提出的公共服务设施、绿美生态建设、城市更新发展以及交通基础设施、市政基础设施等内容等内容比较完善、具备比较高实用性、可行性的，得9分； 3.响应供应商提出的公共服务设施、绿美生态建设、城市更新发展等内容一般完善、具备一般实用性、可行性的，得3分； 4.无相关内容不得分。</w:t>
            </w:r>
          </w:p>
        </w:tc>
      </w:tr>
      <w:tr>
        <w:tc>
          <w:tcPr>
            <w:tcW w:type="dxa" w:w="922"/>
            <w:gridSpan w:val="2"/>
            <w:vMerge/>
          </w:tcPr>
          <w:p/>
        </w:tc>
        <w:tc>
          <w:tcPr>
            <w:tcW w:type="dxa" w:w="2307"/>
          </w:tcPr>
          <w:p>
            <w:pPr>
              <w:pStyle w:val="null3"/>
              <w:jc w:val="left"/>
            </w:pPr>
            <w:r>
              <w:rPr/>
              <w:t>服务保障措施 (5.0分)</w:t>
            </w:r>
            <w:r>
              <w:rPr/>
              <w:t>，（等次分值选择：</w:t>
            </w:r>
            <w:r>
              <w:rPr/>
              <w:t>0.0;</w:t>
            </w:r>
            <w:r>
              <w:rPr/>
              <w:t>1.0;</w:t>
            </w:r>
            <w:r>
              <w:rPr/>
              <w:t>3.0;</w:t>
            </w:r>
            <w:r>
              <w:rPr/>
              <w:t>5.0;</w:t>
            </w:r>
            <w:r>
              <w:rPr/>
              <w:t>）</w:t>
            </w:r>
          </w:p>
        </w:tc>
        <w:tc>
          <w:tcPr>
            <w:tcW w:type="dxa" w:w="5076"/>
          </w:tcPr>
          <w:p>
            <w:pPr>
              <w:pStyle w:val="null3"/>
              <w:jc w:val="left"/>
            </w:pPr>
            <w:r>
              <w:rPr/>
              <w:t>1.根据采购人需求制定服务保障措施，措施切实可行，进度计划、后续服务承诺完全满足采购人需求，得5分； 2.根据采购人需求制定服务保障措施，措施可行，进度计划、后续服务承诺可满足采购人需求，得3分； 3.根据采购人需求制定服务保障措施，措施可行差，进度计划、后续服务承诺基本满足采购人需求，得1分； 4．无相关内容不得分。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(12.0分)</w:t>
            </w:r>
          </w:p>
        </w:tc>
        <w:tc>
          <w:tcPr>
            <w:tcW w:type="dxa" w:w="5076"/>
          </w:tcPr>
          <w:p>
            <w:pPr>
              <w:pStyle w:val="null3"/>
              <w:jc w:val="left"/>
            </w:pPr>
            <w:r>
              <w:rPr/>
              <w:t>自2021年1月1日至递交响应文件截止时间前（以合同签订时间为准），响应供应商承接过的新型城镇化规划及研究类项目业绩：每提供一个，得1.5分，无或其他不得分。本项最高得12分。 以提供的委托合同关键页作为评分依据，复印件并加盖响应供应商公章，没有提供不得分。</w:t>
            </w:r>
          </w:p>
        </w:tc>
      </w:tr>
      <w:tr>
        <w:tc>
          <w:tcPr>
            <w:tcW w:type="dxa" w:w="922"/>
            <w:gridSpan w:val="2"/>
            <w:vMerge/>
          </w:tcPr>
          <w:p/>
        </w:tc>
        <w:tc>
          <w:tcPr>
            <w:tcW w:type="dxa" w:w="2307"/>
          </w:tcPr>
          <w:p>
            <w:pPr>
              <w:pStyle w:val="null3"/>
              <w:jc w:val="left"/>
            </w:pPr>
            <w:r>
              <w:rPr/>
              <w:t>获奖情况 (8.0分)</w:t>
            </w:r>
          </w:p>
        </w:tc>
        <w:tc>
          <w:tcPr>
            <w:tcW w:type="dxa" w:w="5076"/>
          </w:tcPr>
          <w:p>
            <w:pPr>
              <w:pStyle w:val="null3"/>
              <w:jc w:val="left"/>
            </w:pPr>
            <w:r>
              <w:rPr/>
              <w:t>自2021年1月1日至递交响应文件截止时间前（以奖项颁发时间为准），响应供应商完成的城市规划类项目，获得中国城市规划协会颁发的优秀城市规划设计奖：全国一等奖的，每个项目得2分，全国二等奖或全国三等奖的，每个项目得1分。本项最高得8分。 以提供的相关证明材料作为评分依据，复印件并加盖响应供应商公章，没有提供不得分。</w:t>
            </w:r>
          </w:p>
        </w:tc>
      </w:tr>
      <w:tr>
        <w:tc>
          <w:tcPr>
            <w:tcW w:type="dxa" w:w="922"/>
            <w:gridSpan w:val="2"/>
            <w:vMerge/>
          </w:tcPr>
          <w:p/>
        </w:tc>
        <w:tc>
          <w:tcPr>
            <w:tcW w:type="dxa" w:w="2307"/>
          </w:tcPr>
          <w:p>
            <w:pPr>
              <w:pStyle w:val="null3"/>
              <w:jc w:val="left"/>
            </w:pPr>
            <w:r>
              <w:rPr/>
              <w:t>技术服务团队——项目负责人 (10.0分)</w:t>
            </w:r>
          </w:p>
        </w:tc>
        <w:tc>
          <w:tcPr>
            <w:tcW w:type="dxa" w:w="5076"/>
          </w:tcPr>
          <w:p>
            <w:pPr>
              <w:pStyle w:val="null3"/>
              <w:jc w:val="left"/>
            </w:pPr>
            <w:r>
              <w:rPr/>
              <w:t>（1）项目负责人具备注册城乡规划师执业资格证书的，得1分；具备正高级职称的，得2分，具备副高级职称的，得1分。本小项只计一项职称，最高得3分。（2）根据项目负责人自2021年1月1日至递交响应文件截止时间前所参与的规划项目获得的奖项情况进行评审:获得国家级奖项的，每提供一项得2分；获得省级奖项的，每提供一项得1.5分。本项最高得7分。 注:本项目只可设置一名项目负责人。 以提供以下证明材料作为评分依据，复印件并加盖响应供应商公章，没有提供不得分：①上述项目负责人相关有效证书或证明材料；②响应供应商为项目负责人于提交文件截止时间前六个月内任意一个月购买社保的证明材料。</w:t>
            </w:r>
          </w:p>
        </w:tc>
      </w:tr>
      <w:tr>
        <w:tc>
          <w:tcPr>
            <w:tcW w:type="dxa" w:w="922"/>
            <w:gridSpan w:val="2"/>
            <w:vMerge/>
          </w:tcPr>
          <w:p/>
        </w:tc>
        <w:tc>
          <w:tcPr>
            <w:tcW w:type="dxa" w:w="2307"/>
          </w:tcPr>
          <w:p>
            <w:pPr>
              <w:pStyle w:val="null3"/>
              <w:jc w:val="left"/>
            </w:pPr>
            <w:r>
              <w:rPr/>
              <w:t>技术服务团队——专业技术人员（项目负责人除外） (10.0分)</w:t>
            </w:r>
          </w:p>
        </w:tc>
        <w:tc>
          <w:tcPr>
            <w:tcW w:type="dxa" w:w="5076"/>
          </w:tcPr>
          <w:p>
            <w:pPr>
              <w:pStyle w:val="null3"/>
              <w:jc w:val="left"/>
            </w:pPr>
            <w:r>
              <w:rPr/>
              <w:t>具有城乡规划、市政、建筑、景观等相关专业高级及以上职称，每提供一个相关专业高级及以上职称人员得2分，同一人具有不同专业不可累计得分，相同专业最多得4分。本项最高得10分。 以提供以下证明材料作为评分依据，复印件并加盖响应供应商公章，没有提供不得分：①上述专业技术人员相关有效证书；②响应供应商为以上人员于提交文件截止时问前六个月内任意一个月购买社保的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结果按评审后总得分由高到低顺序排列。总得分相同的按报价由低到高顺序排列。评审得分且最终报价相同的，按照技术指标优劣顺序推荐；若未能区分优劣，则由磋商小组成员投票决定，投票按少数服从多数的原则进行，投票时不得弃权。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rPr>
        <w:t>合同登记编号：</w:t>
      </w:r>
    </w:p>
    <w:p>
      <w:pPr>
        <w:pStyle w:val="null3"/>
        <w:jc w:val="center"/>
      </w:pPr>
      <w:r>
        <w:rPr>
          <w:sz w:val="52"/>
        </w:rPr>
        <w:t>技术咨询合同</w:t>
      </w:r>
    </w:p>
    <w:p>
      <w:pPr>
        <w:pStyle w:val="null3"/>
        <w:jc w:val="center"/>
      </w:pPr>
      <w:r>
        <w:rPr>
          <w:sz w:val="30"/>
        </w:rPr>
        <w:t>项目名称：</w:t>
      </w:r>
    </w:p>
    <w:p>
      <w:pPr>
        <w:pStyle w:val="null3"/>
        <w:ind w:left="-285"/>
        <w:jc w:val="both"/>
      </w:pPr>
      <w:r>
        <w:rPr>
          <w:sz w:val="30"/>
        </w:rPr>
        <w:t>委托单位（甲方）：</w:t>
      </w:r>
    </w:p>
    <w:p>
      <w:pPr>
        <w:pStyle w:val="null3"/>
        <w:ind w:left="-285"/>
        <w:jc w:val="both"/>
      </w:pPr>
      <w:r>
        <w:rPr>
          <w:sz w:val="30"/>
        </w:rPr>
        <w:t>承接单位（乙方）：</w:t>
      </w:r>
    </w:p>
    <w:p>
      <w:pPr>
        <w:pStyle w:val="null3"/>
        <w:ind w:left="-285"/>
        <w:jc w:val="both"/>
      </w:pPr>
      <w:r>
        <w:rPr>
          <w:sz w:val="30"/>
        </w:rPr>
        <w:t>签订日期：</w:t>
      </w:r>
    </w:p>
    <w:p>
      <w:pPr>
        <w:pStyle w:val="null3"/>
        <w:jc w:val="center"/>
      </w:pPr>
      <w:r>
        <w:rPr>
          <w:sz w:val="44"/>
        </w:rPr>
        <w:t xml:space="preserve">  </w:t>
      </w:r>
      <w:r>
        <w:rPr>
          <w:sz w:val="44"/>
        </w:rPr>
        <w:t>技术咨询合同</w:t>
      </w:r>
    </w:p>
    <w:p>
      <w:pPr>
        <w:pStyle w:val="null3"/>
      </w:pPr>
      <w:r>
        <w:rPr/>
        <w:t xml:space="preserve"> </w:t>
      </w:r>
    </w:p>
    <w:p>
      <w:pPr>
        <w:pStyle w:val="null3"/>
        <w:jc w:val="center"/>
      </w:pPr>
      <w:r>
        <w:rPr>
          <w:sz w:val="24"/>
        </w:rPr>
        <w:t>委托方（甲方）：</w:t>
      </w:r>
    </w:p>
    <w:p>
      <w:pPr>
        <w:pStyle w:val="null3"/>
        <w:ind w:firstLine="484"/>
        <w:jc w:val="both"/>
      </w:pPr>
      <w:r>
        <w:rPr>
          <w:sz w:val="24"/>
        </w:rPr>
        <w:t>住</w:t>
      </w:r>
      <w:r>
        <w:rPr>
          <w:sz w:val="24"/>
        </w:rPr>
        <w:t xml:space="preserve">  </w:t>
      </w:r>
      <w:r>
        <w:rPr>
          <w:sz w:val="24"/>
        </w:rPr>
        <w:t>所</w:t>
      </w:r>
      <w:r>
        <w:rPr>
          <w:sz w:val="24"/>
        </w:rPr>
        <w:t xml:space="preserve">  </w:t>
      </w:r>
      <w:r>
        <w:rPr>
          <w:sz w:val="24"/>
        </w:rPr>
        <w:t>地：</w:t>
      </w:r>
    </w:p>
    <w:p>
      <w:pPr>
        <w:pStyle w:val="null3"/>
        <w:ind w:firstLine="484"/>
        <w:jc w:val="both"/>
      </w:pPr>
      <w:r>
        <w:rPr>
          <w:sz w:val="24"/>
        </w:rPr>
        <w:t>统一社会信用代码：</w:t>
      </w:r>
    </w:p>
    <w:p>
      <w:pPr>
        <w:pStyle w:val="null3"/>
        <w:ind w:firstLine="484"/>
        <w:jc w:val="both"/>
      </w:pPr>
      <w:r>
        <w:rPr>
          <w:sz w:val="24"/>
        </w:rPr>
        <w:t>法定代表人：</w:t>
      </w:r>
    </w:p>
    <w:p>
      <w:pPr>
        <w:pStyle w:val="null3"/>
        <w:ind w:firstLine="484"/>
        <w:jc w:val="both"/>
      </w:pPr>
      <w:r>
        <w:rPr>
          <w:sz w:val="24"/>
        </w:rPr>
        <w:t>项目负责人：</w:t>
      </w:r>
    </w:p>
    <w:p>
      <w:pPr>
        <w:pStyle w:val="null3"/>
        <w:ind w:firstLine="484"/>
        <w:jc w:val="both"/>
      </w:pPr>
      <w:r>
        <w:rPr>
          <w:sz w:val="24"/>
        </w:rPr>
        <w:t>项目联系人：</w:t>
      </w:r>
    </w:p>
    <w:p>
      <w:pPr>
        <w:pStyle w:val="null3"/>
        <w:ind w:firstLine="484"/>
        <w:jc w:val="both"/>
      </w:pPr>
      <w:r>
        <w:rPr>
          <w:sz w:val="24"/>
        </w:rPr>
        <w:t>通讯地址：</w:t>
      </w:r>
      <w:r>
        <w:rPr>
          <w:sz w:val="21"/>
        </w:rPr>
        <w:t xml:space="preserve">             </w:t>
      </w:r>
      <w:r>
        <w:rPr>
          <w:sz w:val="24"/>
        </w:rPr>
        <w:t>邮</w:t>
      </w:r>
      <w:r>
        <w:rPr>
          <w:sz w:val="24"/>
        </w:rPr>
        <w:t xml:space="preserve">  </w:t>
      </w:r>
      <w:r>
        <w:rPr>
          <w:sz w:val="24"/>
        </w:rPr>
        <w:t>码：</w:t>
      </w:r>
    </w:p>
    <w:p>
      <w:pPr>
        <w:pStyle w:val="null3"/>
        <w:ind w:firstLine="484"/>
        <w:jc w:val="both"/>
      </w:pPr>
      <w:r>
        <w:rPr>
          <w:sz w:val="24"/>
        </w:rPr>
        <w:t>电</w:t>
      </w:r>
      <w:r>
        <w:rPr>
          <w:sz w:val="24"/>
        </w:rPr>
        <w:t xml:space="preserve">    </w:t>
      </w:r>
      <w:r>
        <w:rPr>
          <w:sz w:val="24"/>
        </w:rPr>
        <w:t>话：</w:t>
      </w:r>
      <w:r>
        <w:rPr>
          <w:sz w:val="21"/>
        </w:rPr>
        <w:t xml:space="preserve">             </w:t>
      </w:r>
      <w:r>
        <w:rPr>
          <w:sz w:val="24"/>
        </w:rPr>
        <w:t>传</w:t>
      </w:r>
      <w:r>
        <w:rPr>
          <w:sz w:val="24"/>
        </w:rPr>
        <w:t xml:space="preserve">  </w:t>
      </w:r>
      <w:r>
        <w:rPr>
          <w:sz w:val="24"/>
        </w:rPr>
        <w:t>真：</w:t>
      </w:r>
    </w:p>
    <w:p>
      <w:pPr>
        <w:pStyle w:val="null3"/>
        <w:ind w:firstLine="484"/>
        <w:jc w:val="both"/>
      </w:pPr>
      <w:r>
        <w:rPr>
          <w:sz w:val="24"/>
        </w:rPr>
        <w:t>电</w:t>
      </w:r>
      <w:r>
        <w:rPr>
          <w:sz w:val="24"/>
        </w:rPr>
        <w:t>子</w:t>
      </w:r>
      <w:r>
        <w:rPr>
          <w:sz w:val="24"/>
        </w:rPr>
        <w:t>信</w:t>
      </w:r>
      <w:r>
        <w:rPr>
          <w:sz w:val="24"/>
        </w:rPr>
        <w:t>箱：</w:t>
      </w:r>
    </w:p>
    <w:p>
      <w:pPr>
        <w:pStyle w:val="null3"/>
        <w:jc w:val="both"/>
      </w:pPr>
      <w:r>
        <w:rPr>
          <w:sz w:val="24"/>
        </w:rPr>
        <w:t>受托方（乙方）：</w:t>
      </w:r>
    </w:p>
    <w:p>
      <w:pPr>
        <w:pStyle w:val="null3"/>
        <w:ind w:firstLine="484"/>
        <w:jc w:val="both"/>
      </w:pPr>
      <w:r>
        <w:rPr>
          <w:sz w:val="24"/>
        </w:rPr>
        <w:t>住</w:t>
      </w:r>
      <w:r>
        <w:rPr>
          <w:sz w:val="24"/>
        </w:rPr>
        <w:t xml:space="preserve">  </w:t>
      </w:r>
      <w:r>
        <w:rPr>
          <w:sz w:val="24"/>
        </w:rPr>
        <w:t>所</w:t>
      </w:r>
      <w:r>
        <w:rPr>
          <w:sz w:val="24"/>
        </w:rPr>
        <w:t xml:space="preserve">  </w:t>
      </w:r>
      <w:r>
        <w:rPr>
          <w:sz w:val="24"/>
        </w:rPr>
        <w:t>地：</w:t>
      </w:r>
    </w:p>
    <w:p>
      <w:pPr>
        <w:pStyle w:val="null3"/>
        <w:ind w:firstLine="484"/>
        <w:jc w:val="both"/>
      </w:pPr>
      <w:r>
        <w:rPr>
          <w:sz w:val="24"/>
        </w:rPr>
        <w:t>统一社会信用代码：</w:t>
      </w:r>
    </w:p>
    <w:p>
      <w:pPr>
        <w:pStyle w:val="null3"/>
        <w:ind w:firstLine="484"/>
        <w:jc w:val="both"/>
      </w:pPr>
      <w:r>
        <w:rPr>
          <w:sz w:val="24"/>
        </w:rPr>
        <w:t>法定代表人：</w:t>
      </w:r>
    </w:p>
    <w:p>
      <w:pPr>
        <w:pStyle w:val="null3"/>
        <w:ind w:firstLine="484"/>
        <w:jc w:val="both"/>
      </w:pPr>
      <w:r>
        <w:rPr>
          <w:sz w:val="24"/>
        </w:rPr>
        <w:t>项目负责人：</w:t>
      </w:r>
    </w:p>
    <w:p>
      <w:pPr>
        <w:pStyle w:val="null3"/>
        <w:ind w:firstLine="484"/>
        <w:jc w:val="both"/>
      </w:pPr>
      <w:r>
        <w:rPr>
          <w:sz w:val="24"/>
        </w:rPr>
        <w:t>项目联系人：</w:t>
      </w:r>
    </w:p>
    <w:p>
      <w:pPr>
        <w:pStyle w:val="null3"/>
        <w:ind w:firstLine="484"/>
        <w:jc w:val="both"/>
      </w:pPr>
      <w:r>
        <w:rPr>
          <w:sz w:val="24"/>
        </w:rPr>
        <w:t>通讯地址：</w:t>
      </w:r>
      <w:r>
        <w:rPr>
          <w:sz w:val="21"/>
        </w:rPr>
        <w:t xml:space="preserve">             </w:t>
      </w:r>
      <w:r>
        <w:rPr>
          <w:sz w:val="24"/>
        </w:rPr>
        <w:t>邮</w:t>
      </w:r>
      <w:r>
        <w:rPr>
          <w:sz w:val="24"/>
        </w:rPr>
        <w:t xml:space="preserve">  </w:t>
      </w:r>
      <w:r>
        <w:rPr>
          <w:sz w:val="24"/>
        </w:rPr>
        <w:t>码：</w:t>
      </w:r>
    </w:p>
    <w:p>
      <w:pPr>
        <w:pStyle w:val="null3"/>
        <w:ind w:firstLine="484"/>
        <w:jc w:val="both"/>
      </w:pPr>
      <w:r>
        <w:rPr>
          <w:sz w:val="24"/>
        </w:rPr>
        <w:t>电</w:t>
      </w:r>
      <w:r>
        <w:rPr>
          <w:sz w:val="24"/>
        </w:rPr>
        <w:t xml:space="preserve">    </w:t>
      </w:r>
      <w:r>
        <w:rPr>
          <w:sz w:val="24"/>
        </w:rPr>
        <w:t>话：</w:t>
      </w:r>
      <w:r>
        <w:rPr>
          <w:sz w:val="21"/>
        </w:rPr>
        <w:t xml:space="preserve">             </w:t>
      </w:r>
      <w:r>
        <w:rPr>
          <w:sz w:val="24"/>
        </w:rPr>
        <w:t>传</w:t>
      </w:r>
      <w:r>
        <w:rPr>
          <w:sz w:val="24"/>
        </w:rPr>
        <w:t xml:space="preserve">  </w:t>
      </w:r>
      <w:r>
        <w:rPr>
          <w:sz w:val="24"/>
        </w:rPr>
        <w:t>真：</w:t>
      </w:r>
    </w:p>
    <w:p>
      <w:pPr>
        <w:pStyle w:val="null3"/>
        <w:ind w:firstLine="480"/>
        <w:jc w:val="both"/>
      </w:pPr>
      <w:r>
        <w:rPr>
          <w:sz w:val="24"/>
        </w:rPr>
        <w:t>电</w:t>
      </w:r>
      <w:r>
        <w:rPr>
          <w:sz w:val="24"/>
        </w:rPr>
        <w:t>子</w:t>
      </w:r>
      <w:r>
        <w:rPr>
          <w:sz w:val="24"/>
        </w:rPr>
        <w:t>信</w:t>
      </w:r>
      <w:r>
        <w:rPr>
          <w:sz w:val="24"/>
        </w:rPr>
        <w:t>箱：</w:t>
      </w:r>
    </w:p>
    <w:p>
      <w:pPr>
        <w:pStyle w:val="null3"/>
      </w:pPr>
      <w:r>
        <w:rPr>
          <w:sz w:val="24"/>
        </w:rPr>
        <w:t>根据《中华人民共和国</w:t>
      </w:r>
      <w:r>
        <w:rPr>
          <w:sz w:val="24"/>
        </w:rPr>
        <w:t>民法典</w:t>
      </w:r>
      <w:r>
        <w:rPr>
          <w:sz w:val="24"/>
        </w:rPr>
        <w:t>》及</w:t>
      </w:r>
      <w:r>
        <w:rPr>
          <w:sz w:val="24"/>
          <w:u w:val="single"/>
        </w:rPr>
        <w:t>XX</w:t>
      </w:r>
      <w:r>
        <w:rPr>
          <w:sz w:val="24"/>
        </w:rPr>
        <w:t>年</w:t>
      </w:r>
      <w:r>
        <w:rPr>
          <w:sz w:val="24"/>
          <w:u w:val="single"/>
        </w:rPr>
        <w:t>XX</w:t>
      </w:r>
      <w:r>
        <w:rPr>
          <w:sz w:val="24"/>
        </w:rPr>
        <w:t>月</w:t>
      </w:r>
      <w:r>
        <w:rPr>
          <w:sz w:val="24"/>
          <w:u w:val="single"/>
        </w:rPr>
        <w:t>XX</w:t>
      </w:r>
      <w:r>
        <w:rPr>
          <w:sz w:val="24"/>
        </w:rPr>
        <w:t>日</w:t>
      </w:r>
      <w:r>
        <w:rPr>
          <w:sz w:val="24"/>
        </w:rPr>
        <w:t>广东省政府采购网</w:t>
      </w:r>
      <w:r>
        <w:rPr>
          <w:sz w:val="24"/>
        </w:rPr>
        <w:t>XX项目的中标结果</w:t>
      </w:r>
      <w:r>
        <w:rPr>
          <w:sz w:val="24"/>
        </w:rPr>
        <w:t>，在真实、充分地表达各自意愿的基础上，经双方协商一致，签订本合同，并由双方共同恪守。</w:t>
      </w:r>
    </w:p>
    <w:p>
      <w:pPr>
        <w:pStyle w:val="null3"/>
        <w:jc w:val="both"/>
      </w:pPr>
      <w:r>
        <w:rPr>
          <w:sz w:val="24"/>
          <w:b/>
        </w:rPr>
        <w:t>第一条</w:t>
      </w:r>
      <w:r>
        <w:rPr>
          <w:sz w:val="24"/>
          <w:b/>
        </w:rPr>
        <w:t xml:space="preserve">  </w:t>
      </w:r>
      <w:r>
        <w:rPr>
          <w:sz w:val="24"/>
          <w:b/>
        </w:rPr>
        <w:t>本合同签订依据</w:t>
      </w:r>
    </w:p>
    <w:p>
      <w:pPr>
        <w:pStyle w:val="null3"/>
        <w:jc w:val="both"/>
      </w:pPr>
      <w:r>
        <w:rPr>
          <w:sz w:val="24"/>
          <w:b/>
        </w:rPr>
        <w:t>第二条</w:t>
      </w:r>
      <w:r>
        <w:rPr>
          <w:sz w:val="24"/>
          <w:b/>
        </w:rPr>
        <w:t xml:space="preserve">  </w:t>
      </w:r>
      <w:r>
        <w:rPr>
          <w:sz w:val="24"/>
          <w:b/>
        </w:rPr>
        <w:t>委托内容</w:t>
      </w:r>
    </w:p>
    <w:p>
      <w:pPr>
        <w:pStyle w:val="null3"/>
        <w:ind w:firstLine="480"/>
        <w:jc w:val="both"/>
      </w:pPr>
      <w:r>
        <w:rPr>
          <w:sz w:val="24"/>
        </w:rPr>
        <w:t>2.1 项目名称：</w:t>
      </w:r>
      <w:r>
        <w:rPr>
          <w:sz w:val="24"/>
        </w:rPr>
        <w:t>XX</w:t>
      </w:r>
    </w:p>
    <w:p>
      <w:pPr>
        <w:pStyle w:val="null3"/>
        <w:ind w:firstLine="480"/>
        <w:jc w:val="both"/>
      </w:pPr>
      <w:r>
        <w:rPr>
          <w:sz w:val="24"/>
        </w:rPr>
        <w:t>2.2 项目地点：广东省肇庆市四会市。</w:t>
      </w:r>
    </w:p>
    <w:p>
      <w:pPr>
        <w:pStyle w:val="null3"/>
        <w:ind w:firstLine="480"/>
        <w:jc w:val="both"/>
      </w:pPr>
      <w:r>
        <w:rPr>
          <w:sz w:val="24"/>
        </w:rPr>
        <w:t>2.3 项目规模：</w:t>
      </w:r>
      <w:r>
        <w:rPr>
          <w:sz w:val="24"/>
        </w:rPr>
        <w:t>XX</w:t>
      </w:r>
      <w:r>
        <w:rPr>
          <w:sz w:val="24"/>
        </w:rPr>
        <w:t>。</w:t>
      </w:r>
    </w:p>
    <w:p>
      <w:pPr>
        <w:pStyle w:val="null3"/>
        <w:ind w:firstLine="480"/>
        <w:jc w:val="both"/>
      </w:pPr>
      <w:r>
        <w:rPr>
          <w:sz w:val="24"/>
        </w:rPr>
        <w:t>2.4 技术服务内容：。</w:t>
      </w:r>
    </w:p>
    <w:p>
      <w:pPr>
        <w:pStyle w:val="null3"/>
        <w:jc w:val="both"/>
      </w:pPr>
      <w:r>
        <w:rPr>
          <w:sz w:val="24"/>
          <w:b/>
        </w:rPr>
        <w:t>第三条</w:t>
      </w:r>
      <w:r>
        <w:rPr>
          <w:sz w:val="24"/>
          <w:b/>
        </w:rPr>
        <w:t xml:space="preserve">  </w:t>
      </w:r>
      <w:r>
        <w:rPr>
          <w:sz w:val="24"/>
          <w:b/>
        </w:rPr>
        <w:t>项目进度要求</w:t>
      </w:r>
    </w:p>
    <w:p>
      <w:pPr>
        <w:pStyle w:val="null3"/>
        <w:ind w:firstLine="480"/>
        <w:jc w:val="both"/>
      </w:pPr>
      <w:r>
        <w:rPr>
          <w:sz w:val="24"/>
        </w:rPr>
        <w:t>本项目自双方签订合同之日起开始实施，</w:t>
      </w:r>
      <w:r>
        <w:rPr>
          <w:sz w:val="24"/>
        </w:rPr>
        <w:t>计划</w:t>
      </w:r>
      <w:r>
        <w:rPr>
          <w:sz w:val="24"/>
        </w:rPr>
        <w:t>完成时间约</w:t>
      </w:r>
      <w:r>
        <w:rPr>
          <w:sz w:val="24"/>
        </w:rPr>
        <w:t>XX</w:t>
      </w:r>
      <w:r>
        <w:rPr>
          <w:sz w:val="24"/>
        </w:rPr>
        <w:t>天。</w:t>
      </w:r>
    </w:p>
    <w:p>
      <w:pPr>
        <w:pStyle w:val="null3"/>
        <w:ind w:firstLine="480"/>
        <w:jc w:val="both"/>
      </w:pPr>
      <w:r>
        <w:rPr>
          <w:sz w:val="24"/>
        </w:rPr>
        <w:t>1.初步成果阶段（</w:t>
      </w:r>
      <w:r>
        <w:rPr>
          <w:sz w:val="24"/>
        </w:rPr>
        <w:t>XX</w:t>
      </w:r>
      <w:r>
        <w:rPr>
          <w:sz w:val="24"/>
        </w:rPr>
        <w:t>天内）</w:t>
      </w:r>
    </w:p>
    <w:p>
      <w:pPr>
        <w:pStyle w:val="null3"/>
        <w:ind w:firstLine="480"/>
        <w:jc w:val="both"/>
      </w:pPr>
      <w:r>
        <w:rPr>
          <w:sz w:val="24"/>
        </w:rPr>
        <w:t>2.专家审查阶段（</w:t>
      </w:r>
      <w:r>
        <w:rPr>
          <w:sz w:val="24"/>
        </w:rPr>
        <w:t>XX</w:t>
      </w:r>
      <w:r>
        <w:rPr>
          <w:sz w:val="24"/>
        </w:rPr>
        <w:t>天内）</w:t>
      </w:r>
    </w:p>
    <w:p>
      <w:pPr>
        <w:pStyle w:val="null3"/>
        <w:ind w:firstLine="480"/>
        <w:jc w:val="both"/>
      </w:pPr>
      <w:r>
        <w:rPr>
          <w:sz w:val="24"/>
        </w:rPr>
        <w:t>3.规委会审议阶段（</w:t>
      </w:r>
      <w:r>
        <w:rPr>
          <w:sz w:val="24"/>
        </w:rPr>
        <w:t>XX</w:t>
      </w:r>
      <w:r>
        <w:rPr>
          <w:sz w:val="24"/>
        </w:rPr>
        <w:t>天内）</w:t>
      </w:r>
    </w:p>
    <w:p>
      <w:pPr>
        <w:pStyle w:val="null3"/>
        <w:ind w:firstLine="480"/>
        <w:jc w:val="both"/>
      </w:pPr>
      <w:r>
        <w:rPr>
          <w:sz w:val="24"/>
        </w:rPr>
        <w:t>4.成果报批阶段（</w:t>
      </w:r>
      <w:r>
        <w:rPr>
          <w:sz w:val="24"/>
        </w:rPr>
        <w:t>XX</w:t>
      </w:r>
      <w:r>
        <w:rPr>
          <w:sz w:val="24"/>
        </w:rPr>
        <w:t>天内）</w:t>
      </w:r>
    </w:p>
    <w:p>
      <w:pPr>
        <w:pStyle w:val="null3"/>
        <w:jc w:val="both"/>
      </w:pPr>
      <w:r>
        <w:rPr>
          <w:sz w:val="24"/>
          <w:b/>
        </w:rPr>
        <w:t>第四条</w:t>
      </w:r>
      <w:r>
        <w:rPr>
          <w:sz w:val="24"/>
          <w:b/>
        </w:rPr>
        <w:t xml:space="preserve">  </w:t>
      </w:r>
      <w:r>
        <w:rPr>
          <w:sz w:val="24"/>
          <w:b/>
        </w:rPr>
        <w:t>乙方应向甲方交付的资料及文件</w:t>
      </w:r>
    </w:p>
    <w:p>
      <w:pPr>
        <w:pStyle w:val="null3"/>
        <w:ind w:firstLine="480"/>
      </w:pPr>
      <w:r>
        <w:rPr>
          <w:sz w:val="24"/>
        </w:rPr>
        <w:t>4.1  工期计划</w:t>
      </w:r>
    </w:p>
    <w:tbl>
      <w:tblPr>
        <w:tblW w:w="0" w:type="auto"/>
        <w:tblBorders>
          <w:top w:val="none" w:color="000000" w:sz="4"/>
          <w:left w:val="none" w:color="000000" w:sz="4"/>
          <w:bottom w:val="none" w:color="000000" w:sz="4"/>
          <w:right w:val="none" w:color="000000" w:sz="4"/>
          <w:insideH w:val="none"/>
          <w:insideV w:val="none"/>
        </w:tblBorders>
      </w:tblPr>
      <w:tblGrid>
        <w:gridCol w:w="1661"/>
        <w:gridCol w:w="1779"/>
        <w:gridCol w:w="872"/>
        <w:gridCol w:w="2333"/>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24"/>
              </w:rPr>
              <w:t>序号</w:t>
            </w:r>
          </w:p>
        </w:tc>
        <w:tc>
          <w:tcPr>
            <w:tcW w:type="dxa" w:w="1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资料及文件名称</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文本</w:t>
            </w:r>
          </w:p>
          <w:p>
            <w:pPr>
              <w:pStyle w:val="null3"/>
              <w:jc w:val="center"/>
            </w:pPr>
            <w:r>
              <w:rPr>
                <w:sz w:val="24"/>
              </w:rPr>
              <w:t>份数</w:t>
            </w:r>
          </w:p>
        </w:tc>
        <w:tc>
          <w:tcPr>
            <w:tcW w:type="dxa" w:w="2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提交日期</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初步成果</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初步方案确定后</w:t>
            </w:r>
            <w:r>
              <w:rPr>
                <w:sz w:val="24"/>
              </w:rPr>
              <w:t>10 日内（内部审查）</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120"/>
              <w:jc w:val="center"/>
            </w:pPr>
            <w:r>
              <w:rPr>
                <w:sz w:val="24"/>
              </w:rPr>
              <w:t>含电子光盘</w:t>
            </w:r>
            <w:r>
              <w:rPr>
                <w:sz w:val="24"/>
              </w:rPr>
              <w:t>1套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专家评审稿</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专家评审会前</w:t>
            </w:r>
          </w:p>
          <w:p>
            <w:pPr>
              <w:pStyle w:val="null3"/>
              <w:jc w:val="center"/>
            </w:pPr>
            <w:r>
              <w:rPr>
                <w:sz w:val="24"/>
              </w:rPr>
              <w:t>10 日内</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含电子光盘</w:t>
            </w:r>
            <w:r>
              <w:rPr>
                <w:sz w:val="24"/>
              </w:rPr>
              <w:t>1套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规委会审议稿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收到</w:t>
            </w:r>
            <w:r>
              <w:rPr>
                <w:sz w:val="24"/>
              </w:rPr>
              <w:t>专家评审会</w:t>
            </w:r>
            <w:r>
              <w:rPr>
                <w:sz w:val="24"/>
              </w:rPr>
              <w:t>意见后</w:t>
            </w:r>
          </w:p>
          <w:p>
            <w:pPr>
              <w:pStyle w:val="null3"/>
              <w:jc w:val="center"/>
            </w:pPr>
            <w:r>
              <w:rPr>
                <w:sz w:val="24"/>
              </w:rPr>
              <w:t xml:space="preserve"> </w:t>
            </w:r>
            <w:r>
              <w:rPr>
                <w:sz w:val="24"/>
              </w:rPr>
              <w:t>10 日内</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含电子光盘</w:t>
            </w:r>
            <w:r>
              <w:rPr>
                <w:sz w:val="24"/>
              </w:rPr>
              <w:t>1套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最终</w:t>
            </w:r>
            <w:r>
              <w:rPr>
                <w:sz w:val="24"/>
              </w:rPr>
              <w:t>成果</w:t>
            </w:r>
          </w:p>
          <w:p>
            <w:pPr>
              <w:pStyle w:val="null3"/>
              <w:jc w:val="center"/>
            </w:pPr>
            <w:r>
              <w:rPr>
                <w:sz w:val="24"/>
              </w:rPr>
              <w:t>（报批稿）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收到</w:t>
            </w:r>
            <w:r>
              <w:rPr>
                <w:sz w:val="24"/>
              </w:rPr>
              <w:t>规划委员会</w:t>
            </w:r>
            <w:r>
              <w:rPr>
                <w:sz w:val="24"/>
              </w:rPr>
              <w:t>意见后</w:t>
            </w:r>
          </w:p>
          <w:p>
            <w:pPr>
              <w:pStyle w:val="null3"/>
              <w:jc w:val="center"/>
            </w:pPr>
            <w:r>
              <w:rPr>
                <w:sz w:val="24"/>
              </w:rPr>
              <w:t>10日内</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含电子光盘</w:t>
            </w:r>
            <w:r>
              <w:rPr>
                <w:sz w:val="24"/>
              </w:rPr>
              <w:t>1套</w:t>
            </w:r>
          </w:p>
        </w:tc>
      </w:tr>
    </w:tbl>
    <w:p>
      <w:pPr>
        <w:pStyle w:val="null3"/>
        <w:ind w:left="480"/>
        <w:jc w:val="both"/>
      </w:pPr>
      <w:r>
        <w:rPr>
          <w:sz w:val="24"/>
        </w:rPr>
        <w:t>注：甲方可根据实际情况，</w:t>
      </w:r>
      <w:r>
        <w:rPr>
          <w:sz w:val="24"/>
        </w:rPr>
        <w:t>对</w:t>
      </w:r>
      <w:r>
        <w:rPr>
          <w:sz w:val="24"/>
        </w:rPr>
        <w:t>乙方提</w:t>
      </w:r>
      <w:r>
        <w:rPr>
          <w:sz w:val="24"/>
        </w:rPr>
        <w:t>交资料及文件的内容、数量、时间进行适当调整。</w:t>
      </w:r>
    </w:p>
    <w:p>
      <w:pPr>
        <w:pStyle w:val="null3"/>
        <w:ind w:firstLine="480"/>
        <w:jc w:val="both"/>
      </w:pPr>
      <w:r>
        <w:rPr>
          <w:sz w:val="24"/>
        </w:rPr>
        <w:t>4.2  技术要求：符合《中华人民共和国城乡规划法》等现行的国家和地方有关法律、法规以及相关规范的技术要求。</w:t>
      </w:r>
    </w:p>
    <w:p>
      <w:pPr>
        <w:pStyle w:val="null3"/>
        <w:jc w:val="both"/>
      </w:pPr>
      <w:r>
        <w:rPr>
          <w:sz w:val="24"/>
          <w:b/>
        </w:rPr>
        <w:t>第五条</w:t>
      </w:r>
      <w:r>
        <w:rPr>
          <w:sz w:val="24"/>
          <w:b/>
        </w:rPr>
        <w:t>成果要求</w:t>
      </w:r>
    </w:p>
    <w:p>
      <w:pPr>
        <w:pStyle w:val="null3"/>
        <w:ind w:firstLine="480"/>
        <w:jc w:val="both"/>
      </w:pPr>
      <w:r>
        <w:rPr>
          <w:sz w:val="24"/>
        </w:rPr>
        <w:t>应包括书面成果和对应的电子数据成果，主要包括但不限于以下内容：</w:t>
      </w:r>
    </w:p>
    <w:p>
      <w:pPr>
        <w:pStyle w:val="null3"/>
        <w:ind w:firstLine="480"/>
        <w:jc w:val="both"/>
      </w:pPr>
      <w:r>
        <w:rPr>
          <w:sz w:val="24"/>
        </w:rPr>
        <w:t>5.1书面成果</w:t>
      </w:r>
    </w:p>
    <w:p>
      <w:pPr>
        <w:pStyle w:val="null3"/>
        <w:ind w:firstLine="480"/>
        <w:jc w:val="both"/>
      </w:pPr>
      <w:r>
        <w:rPr>
          <w:sz w:val="24"/>
        </w:rPr>
        <w:t>按照</w:t>
      </w:r>
      <w:r>
        <w:rPr>
          <w:sz w:val="24"/>
        </w:rPr>
        <w:t>XX</w:t>
      </w:r>
      <w:r>
        <w:rPr>
          <w:sz w:val="24"/>
        </w:rPr>
        <w:t>的要求，最终成果主要包括</w:t>
      </w:r>
      <w:r>
        <w:rPr>
          <w:sz w:val="24"/>
        </w:rPr>
        <w:t>XX</w:t>
      </w:r>
      <w:r>
        <w:rPr>
          <w:sz w:val="24"/>
        </w:rPr>
        <w:t>等</w:t>
      </w:r>
      <w:r>
        <w:rPr>
          <w:sz w:val="24"/>
        </w:rPr>
        <w:t>,以A3规格缩印编排装订成一册。</w:t>
      </w:r>
    </w:p>
    <w:p>
      <w:pPr>
        <w:pStyle w:val="null3"/>
        <w:ind w:firstLine="480"/>
        <w:jc w:val="both"/>
      </w:pPr>
      <w:r>
        <w:rPr>
          <w:sz w:val="24"/>
        </w:rPr>
        <w:t>5.2电子数据成果</w:t>
      </w:r>
    </w:p>
    <w:p>
      <w:pPr>
        <w:pStyle w:val="null3"/>
        <w:ind w:firstLine="480"/>
        <w:jc w:val="both"/>
      </w:pPr>
      <w:r>
        <w:rPr>
          <w:sz w:val="24"/>
        </w:rPr>
        <w:t>电子数据成果的文本采用</w:t>
      </w:r>
      <w:r>
        <w:rPr>
          <w:sz w:val="24"/>
        </w:rPr>
        <w:t>word格式，图纸采用dwg、jpg、psd格式，并符合城市规划行政主管部门有关规划成果电子报批和管理的格式要求。</w:t>
      </w:r>
    </w:p>
    <w:p>
      <w:pPr>
        <w:pStyle w:val="null3"/>
        <w:ind w:firstLine="480"/>
        <w:jc w:val="both"/>
      </w:pPr>
      <w:r>
        <w:rPr>
          <w:sz w:val="24"/>
        </w:rPr>
        <w:t>规划完成后，编制单位需提交规划成果纸质版</w:t>
      </w:r>
      <w:r>
        <w:rPr>
          <w:sz w:val="24"/>
        </w:rPr>
        <w:t>6套及电子文件1套，其中电子文件文字为doc或pdf格式，图片为dwg和jpg格式</w:t>
      </w:r>
      <w:r>
        <w:rPr>
          <w:sz w:val="24"/>
        </w:rPr>
        <w:t>；</w:t>
      </w:r>
      <w:r>
        <w:rPr>
          <w:sz w:val="24"/>
        </w:rPr>
        <w:t>规划</w:t>
      </w:r>
      <w:r>
        <w:rPr>
          <w:sz w:val="24"/>
        </w:rPr>
        <w:t>GIS空间数据建库成果，文件为ArcGIS个人地理数据库（Personal Geodatabase），文件后缀为*.md</w:t>
      </w:r>
      <w:r>
        <w:rPr>
          <w:sz w:val="24"/>
        </w:rPr>
        <w:t>b</w:t>
      </w:r>
      <w:r>
        <w:rPr>
          <w:sz w:val="24"/>
        </w:rPr>
        <w:t>。</w:t>
      </w:r>
    </w:p>
    <w:p>
      <w:pPr>
        <w:pStyle w:val="null3"/>
        <w:jc w:val="both"/>
      </w:pPr>
      <w:r>
        <w:rPr>
          <w:sz w:val="24"/>
          <w:b/>
        </w:rPr>
        <w:t>第六条</w:t>
      </w:r>
      <w:r>
        <w:rPr>
          <w:sz w:val="24"/>
          <w:b/>
        </w:rPr>
        <w:t xml:space="preserve">  </w:t>
      </w:r>
      <w:r>
        <w:rPr>
          <w:sz w:val="24"/>
          <w:b/>
        </w:rPr>
        <w:t>成果的报送和审查</w:t>
      </w:r>
    </w:p>
    <w:p>
      <w:pPr>
        <w:pStyle w:val="null3"/>
        <w:ind w:firstLine="480"/>
        <w:jc w:val="both"/>
      </w:pPr>
      <w:r>
        <w:rPr>
          <w:sz w:val="24"/>
        </w:rPr>
        <w:t>6.1本项目审查分为技术审查、初审和终审。技术审查由</w:t>
      </w:r>
      <w:r>
        <w:rPr>
          <w:sz w:val="24"/>
        </w:rPr>
        <w:t>甲方</w:t>
      </w:r>
      <w:r>
        <w:rPr>
          <w:sz w:val="24"/>
        </w:rPr>
        <w:t>组织技术小组对初步成果进行内部审查；初审由</w:t>
      </w:r>
      <w:r>
        <w:rPr>
          <w:sz w:val="24"/>
        </w:rPr>
        <w:t>甲方</w:t>
      </w:r>
      <w:r>
        <w:rPr>
          <w:sz w:val="24"/>
        </w:rPr>
        <w:t>委托专家组对修改完善后的成果进行评审；终审由</w:t>
      </w:r>
      <w:r>
        <w:rPr>
          <w:sz w:val="24"/>
        </w:rPr>
        <w:t>甲方</w:t>
      </w:r>
      <w:r>
        <w:rPr>
          <w:sz w:val="24"/>
        </w:rPr>
        <w:t>把</w:t>
      </w:r>
      <w:r>
        <w:rPr>
          <w:sz w:val="24"/>
        </w:rPr>
        <w:t>乙方</w:t>
      </w:r>
      <w:r>
        <w:rPr>
          <w:sz w:val="24"/>
        </w:rPr>
        <w:t>修改完善后的项目成果报四会市空间规划委员会审议；</w:t>
      </w:r>
      <w:r>
        <w:rPr>
          <w:sz w:val="24"/>
        </w:rPr>
        <w:t>最终成果报</w:t>
      </w:r>
      <w:r>
        <w:rPr>
          <w:sz w:val="24"/>
        </w:rPr>
        <w:t>四会市人民政府审批并公布</w:t>
      </w:r>
      <w:r>
        <w:rPr>
          <w:sz w:val="24"/>
        </w:rPr>
        <w:t>（</w:t>
      </w:r>
      <w:r>
        <w:rPr>
          <w:sz w:val="24"/>
        </w:rPr>
        <w:t>审查按项目实际需要而定</w:t>
      </w:r>
      <w:r>
        <w:rPr>
          <w:sz w:val="24"/>
        </w:rPr>
        <w:t>）</w:t>
      </w:r>
      <w:r>
        <w:rPr>
          <w:sz w:val="24"/>
        </w:rPr>
        <w:t>。</w:t>
      </w:r>
      <w:r>
        <w:rPr>
          <w:sz w:val="24"/>
        </w:rPr>
        <w:t>乙方</w:t>
      </w:r>
      <w:r>
        <w:rPr>
          <w:sz w:val="24"/>
        </w:rPr>
        <w:t>按</w:t>
      </w:r>
      <w:r>
        <w:rPr>
          <w:sz w:val="24"/>
        </w:rPr>
        <w:t>甲方</w:t>
      </w:r>
      <w:r>
        <w:rPr>
          <w:sz w:val="24"/>
        </w:rPr>
        <w:t>要求提供技术审查、初审和终审必需的所有汇报资料（含项目成果）并派主要技术人员进行成果介绍，</w:t>
      </w:r>
      <w:r>
        <w:rPr>
          <w:sz w:val="24"/>
        </w:rPr>
        <w:t>乙方</w:t>
      </w:r>
      <w:r>
        <w:rPr>
          <w:sz w:val="24"/>
        </w:rPr>
        <w:t>应确保审查（审批）通过，且</w:t>
      </w:r>
      <w:r>
        <w:rPr>
          <w:sz w:val="24"/>
        </w:rPr>
        <w:t>甲方</w:t>
      </w:r>
      <w:r>
        <w:rPr>
          <w:sz w:val="24"/>
        </w:rPr>
        <w:t>可视情况增加审查环节。</w:t>
      </w:r>
    </w:p>
    <w:p>
      <w:pPr>
        <w:pStyle w:val="null3"/>
        <w:ind w:firstLine="480"/>
        <w:jc w:val="both"/>
      </w:pPr>
      <w:r>
        <w:rPr>
          <w:sz w:val="24"/>
        </w:rPr>
        <w:t>6.2具体审查时间按合同规定的时限。</w:t>
      </w:r>
    </w:p>
    <w:p>
      <w:pPr>
        <w:pStyle w:val="null3"/>
        <w:ind w:firstLine="480"/>
        <w:jc w:val="both"/>
      </w:pPr>
      <w:r>
        <w:rPr>
          <w:sz w:val="24"/>
        </w:rPr>
        <w:t>6.3</w:t>
      </w:r>
      <w:r>
        <w:rPr>
          <w:sz w:val="24"/>
        </w:rPr>
        <w:t>乙方</w:t>
      </w:r>
      <w:r>
        <w:rPr>
          <w:sz w:val="24"/>
        </w:rPr>
        <w:t>必须按照工作周期安排的时间，于审查前将报送的所有汇报资料（含项目成果）送达</w:t>
      </w:r>
      <w:r>
        <w:rPr>
          <w:sz w:val="24"/>
        </w:rPr>
        <w:t>甲方</w:t>
      </w:r>
      <w:r>
        <w:rPr>
          <w:sz w:val="24"/>
        </w:rPr>
        <w:t>。</w:t>
      </w:r>
    </w:p>
    <w:p>
      <w:pPr>
        <w:pStyle w:val="null3"/>
        <w:ind w:firstLine="480"/>
        <w:jc w:val="both"/>
      </w:pPr>
      <w:r>
        <w:rPr>
          <w:sz w:val="24"/>
        </w:rPr>
        <w:t>6.4项目成果终审后，</w:t>
      </w:r>
      <w:r>
        <w:rPr>
          <w:sz w:val="24"/>
        </w:rPr>
        <w:t>乙方</w:t>
      </w:r>
      <w:r>
        <w:rPr>
          <w:sz w:val="24"/>
        </w:rPr>
        <w:t>应按规定的时限，根据终审意见，修改并完成最终项目成果。</w:t>
      </w:r>
    </w:p>
    <w:p>
      <w:pPr>
        <w:pStyle w:val="null3"/>
        <w:ind w:firstLine="480"/>
        <w:jc w:val="both"/>
      </w:pPr>
      <w:r>
        <w:rPr>
          <w:sz w:val="24"/>
        </w:rPr>
        <w:t>6.5提交的最终项目成果必须加注</w:t>
      </w:r>
      <w:r>
        <w:rPr>
          <w:sz w:val="24"/>
        </w:rPr>
        <w:t>甲方</w:t>
      </w:r>
      <w:r>
        <w:rPr>
          <w:sz w:val="24"/>
        </w:rPr>
        <w:t>名称、</w:t>
      </w:r>
      <w:r>
        <w:rPr>
          <w:sz w:val="24"/>
        </w:rPr>
        <w:t>乙方</w:t>
      </w:r>
      <w:r>
        <w:rPr>
          <w:sz w:val="24"/>
        </w:rPr>
        <w:t>名称及加盖</w:t>
      </w:r>
      <w:r>
        <w:rPr>
          <w:sz w:val="24"/>
        </w:rPr>
        <w:t>乙方</w:t>
      </w:r>
      <w:r>
        <w:rPr>
          <w:sz w:val="24"/>
        </w:rPr>
        <w:t>技术专用章。</w:t>
      </w:r>
    </w:p>
    <w:p>
      <w:pPr>
        <w:pStyle w:val="null3"/>
        <w:jc w:val="both"/>
      </w:pPr>
      <w:r>
        <w:rPr>
          <w:sz w:val="24"/>
          <w:b/>
        </w:rPr>
        <w:t>第七条</w:t>
      </w:r>
      <w:r>
        <w:rPr>
          <w:sz w:val="24"/>
          <w:b/>
        </w:rPr>
        <w:t xml:space="preserve">  </w:t>
      </w:r>
      <w:r>
        <w:rPr>
          <w:sz w:val="24"/>
          <w:b/>
        </w:rPr>
        <w:t>合同金额及付款方式</w:t>
      </w:r>
    </w:p>
    <w:p>
      <w:pPr>
        <w:pStyle w:val="null3"/>
        <w:ind w:firstLine="480"/>
        <w:jc w:val="both"/>
      </w:pPr>
      <w:r>
        <w:rPr>
          <w:sz w:val="24"/>
        </w:rPr>
        <w:t>7.1本合同的价格以成交价为准，固定总价包干。</w:t>
      </w:r>
    </w:p>
    <w:p>
      <w:pPr>
        <w:pStyle w:val="null3"/>
        <w:ind w:firstLine="480"/>
        <w:jc w:val="both"/>
      </w:pPr>
      <w:r>
        <w:rPr>
          <w:sz w:val="24"/>
        </w:rPr>
        <w:t>7.2合同总额大写：人民币</w:t>
      </w:r>
      <w:r>
        <w:rPr>
          <w:sz w:val="21"/>
          <w:u w:val="single"/>
        </w:rPr>
        <w:t xml:space="preserve"> </w:t>
      </w:r>
      <w:r>
        <w:rPr>
          <w:sz w:val="24"/>
          <w:b/>
          <w:u w:val="single"/>
        </w:rPr>
        <w:t>万</w:t>
      </w:r>
      <w:r>
        <w:rPr>
          <w:sz w:val="21"/>
          <w:u w:val="single"/>
        </w:rPr>
        <w:t xml:space="preserve"> </w:t>
      </w:r>
      <w:r>
        <w:rPr>
          <w:sz w:val="24"/>
        </w:rPr>
        <w:t>元整；小写：￥</w:t>
      </w:r>
      <w:r>
        <w:rPr>
          <w:sz w:val="24"/>
        </w:rPr>
        <w:t>0</w:t>
      </w:r>
      <w:r>
        <w:rPr>
          <w:sz w:val="24"/>
          <w:u w:val="single"/>
        </w:rPr>
        <w:t>00</w:t>
      </w:r>
      <w:r>
        <w:rPr>
          <w:sz w:val="24"/>
          <w:u w:val="single"/>
        </w:rPr>
        <w:t>，</w:t>
      </w:r>
      <w:r>
        <w:rPr>
          <w:sz w:val="24"/>
          <w:u w:val="single"/>
        </w:rPr>
        <w:t>000.00</w:t>
      </w:r>
      <w:r>
        <w:rPr>
          <w:sz w:val="24"/>
        </w:rPr>
        <w:t xml:space="preserve"> </w:t>
      </w:r>
      <w:r>
        <w:rPr>
          <w:sz w:val="24"/>
        </w:rPr>
        <w:t>元。</w:t>
      </w:r>
    </w:p>
    <w:p>
      <w:pPr>
        <w:pStyle w:val="null3"/>
        <w:ind w:firstLine="480"/>
        <w:jc w:val="both"/>
      </w:pPr>
      <w:r>
        <w:rPr>
          <w:sz w:val="24"/>
        </w:rPr>
        <w:t>7.3合同总额包含资料收集费、项目调研费、编制费、成果制作费、专家评审费用、评审后成果的修改与完善的费用、伴随服务费、办公费、住宿费、交通费、保险、税金、合同实施过程中的应预见和不可预见费用等完成合同规定责任和义务的一切费用及企业利润。</w:t>
      </w:r>
    </w:p>
    <w:p>
      <w:pPr>
        <w:pStyle w:val="null3"/>
        <w:ind w:firstLine="480"/>
        <w:jc w:val="both"/>
      </w:pPr>
      <w:r>
        <w:rPr>
          <w:sz w:val="24"/>
        </w:rPr>
        <w:t>7.4本项目款项以人民币转账方式支付，分</w:t>
      </w:r>
      <w:r>
        <w:rPr>
          <w:sz w:val="24"/>
          <w:b/>
          <w:u w:val="single"/>
        </w:rPr>
        <w:t>X</w:t>
      </w:r>
      <w:r>
        <w:rPr>
          <w:sz w:val="24"/>
          <w:b/>
          <w:u w:val="single"/>
        </w:rPr>
        <w:t>期</w:t>
      </w:r>
      <w:r>
        <w:rPr>
          <w:sz w:val="24"/>
        </w:rPr>
        <w:t>支付：</w:t>
      </w:r>
    </w:p>
    <w:p>
      <w:pPr>
        <w:pStyle w:val="null3"/>
        <w:numPr>
          <w:ilvl w:val="0"/>
          <w:numId w:val="1"/>
        </w:numPr>
        <w:jc w:val="both"/>
      </w:pPr>
      <w:r>
        <w:rPr>
          <w:sz w:val="24"/>
        </w:rPr>
        <w:t>第一期支付：</w:t>
      </w:r>
    </w:p>
    <w:p>
      <w:pPr>
        <w:pStyle w:val="null3"/>
        <w:numPr>
          <w:ilvl w:val="0"/>
          <w:numId w:val="1"/>
        </w:numPr>
        <w:jc w:val="both"/>
      </w:pPr>
      <w:r>
        <w:rPr>
          <w:sz w:val="24"/>
        </w:rPr>
        <w:t>第二期支付：</w:t>
      </w:r>
    </w:p>
    <w:p>
      <w:pPr>
        <w:pStyle w:val="null3"/>
        <w:numPr>
          <w:ilvl w:val="0"/>
          <w:numId w:val="1"/>
        </w:numPr>
        <w:jc w:val="both"/>
      </w:pPr>
      <w:r>
        <w:rPr>
          <w:sz w:val="24"/>
        </w:rPr>
        <w:t>第三期支付：</w:t>
      </w:r>
    </w:p>
    <w:p>
      <w:pPr>
        <w:pStyle w:val="null3"/>
        <w:numPr>
          <w:ilvl w:val="0"/>
          <w:numId w:val="1"/>
        </w:numPr>
        <w:jc w:val="both"/>
      </w:pPr>
      <w:r>
        <w:rPr>
          <w:sz w:val="24"/>
        </w:rPr>
        <w:t>第四期支付：</w:t>
      </w:r>
    </w:p>
    <w:p>
      <w:pPr>
        <w:pStyle w:val="null3"/>
        <w:ind w:firstLine="480"/>
        <w:jc w:val="both"/>
      </w:pPr>
      <w:r>
        <w:rPr>
          <w:sz w:val="24"/>
        </w:rPr>
        <w:t>根据国家税务机关的相关管理规定，乙方应在本单位机构所在地开具收款发票，甲方付款前，乙方必须向甲方提供相应款项的发票，收款方、出具发票方、合同乙方均必须与乙方名称一致。</w:t>
      </w:r>
      <w:r>
        <w:rPr>
          <w:sz w:val="24"/>
        </w:rPr>
        <w:t>因甲方使用的是财政资金，甲方在前款约定的付款时间内向政府采购支付部门提出办理财政支付申请手续（不含政府财政支付部门审核的时间）即视为甲方已履行支付义务，</w:t>
      </w:r>
      <w:r>
        <w:rPr>
          <w:sz w:val="24"/>
        </w:rPr>
        <w:t>如因</w:t>
      </w:r>
      <w:r>
        <w:rPr>
          <w:sz w:val="24"/>
        </w:rPr>
        <w:t>政府采购支付部门</w:t>
      </w:r>
      <w:r>
        <w:rPr>
          <w:sz w:val="24"/>
        </w:rPr>
        <w:t>审批导致付款延迟的不属于逾期支付</w:t>
      </w:r>
      <w:r>
        <w:rPr>
          <w:sz w:val="24"/>
        </w:rPr>
        <w:t>。</w:t>
      </w:r>
    </w:p>
    <w:p>
      <w:pPr>
        <w:pStyle w:val="null3"/>
        <w:ind w:firstLine="480"/>
        <w:jc w:val="both"/>
      </w:pPr>
      <w:r>
        <w:rPr>
          <w:sz w:val="24"/>
        </w:rPr>
        <w:t>乙方开户银行名称、地址和账号为：</w:t>
      </w:r>
    </w:p>
    <w:p>
      <w:pPr>
        <w:pStyle w:val="null3"/>
        <w:ind w:firstLine="504"/>
        <w:jc w:val="both"/>
      </w:pPr>
      <w:r>
        <w:rPr>
          <w:sz w:val="24"/>
        </w:rPr>
        <w:t>开</w:t>
      </w:r>
      <w:r>
        <w:rPr>
          <w:sz w:val="24"/>
        </w:rPr>
        <w:t>户</w:t>
      </w:r>
      <w:r>
        <w:rPr>
          <w:sz w:val="24"/>
        </w:rPr>
        <w:t>名：</w:t>
      </w:r>
    </w:p>
    <w:p>
      <w:pPr>
        <w:pStyle w:val="null3"/>
        <w:ind w:firstLine="480"/>
        <w:jc w:val="both"/>
      </w:pPr>
      <w:r>
        <w:rPr>
          <w:sz w:val="24"/>
        </w:rPr>
        <w:t>纳税人识别号：</w:t>
      </w:r>
    </w:p>
    <w:p>
      <w:pPr>
        <w:pStyle w:val="null3"/>
        <w:ind w:firstLine="480"/>
        <w:jc w:val="both"/>
      </w:pPr>
      <w:r>
        <w:rPr>
          <w:sz w:val="24"/>
        </w:rPr>
        <w:t>开户银行：</w:t>
      </w:r>
    </w:p>
    <w:p>
      <w:pPr>
        <w:pStyle w:val="null3"/>
        <w:ind w:firstLine="480"/>
        <w:jc w:val="both"/>
      </w:pPr>
      <w:r>
        <w:rPr>
          <w:sz w:val="24"/>
        </w:rPr>
        <w:t>银行行号：</w:t>
      </w:r>
    </w:p>
    <w:p>
      <w:pPr>
        <w:pStyle w:val="null3"/>
        <w:ind w:firstLine="504"/>
        <w:jc w:val="left"/>
      </w:pPr>
      <w:r>
        <w:rPr>
          <w:sz w:val="24"/>
        </w:rPr>
        <w:t>地</w:t>
      </w:r>
      <w:r>
        <w:rPr>
          <w:sz w:val="24"/>
        </w:rPr>
        <w:t xml:space="preserve">    </w:t>
      </w:r>
      <w:r>
        <w:rPr>
          <w:sz w:val="24"/>
        </w:rPr>
        <w:t>址：</w:t>
      </w:r>
    </w:p>
    <w:p>
      <w:pPr>
        <w:pStyle w:val="null3"/>
        <w:ind w:firstLine="504"/>
        <w:jc w:val="both"/>
      </w:pPr>
      <w:r>
        <w:rPr>
          <w:sz w:val="24"/>
        </w:rPr>
        <w:t>账</w:t>
      </w:r>
      <w:r>
        <w:rPr>
          <w:sz w:val="24"/>
        </w:rPr>
        <w:t xml:space="preserve">    </w:t>
      </w:r>
      <w:r>
        <w:rPr>
          <w:sz w:val="24"/>
        </w:rPr>
        <w:t>号：</w:t>
      </w:r>
    </w:p>
    <w:p>
      <w:pPr>
        <w:pStyle w:val="null3"/>
        <w:ind w:left="480"/>
        <w:jc w:val="both"/>
      </w:pPr>
      <w:r>
        <w:rPr>
          <w:sz w:val="24"/>
          <w:b/>
        </w:rPr>
        <w:t>第八条</w:t>
      </w:r>
      <w:r>
        <w:rPr>
          <w:sz w:val="24"/>
          <w:b/>
        </w:rPr>
        <w:t>双方权利与义务</w:t>
      </w:r>
    </w:p>
    <w:p>
      <w:pPr>
        <w:pStyle w:val="null3"/>
        <w:ind w:left="420"/>
        <w:jc w:val="both"/>
      </w:pPr>
      <w:r>
        <w:rPr>
          <w:sz w:val="24"/>
        </w:rPr>
        <w:t>8.1 甲方</w:t>
      </w:r>
    </w:p>
    <w:p>
      <w:pPr>
        <w:pStyle w:val="null3"/>
        <w:ind w:firstLine="480"/>
        <w:jc w:val="both"/>
      </w:pPr>
      <w:r>
        <w:rPr>
          <w:sz w:val="24"/>
        </w:rPr>
        <w:t>8.1.1甲方应协助乙方开展此项目的编制工作，并提供相关资料，但不承诺提供所有资料。</w:t>
      </w:r>
    </w:p>
    <w:p>
      <w:pPr>
        <w:pStyle w:val="null3"/>
        <w:ind w:firstLine="480"/>
        <w:jc w:val="both"/>
      </w:pPr>
      <w:r>
        <w:rPr>
          <w:sz w:val="24"/>
        </w:rPr>
        <w:t>8.1.2甲方不得要求乙方违反国家、地方有关标准进行编制。</w:t>
      </w:r>
    </w:p>
    <w:p>
      <w:pPr>
        <w:pStyle w:val="null3"/>
        <w:ind w:firstLine="480"/>
        <w:jc w:val="both"/>
      </w:pPr>
      <w:r>
        <w:rPr>
          <w:sz w:val="24"/>
        </w:rPr>
        <w:t>8.1.3本项目成果署名权归甲、乙双方共有，版权归甲方所有；甲方对项目成果有权无偿使用，有权通过传播、媒介、书刊或其它形式介绍、展示及评价项目成果。</w:t>
      </w:r>
    </w:p>
    <w:p>
      <w:pPr>
        <w:pStyle w:val="null3"/>
        <w:ind w:firstLine="480"/>
        <w:jc w:val="both"/>
      </w:pPr>
      <w:r>
        <w:rPr>
          <w:sz w:val="24"/>
        </w:rPr>
        <w:t>8.2乙方</w:t>
      </w:r>
    </w:p>
    <w:p>
      <w:pPr>
        <w:pStyle w:val="null3"/>
        <w:ind w:firstLine="480"/>
        <w:jc w:val="both"/>
      </w:pPr>
      <w:r>
        <w:rPr>
          <w:sz w:val="24"/>
        </w:rPr>
        <w:t>8.2.1在编制过程中，乙方必须保证现状调研、项目编制工作的技术路线与方法制定、各阶段项目成果汇报、技术审查、专家评审等关键环节由技术负责人亲自承担，项目组成员驻本项目所在地(即四会市)的累计工作时间不少于</w:t>
      </w:r>
      <w:r>
        <w:rPr>
          <w:sz w:val="24"/>
        </w:rPr>
        <w:t>20</w:t>
      </w:r>
      <w:r>
        <w:rPr>
          <w:sz w:val="24"/>
        </w:rPr>
        <w:t>天，并随时接受甲方的咨询及检查。项目负责人应具备该项目相关专业高级职称或以上。</w:t>
      </w:r>
    </w:p>
    <w:p>
      <w:pPr>
        <w:pStyle w:val="null3"/>
        <w:ind w:firstLine="480"/>
        <w:jc w:val="both"/>
      </w:pPr>
      <w:r>
        <w:rPr>
          <w:sz w:val="24"/>
        </w:rPr>
        <w:t>8.2.2项目主要技术人员（不包括项目负责人，不少于两人）必须全程参加项目调研、各阶段项目成果汇报、技术审查、专家评审等相关技术活动。</w:t>
      </w:r>
    </w:p>
    <w:p>
      <w:pPr>
        <w:pStyle w:val="null3"/>
        <w:ind w:firstLine="480"/>
        <w:jc w:val="both"/>
      </w:pPr>
      <w:r>
        <w:rPr>
          <w:sz w:val="24"/>
        </w:rPr>
        <w:t>8.2.3乙方应按国家技术规范、标准、规程及甲方提出的编制要求，进行编制工作，按合同规定的进度要求提交质量合格的成果，并对其负责。不得有被第三人追诉的情况，如编制中侵犯他人专利和技术秘密、知识产权问题。</w:t>
      </w:r>
    </w:p>
    <w:p>
      <w:pPr>
        <w:pStyle w:val="null3"/>
        <w:ind w:firstLine="480"/>
        <w:jc w:val="both"/>
      </w:pPr>
      <w:r>
        <w:rPr>
          <w:sz w:val="24"/>
        </w:rPr>
        <w:t>8.2.4乙方应按本合同规定的内容、进度及数量向甲方交付资料及项目成果。</w:t>
      </w:r>
    </w:p>
    <w:p>
      <w:pPr>
        <w:pStyle w:val="null3"/>
        <w:ind w:firstLine="480"/>
        <w:jc w:val="both"/>
      </w:pPr>
      <w:r>
        <w:rPr>
          <w:sz w:val="24"/>
        </w:rPr>
        <w:t>8.2.5乙方交付项目成果，按规定参加有关的技术审查、评审，并根据评审结论负责修改、调整与补充。</w:t>
      </w:r>
    </w:p>
    <w:p>
      <w:pPr>
        <w:pStyle w:val="null3"/>
        <w:ind w:firstLine="480"/>
        <w:jc w:val="both"/>
      </w:pPr>
      <w:r>
        <w:rPr>
          <w:sz w:val="24"/>
        </w:rPr>
        <w:t>8.2.6乙方在编制过程和成果报批过程中与甲方密切配合；负责解答相应的技术等问题，配合甲方对执行的项目成果进行定期检讨。</w:t>
      </w:r>
    </w:p>
    <w:p>
      <w:pPr>
        <w:pStyle w:val="null3"/>
        <w:ind w:firstLine="480"/>
        <w:jc w:val="both"/>
      </w:pPr>
      <w:r>
        <w:rPr>
          <w:sz w:val="24"/>
        </w:rPr>
        <w:t>8.2.7乙方在项目实施过程中，对甲方所提供的所有相关资料、数据，未经甲方书面同意不得向任何第三人泄露，且保密责任不因合同的终止或解除而失效。项目完成后，乙方须把甲方提供的所有资料、数据完整归还甲方，并不得留存任何复制品。</w:t>
      </w:r>
    </w:p>
    <w:p>
      <w:pPr>
        <w:pStyle w:val="null3"/>
        <w:ind w:firstLine="480"/>
        <w:jc w:val="both"/>
      </w:pPr>
      <w:r>
        <w:rPr>
          <w:sz w:val="24"/>
        </w:rPr>
        <w:t>8.2.8乙方对其工作人员在合同履行期间的一切行为负责，期间发生的一切安全事故责任及因此发生的人身损害赔偿和其他费用由乙方承担，与甲方无关。</w:t>
      </w:r>
    </w:p>
    <w:p>
      <w:pPr>
        <w:pStyle w:val="null3"/>
        <w:jc w:val="both"/>
      </w:pPr>
      <w:r>
        <w:rPr>
          <w:sz w:val="24"/>
          <w:b/>
        </w:rPr>
        <w:t>第九条</w:t>
      </w:r>
      <w:r>
        <w:rPr>
          <w:sz w:val="24"/>
          <w:b/>
        </w:rPr>
        <w:t>违约责任</w:t>
      </w:r>
    </w:p>
    <w:p>
      <w:pPr>
        <w:pStyle w:val="null3"/>
        <w:ind w:left="420"/>
        <w:jc w:val="both"/>
      </w:pPr>
      <w:r>
        <w:rPr>
          <w:sz w:val="24"/>
        </w:rPr>
        <w:t>9.1解约责任：</w:t>
      </w:r>
    </w:p>
    <w:p>
      <w:pPr>
        <w:pStyle w:val="null3"/>
        <w:ind w:firstLine="480"/>
        <w:jc w:val="both"/>
      </w:pPr>
      <w:r>
        <w:rPr>
          <w:sz w:val="24"/>
        </w:rPr>
        <w:t>9.1.1合同生效后，甲方非因乙方原因要求终止或解除合同，乙方未开始工作的，乙方应退还甲方已付的款项，已开始工作的，甲方根据乙方已进行的实际工作量支付相关费用。</w:t>
      </w:r>
    </w:p>
    <w:p>
      <w:pPr>
        <w:pStyle w:val="null3"/>
        <w:ind w:firstLine="480"/>
        <w:jc w:val="both"/>
      </w:pPr>
      <w:r>
        <w:rPr>
          <w:sz w:val="24"/>
        </w:rPr>
        <w:t>9.1.2如乙方违约，甲方有权要求乙方予以整改，乙方不按甲方要求整改的，甲方有权终止或解除合同，此情形下，甲方无须根据乙方已进行的实际工作量向乙方支付费用，并有权追回已支付的相关费用（含税），同时乙方应按本合同已支付款项200%的比例向甲方支付违约金。</w:t>
      </w:r>
    </w:p>
    <w:p>
      <w:pPr>
        <w:pStyle w:val="null3"/>
        <w:ind w:firstLine="480"/>
        <w:jc w:val="both"/>
      </w:pPr>
      <w:r>
        <w:rPr>
          <w:sz w:val="24"/>
        </w:rPr>
        <w:t>9.1.3乙方要求终止或解除合同，乙方应按本合同已支付款项200%的比例向甲方支付违约金，由此造成甲方损失的，乙方另外应全额赔偿甲方损失。</w:t>
      </w:r>
    </w:p>
    <w:p>
      <w:pPr>
        <w:pStyle w:val="null3"/>
        <w:ind w:firstLine="480"/>
        <w:jc w:val="both"/>
      </w:pPr>
      <w:r>
        <w:rPr>
          <w:sz w:val="24"/>
        </w:rPr>
        <w:t>9.1.4由于不可抗力导致合同目的不能实现而终止或解除合同的，各方均无须向对方承担责任。</w:t>
      </w:r>
    </w:p>
    <w:p>
      <w:pPr>
        <w:pStyle w:val="null3"/>
        <w:ind w:firstLine="480"/>
        <w:jc w:val="both"/>
      </w:pPr>
      <w:r>
        <w:rPr>
          <w:sz w:val="24"/>
        </w:rPr>
        <w:t>9.1.5无论何种情形（包括但不限于合同提前终止或解除），甲方有权利用乙方已完成的工作成果，并且甲方引用乙方工作成果所形成的新技术成果属于甲方所有，甲方可依法享有该项技术成果取得的经济权利和其他一切权利。</w:t>
      </w:r>
    </w:p>
    <w:p>
      <w:pPr>
        <w:pStyle w:val="null3"/>
        <w:ind w:firstLine="480"/>
        <w:jc w:val="both"/>
      </w:pPr>
      <w:r>
        <w:rPr>
          <w:sz w:val="24"/>
        </w:rPr>
        <w:t>9.1.6由于甲方的原因使本合同项目工作受到阻碍或延误，以致发生了附加工作或延长了工作时间，则乙方应当将此情况与可能产生的影响及时通知甲方。完成项目业务的时间相应延长，但甲方不向乙方支付附加工作的报酬。</w:t>
      </w:r>
    </w:p>
    <w:p>
      <w:pPr>
        <w:pStyle w:val="null3"/>
        <w:ind w:firstLine="480"/>
        <w:jc w:val="both"/>
      </w:pPr>
      <w:r>
        <w:rPr>
          <w:sz w:val="24"/>
        </w:rPr>
        <w:t>9.1.7由于特殊原因但非乙方自身原因，令乙方产生额外工作，经双方协商和甲方书面委托后，可对乙方的额外工作作出适当经济补偿，补偿费用最终以协商为准。</w:t>
      </w:r>
    </w:p>
    <w:p>
      <w:pPr>
        <w:pStyle w:val="null3"/>
        <w:ind w:firstLine="480"/>
        <w:jc w:val="both"/>
      </w:pPr>
      <w:r>
        <w:rPr>
          <w:sz w:val="24"/>
        </w:rPr>
        <w:t>9.1.8由于特殊原因但非乙方原因导致本合同终止，经双方协商后，甲方可对乙方已完成的工作按比例作出适当经济补偿，补偿费用最终以协商为准。</w:t>
      </w:r>
    </w:p>
    <w:p>
      <w:pPr>
        <w:pStyle w:val="null3"/>
        <w:ind w:firstLine="480"/>
        <w:jc w:val="both"/>
      </w:pPr>
      <w:r>
        <w:rPr>
          <w:sz w:val="24"/>
        </w:rPr>
        <w:t>9.2超时交付成果：由于乙方自身原因，延误了项目成果交付时间，每延误一天，甲方有权向乙方扣罚合同金额千分之一的逾期违约金。延误时间超过30天的，将视为乙方违约，甲方有权终止合同并按合同第9.1.2条处理。</w:t>
      </w:r>
    </w:p>
    <w:p>
      <w:pPr>
        <w:pStyle w:val="null3"/>
        <w:ind w:firstLine="480"/>
        <w:jc w:val="both"/>
      </w:pPr>
      <w:r>
        <w:rPr>
          <w:sz w:val="24"/>
        </w:rPr>
        <w:t>9.3成果质量：乙方应对成果资料及文件出现的遗漏或错误负责，在甲方规定的时限内无偿负责完善相关内容，且确保通过各环节的审查（审批），否则按乙方违约处理。由于乙方编制错误造成的损失，乙方除负责采取有效补救措施外，应免收受损失部分的合同价款，甲方有权要求乙方赔偿因此造成的损失，赔偿额度不超过合同总额。</w:t>
      </w:r>
    </w:p>
    <w:p>
      <w:pPr>
        <w:pStyle w:val="null3"/>
        <w:ind w:firstLine="480"/>
        <w:jc w:val="both"/>
      </w:pPr>
      <w:r>
        <w:rPr>
          <w:sz w:val="24"/>
        </w:rPr>
        <w:t>9.4更换人员要求：一般情况下，项目负责人及主要技术人员不得随意更换。乙方如确需更换项目负责人及主要技术人员须报甲方审批，替换人员的专业要相符，职称应不低于被替换人员，且符合合同对被替换人员的相关要求。如果乙方随意更换，甲方有权以项目负责人每人每次￥20000.00元、主要技术人员每人每次￥10000.00元的标准扣减费用。</w:t>
      </w:r>
    </w:p>
    <w:p>
      <w:pPr>
        <w:pStyle w:val="null3"/>
        <w:ind w:firstLine="480"/>
        <w:jc w:val="both"/>
      </w:pPr>
      <w:r>
        <w:rPr>
          <w:sz w:val="24"/>
        </w:rPr>
        <w:t>9.5 未能提供服务：乙方技术负责人和主要技术人员需按甲方要求参加调研和相关技术会议。技术负责人未按合同第8.2.1条执行，将视为乙方违约，甲方有权以每人每次￥20000.00元的标准扣减费用。项目主要技术人员未按合同第8.2.2条执行，将视为乙方违约，甲方有权以每人每次￥10000.00元的标准扣减费用。</w:t>
      </w:r>
    </w:p>
    <w:p>
      <w:pPr>
        <w:pStyle w:val="null3"/>
        <w:jc w:val="both"/>
      </w:pPr>
      <w:r>
        <w:rPr>
          <w:sz w:val="24"/>
          <w:b/>
        </w:rPr>
        <w:t>第十条</w:t>
      </w:r>
      <w:r>
        <w:rPr>
          <w:sz w:val="24"/>
          <w:b/>
        </w:rPr>
        <w:t>服务要求、项目的实施情况及责任承担</w:t>
      </w:r>
    </w:p>
    <w:p>
      <w:pPr>
        <w:pStyle w:val="null3"/>
        <w:ind w:firstLine="470"/>
        <w:jc w:val="both"/>
      </w:pPr>
      <w:r>
        <w:rPr>
          <w:sz w:val="24"/>
        </w:rPr>
        <w:t>10.1在项目实施期间，如甲方认为乙方人员不称职，乙方应在收到甲方通知3天内无条件予以更换。</w:t>
      </w:r>
    </w:p>
    <w:p>
      <w:pPr>
        <w:pStyle w:val="null3"/>
        <w:ind w:firstLine="470"/>
        <w:jc w:val="both"/>
      </w:pPr>
      <w:r>
        <w:rPr>
          <w:sz w:val="24"/>
        </w:rPr>
        <w:t>10.2乙方在交付项目成果后，按规定协助组织和参加有关的成果审查或评审，并根据审查结论负责对项目成果进行调整和补充，不另外收费。乙方负责对项目成果出现的遗漏或错误进行修改或补充，并对项目成果是否审批通过负责。</w:t>
      </w:r>
    </w:p>
    <w:p>
      <w:pPr>
        <w:pStyle w:val="null3"/>
        <w:ind w:firstLine="470"/>
        <w:jc w:val="both"/>
      </w:pPr>
      <w:r>
        <w:rPr>
          <w:sz w:val="24"/>
        </w:rPr>
        <w:t>10.3乙方在合同履行过程中如果使用了他人的专利和专有技术，所需费用由乙方自行承担；如果乙方向甲方交付的工作成果涉及第三人权利而引发争议，由乙方承担由此引起的一切经济和法律责任。</w:t>
      </w:r>
    </w:p>
    <w:p>
      <w:pPr>
        <w:pStyle w:val="null3"/>
        <w:ind w:firstLine="470"/>
        <w:jc w:val="both"/>
      </w:pPr>
      <w:r>
        <w:rPr>
          <w:sz w:val="24"/>
        </w:rPr>
        <w:t>10.4乙方技术负责人及主要技术人员不履行职责的，将视为乙方违约并按合同第9.</w:t>
      </w:r>
      <w:r>
        <w:rPr>
          <w:sz w:val="24"/>
        </w:rPr>
        <w:t>1.2</w:t>
      </w:r>
      <w:r>
        <w:rPr>
          <w:sz w:val="24"/>
        </w:rPr>
        <w:t>条处理。</w:t>
      </w:r>
    </w:p>
    <w:p>
      <w:pPr>
        <w:pStyle w:val="null3"/>
        <w:ind w:firstLine="470"/>
        <w:jc w:val="both"/>
      </w:pPr>
      <w:r>
        <w:rPr>
          <w:sz w:val="24"/>
        </w:rPr>
        <w:t>10.5若乙方提交的项目成果因质量原因无法通过审查或审批，甲方则不予付款，已付款项，乙方须全部无条件退回甲方，并视为乙方违约，甲方有权解除合同并按合同第9.4条处理。</w:t>
      </w:r>
    </w:p>
    <w:p>
      <w:pPr>
        <w:pStyle w:val="null3"/>
        <w:jc w:val="both"/>
      </w:pPr>
      <w:r>
        <w:rPr>
          <w:sz w:val="24"/>
          <w:b/>
        </w:rPr>
        <w:t>第十一条</w:t>
      </w:r>
      <w:r>
        <w:rPr>
          <w:sz w:val="24"/>
          <w:b/>
        </w:rPr>
        <w:t xml:space="preserve">  </w:t>
      </w:r>
      <w:r>
        <w:rPr>
          <w:sz w:val="24"/>
          <w:b/>
        </w:rPr>
        <w:t>保密协议</w:t>
      </w:r>
    </w:p>
    <w:p>
      <w:pPr>
        <w:pStyle w:val="null3"/>
        <w:ind w:firstLine="480"/>
        <w:jc w:val="both"/>
      </w:pPr>
      <w:r>
        <w:rPr>
          <w:sz w:val="24"/>
        </w:rPr>
        <w:t>11.1</w:t>
      </w:r>
      <w:r>
        <w:rPr>
          <w:sz w:val="24"/>
        </w:rPr>
        <w:t>保密内容（包括技术信息和经营信息）：</w:t>
      </w:r>
      <w:r>
        <w:rPr>
          <w:sz w:val="24"/>
        </w:rPr>
        <w:t>发包人</w:t>
      </w:r>
      <w:r>
        <w:rPr>
          <w:sz w:val="24"/>
        </w:rPr>
        <w:t>提供给</w:t>
      </w:r>
      <w:r>
        <w:rPr>
          <w:sz w:val="24"/>
        </w:rPr>
        <w:t>设计人</w:t>
      </w:r>
      <w:r>
        <w:rPr>
          <w:sz w:val="24"/>
        </w:rPr>
        <w:t>的所有资料均受版权保护（特别是基础地形图资料属于国家保密文件范围），仅作为此次设计之用，未经</w:t>
      </w:r>
      <w:r>
        <w:rPr>
          <w:sz w:val="24"/>
        </w:rPr>
        <w:t>发包人</w:t>
      </w:r>
      <w:r>
        <w:rPr>
          <w:sz w:val="24"/>
        </w:rPr>
        <w:t>授权，任何人不得擅自复制、改编、分发、发布及另作他用。</w:t>
      </w:r>
    </w:p>
    <w:p>
      <w:pPr>
        <w:pStyle w:val="null3"/>
        <w:ind w:firstLine="480"/>
        <w:jc w:val="left"/>
      </w:pPr>
      <w:r>
        <w:rPr>
          <w:sz w:val="24"/>
        </w:rPr>
        <w:t>11.2</w:t>
      </w:r>
      <w:r>
        <w:rPr>
          <w:sz w:val="24"/>
        </w:rPr>
        <w:t>设计成果审批实施前，任何单位和个人未经</w:t>
      </w:r>
      <w:r>
        <w:rPr>
          <w:sz w:val="24"/>
        </w:rPr>
        <w:t>发包人</w:t>
      </w:r>
      <w:r>
        <w:rPr>
          <w:sz w:val="24"/>
        </w:rPr>
        <w:t>同意都无权以任何形式向社会公开展示该项目阶段成果。</w:t>
      </w:r>
    </w:p>
    <w:p>
      <w:pPr>
        <w:pStyle w:val="null3"/>
        <w:ind w:firstLine="480"/>
        <w:jc w:val="both"/>
      </w:pPr>
      <w:r>
        <w:rPr>
          <w:sz w:val="24"/>
        </w:rPr>
        <w:t>11.3</w:t>
      </w:r>
      <w:r>
        <w:rPr>
          <w:sz w:val="24"/>
        </w:rPr>
        <w:t>涉密人员范围：双方直接或间接参与本项目的有关人员。</w:t>
      </w:r>
    </w:p>
    <w:p>
      <w:pPr>
        <w:pStyle w:val="null3"/>
        <w:ind w:firstLine="480"/>
        <w:jc w:val="both"/>
      </w:pPr>
      <w:r>
        <w:rPr>
          <w:sz w:val="24"/>
        </w:rPr>
        <w:t>11.4</w:t>
      </w:r>
      <w:r>
        <w:rPr>
          <w:sz w:val="24"/>
        </w:rPr>
        <w:t>泄密责任：项目进行期间及完成后，</w:t>
      </w:r>
      <w:r>
        <w:rPr>
          <w:sz w:val="24"/>
        </w:rPr>
        <w:t>发包人</w:t>
      </w:r>
      <w:r>
        <w:rPr>
          <w:sz w:val="24"/>
        </w:rPr>
        <w:t>、</w:t>
      </w:r>
      <w:r>
        <w:rPr>
          <w:sz w:val="24"/>
        </w:rPr>
        <w:t>设计人</w:t>
      </w:r>
      <w:r>
        <w:rPr>
          <w:sz w:val="24"/>
        </w:rPr>
        <w:t>双方均有责任对本项目的技术保密承担相应责任，并按照国家有关知识产权保护法律、法规执行。</w:t>
      </w:r>
    </w:p>
    <w:p>
      <w:pPr>
        <w:pStyle w:val="null3"/>
        <w:jc w:val="both"/>
      </w:pPr>
      <w:r>
        <w:rPr>
          <w:sz w:val="24"/>
          <w:b/>
        </w:rPr>
        <w:t>第十二条</w:t>
      </w:r>
      <w:r>
        <w:rPr>
          <w:sz w:val="24"/>
          <w:b/>
        </w:rPr>
        <w:t xml:space="preserve">  </w:t>
      </w:r>
      <w:r>
        <w:rPr>
          <w:sz w:val="24"/>
          <w:b/>
        </w:rPr>
        <w:t>争议解决</w:t>
      </w:r>
    </w:p>
    <w:p>
      <w:pPr>
        <w:pStyle w:val="null3"/>
        <w:ind w:firstLine="480"/>
        <w:jc w:val="both"/>
      </w:pPr>
      <w:r>
        <w:rPr>
          <w:sz w:val="24"/>
        </w:rPr>
        <w:t>双方在履约中发生争执和分歧，双方应通过友好协商解决，若经协商不能达成协议时，</w:t>
      </w:r>
      <w:r>
        <w:rPr>
          <w:sz w:val="24"/>
        </w:rPr>
        <w:t>双方当事人同意向</w:t>
      </w:r>
      <w:r>
        <w:rPr>
          <w:sz w:val="24"/>
        </w:rPr>
        <w:t>甲方</w:t>
      </w:r>
      <w:r>
        <w:rPr>
          <w:sz w:val="24"/>
        </w:rPr>
        <w:t>所在地</w:t>
      </w:r>
      <w:r>
        <w:rPr>
          <w:sz w:val="24"/>
        </w:rPr>
        <w:t>人民法院起诉。</w:t>
      </w:r>
    </w:p>
    <w:p>
      <w:pPr>
        <w:pStyle w:val="null3"/>
        <w:jc w:val="both"/>
      </w:pPr>
      <w:r>
        <w:rPr>
          <w:sz w:val="24"/>
          <w:b/>
        </w:rPr>
        <w:t>第十三条</w:t>
      </w:r>
      <w:r>
        <w:rPr>
          <w:sz w:val="24"/>
          <w:b/>
        </w:rPr>
        <w:t>合同生效</w:t>
      </w:r>
    </w:p>
    <w:p>
      <w:pPr>
        <w:pStyle w:val="null3"/>
        <w:ind w:left="420"/>
        <w:jc w:val="both"/>
      </w:pPr>
      <w:r>
        <w:rPr>
          <w:sz w:val="24"/>
        </w:rPr>
        <w:t>本合同在甲、乙双方法人代表或其授权代表签字盖章之日起生效。</w:t>
      </w:r>
    </w:p>
    <w:p>
      <w:pPr>
        <w:pStyle w:val="null3"/>
        <w:jc w:val="both"/>
      </w:pPr>
      <w:r>
        <w:rPr>
          <w:sz w:val="24"/>
          <w:b/>
        </w:rPr>
        <w:t>第十四条</w:t>
      </w:r>
      <w:r>
        <w:rPr>
          <w:sz w:val="24"/>
          <w:b/>
        </w:rPr>
        <w:t>其他</w:t>
      </w:r>
    </w:p>
    <w:p>
      <w:pPr>
        <w:pStyle w:val="null3"/>
        <w:ind w:firstLine="470"/>
        <w:jc w:val="both"/>
      </w:pPr>
      <w:r>
        <w:rPr>
          <w:sz w:val="24"/>
        </w:rPr>
        <w:t>14.1 所有经双方签署确认的文件（包括会议纪要、补充协议、往来信函）、报价文件、合同附件及《成交通知书》均为本合同不可分割的有效组成部分，与本合同具有同等的法律效力和履约义务，其缔约生效日期为有效签署或盖章确认之日期。</w:t>
      </w:r>
    </w:p>
    <w:p>
      <w:pPr>
        <w:pStyle w:val="null3"/>
        <w:ind w:firstLine="480"/>
        <w:jc w:val="both"/>
      </w:pPr>
      <w:r>
        <w:rPr>
          <w:sz w:val="24"/>
        </w:rPr>
        <w:t>14.2 未经甲方书面同意，乙方不得擅自向第三方转让本合同项下任何权利和义务。</w:t>
      </w:r>
    </w:p>
    <w:p>
      <w:pPr>
        <w:pStyle w:val="null3"/>
        <w:ind w:firstLine="480"/>
        <w:jc w:val="both"/>
      </w:pPr>
      <w:r>
        <w:rPr>
          <w:sz w:val="24"/>
        </w:rPr>
        <w:t>14.3 本合同壹式</w:t>
      </w:r>
      <w:r>
        <w:rPr>
          <w:sz w:val="21"/>
          <w:u w:val="single"/>
        </w:rPr>
        <w:t xml:space="preserve"> </w:t>
      </w:r>
      <w:r>
        <w:rPr>
          <w:sz w:val="24"/>
          <w:u w:val="single"/>
        </w:rPr>
        <w:t>陆</w:t>
      </w:r>
      <w:r>
        <w:rPr>
          <w:sz w:val="21"/>
          <w:u w:val="single"/>
        </w:rPr>
        <w:t xml:space="preserve"> </w:t>
      </w:r>
      <w:r>
        <w:rPr>
          <w:sz w:val="24"/>
        </w:rPr>
        <w:t>份，其中甲方</w:t>
      </w:r>
      <w:r>
        <w:rPr>
          <w:sz w:val="21"/>
          <w:u w:val="single"/>
        </w:rPr>
        <w:t xml:space="preserve"> </w:t>
      </w:r>
      <w:r>
        <w:rPr>
          <w:sz w:val="24"/>
          <w:u w:val="single"/>
        </w:rPr>
        <w:t>叁</w:t>
      </w:r>
      <w:r>
        <w:rPr>
          <w:sz w:val="21"/>
          <w:u w:val="single"/>
        </w:rPr>
        <w:t xml:space="preserve"> </w:t>
      </w:r>
      <w:r>
        <w:rPr>
          <w:sz w:val="24"/>
        </w:rPr>
        <w:t>份、乙方</w:t>
      </w:r>
      <w:r>
        <w:rPr>
          <w:sz w:val="21"/>
          <w:u w:val="single"/>
        </w:rPr>
        <w:t xml:space="preserve"> </w:t>
      </w:r>
      <w:r>
        <w:rPr>
          <w:sz w:val="24"/>
          <w:u w:val="single"/>
        </w:rPr>
        <w:t>叁</w:t>
      </w:r>
      <w:r>
        <w:rPr>
          <w:sz w:val="21"/>
          <w:u w:val="single"/>
        </w:rPr>
        <w:t xml:space="preserve"> </w:t>
      </w:r>
      <w:r>
        <w:rPr>
          <w:sz w:val="24"/>
        </w:rPr>
        <w:t>份，具同等法律效力。</w:t>
      </w:r>
    </w:p>
    <w:p>
      <w:pPr>
        <w:pStyle w:val="null3"/>
        <w:ind w:firstLine="480"/>
        <w:jc w:val="both"/>
      </w:pPr>
      <w:r>
        <w:rPr>
          <w:sz w:val="24"/>
        </w:rPr>
        <w:t>14.</w:t>
      </w:r>
      <w:r>
        <w:rPr>
          <w:sz w:val="24"/>
        </w:rPr>
        <w:t>4</w:t>
      </w:r>
      <w:r>
        <w:rPr>
          <w:sz w:val="24"/>
        </w:rPr>
        <w:t xml:space="preserve"> </w:t>
      </w:r>
      <w:r>
        <w:rPr>
          <w:sz w:val="24"/>
        </w:rPr>
        <w:t>双方均已对以上各条款及附件作充分了解，并明确理解由此而产生的相关权责。</w:t>
      </w:r>
    </w:p>
    <w:p>
      <w:pPr>
        <w:pStyle w:val="null3"/>
        <w:ind w:firstLine="480"/>
        <w:jc w:val="both"/>
      </w:pPr>
      <w:r>
        <w:rPr>
          <w:sz w:val="24"/>
        </w:rPr>
        <w:t>（以下无正文）</w:t>
      </w:r>
    </w:p>
    <w:p>
      <w:pPr>
        <w:pStyle w:val="null3"/>
      </w:pPr>
      <w:r>
        <w:rPr>
          <w:sz w:val="28"/>
        </w:rPr>
        <w:t>（</w:t>
      </w:r>
      <w:r>
        <w:rPr>
          <w:sz w:val="28"/>
        </w:rPr>
        <w:t>签署页</w:t>
      </w:r>
      <w:r>
        <w:rPr>
          <w:sz w:val="28"/>
        </w:rPr>
        <w:t>）</w:t>
      </w:r>
    </w:p>
    <w:p>
      <w:pPr>
        <w:pStyle w:val="null3"/>
      </w:pPr>
      <w:r>
        <w:rPr/>
        <w:t xml:space="preserve"> </w:t>
      </w:r>
    </w:p>
    <w:p>
      <w:pPr>
        <w:pStyle w:val="null3"/>
        <w:ind w:firstLine="570"/>
        <w:jc w:val="left"/>
      </w:pPr>
      <w:r>
        <w:rPr>
          <w:sz w:val="28"/>
        </w:rPr>
        <w:t>甲方名称：</w:t>
      </w:r>
      <w:r>
        <w:rPr>
          <w:sz w:val="21"/>
          <w:u w:val="single"/>
        </w:rPr>
        <w:t xml:space="preserve">           </w:t>
      </w:r>
      <w:r>
        <w:rPr>
          <w:sz w:val="21"/>
          <w:u w:val="single"/>
        </w:rPr>
        <w:t xml:space="preserve">                       </w:t>
      </w:r>
      <w:r>
        <w:rPr>
          <w:sz w:val="28"/>
          <w:u w:val="single"/>
        </w:rPr>
        <w:t xml:space="preserve">  </w:t>
      </w:r>
      <w:r>
        <w:rPr>
          <w:sz w:val="28"/>
          <w:u w:val="single"/>
        </w:rPr>
        <w:t>（盖章）</w:t>
      </w:r>
      <w:r>
        <w:rPr>
          <w:sz w:val="28"/>
          <w:u w:val="single"/>
        </w:rPr>
        <w:t xml:space="preserve">  </w:t>
      </w:r>
    </w:p>
    <w:p>
      <w:pPr>
        <w:pStyle w:val="null3"/>
        <w:ind w:firstLine="570"/>
        <w:jc w:val="both"/>
      </w:pPr>
      <w:r>
        <w:rPr>
          <w:sz w:val="21"/>
        </w:rPr>
        <w:t xml:space="preserve">          </w:t>
      </w:r>
    </w:p>
    <w:p>
      <w:pPr>
        <w:pStyle w:val="null3"/>
        <w:ind w:firstLine="570"/>
        <w:jc w:val="both"/>
      </w:pPr>
      <w:r>
        <w:rPr>
          <w:sz w:val="28"/>
        </w:rPr>
        <w:t>法定代表人／委托代理人：</w:t>
      </w:r>
      <w:r>
        <w:rPr>
          <w:sz w:val="28"/>
          <w:u w:val="single"/>
        </w:rPr>
        <w:t xml:space="preserve">       </w:t>
      </w:r>
      <w:r>
        <w:rPr>
          <w:sz w:val="28"/>
          <w:u w:val="single"/>
        </w:rPr>
        <w:t>（签名）</w:t>
      </w:r>
    </w:p>
    <w:p>
      <w:pPr>
        <w:pStyle w:val="null3"/>
        <w:ind w:firstLine="570"/>
        <w:jc w:val="both"/>
      </w:pPr>
      <w:r>
        <w:rPr>
          <w:sz w:val="21"/>
        </w:rPr>
        <w:t xml:space="preserve">                            </w:t>
      </w:r>
      <w:r>
        <w:rPr>
          <w:sz w:val="28"/>
        </w:rPr>
        <w:t>签订时间：</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jc w:val="both"/>
      </w:pPr>
      <w:r>
        <w:rPr>
          <w:sz w:val="28"/>
        </w:rPr>
        <w:t>乙方名称：</w:t>
      </w:r>
      <w:r>
        <w:rPr>
          <w:sz w:val="21"/>
          <w:u w:val="single"/>
        </w:rPr>
        <w:t xml:space="preserve">  </w:t>
      </w:r>
      <w:r>
        <w:rPr>
          <w:sz w:val="21"/>
          <w:u w:val="single"/>
        </w:rPr>
        <w:t xml:space="preserve">                                 </w:t>
      </w:r>
      <w:r>
        <w:rPr>
          <w:sz w:val="28"/>
          <w:u w:val="single"/>
        </w:rPr>
        <w:t xml:space="preserve">  </w:t>
      </w:r>
      <w:r>
        <w:rPr>
          <w:sz w:val="28"/>
          <w:u w:val="single"/>
        </w:rPr>
        <w:t>（盖章）</w:t>
      </w:r>
      <w:r>
        <w:rPr>
          <w:sz w:val="21"/>
        </w:rPr>
        <w:t xml:space="preserve">   </w:t>
      </w:r>
    </w:p>
    <w:p>
      <w:pPr>
        <w:pStyle w:val="null3"/>
        <w:ind w:firstLine="560"/>
        <w:jc w:val="both"/>
      </w:pPr>
      <w:r>
        <w:rPr>
          <w:sz w:val="21"/>
        </w:rPr>
        <w:t xml:space="preserve">           </w:t>
      </w:r>
    </w:p>
    <w:p>
      <w:pPr>
        <w:pStyle w:val="null3"/>
        <w:ind w:firstLine="560"/>
        <w:jc w:val="both"/>
      </w:pPr>
      <w:r>
        <w:rPr>
          <w:sz w:val="28"/>
        </w:rPr>
        <w:t>法定代表人／委托代理人：</w:t>
      </w:r>
      <w:r>
        <w:rPr>
          <w:sz w:val="28"/>
          <w:u w:val="single"/>
        </w:rPr>
        <w:t xml:space="preserve">          </w:t>
      </w:r>
      <w:r>
        <w:rPr>
          <w:sz w:val="28"/>
          <w:u w:val="single"/>
        </w:rPr>
        <w:t>　（签名）</w:t>
      </w:r>
    </w:p>
    <w:p>
      <w:pPr>
        <w:pStyle w:val="null3"/>
        <w:ind w:firstLine="570"/>
        <w:jc w:val="both"/>
      </w:pPr>
      <w:r>
        <w:rPr>
          <w:sz w:val="21"/>
        </w:rPr>
        <w:t xml:space="preserve">                       </w:t>
      </w:r>
      <w:r>
        <w:rPr>
          <w:sz w:val="28"/>
        </w:rPr>
        <w:t>签订时间：</w:t>
      </w:r>
      <w:r>
        <w:rPr>
          <w:sz w:val="28"/>
        </w:rPr>
        <w:t xml:space="preserve">      </w:t>
      </w:r>
      <w:r>
        <w:rPr>
          <w:sz w:val="28"/>
        </w:rPr>
        <w:t>年</w:t>
      </w:r>
      <w:r>
        <w:rPr>
          <w:sz w:val="28"/>
        </w:rPr>
        <w:t xml:space="preserve">    </w:t>
      </w:r>
      <w:r>
        <w:rPr>
          <w:sz w:val="28"/>
        </w:rPr>
        <w:t>月</w:t>
      </w:r>
      <w:r>
        <w:rPr>
          <w:sz w:val="28"/>
        </w:rPr>
        <w:t xml:space="preserve">    </w:t>
      </w:r>
      <w:r>
        <w:rPr>
          <w:sz w:val="28"/>
        </w:rPr>
        <w:t>日</w:t>
      </w:r>
      <w:r>
        <w:rPr>
          <w:sz w:val="21"/>
        </w:rPr>
        <w:t xml:space="preserve"> </w:t>
      </w:r>
    </w:p>
    <w:p>
      <w:pPr>
        <w:pStyle w:val="null3"/>
      </w:pPr>
      <w:r>
        <w:rPr>
          <w:sz w:val="28"/>
        </w:rPr>
        <w:t>附件：中标通知书</w:t>
      </w:r>
    </w:p>
    <w:p>
      <w:pPr>
        <w:pStyle w:val="null3"/>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441284-2024-02622</w:t>
      </w:r>
    </w:p>
    <w:p>
      <w:pPr>
        <w:pStyle w:val="null3"/>
        <w:jc w:val="center"/>
        <w:outlineLvl w:val="3"/>
      </w:pPr>
      <w:r>
        <w:rPr>
          <w:sz w:val="24"/>
          <w:b/>
        </w:rPr>
        <w:t>采购项目编号：</w:t>
      </w:r>
      <w:r>
        <w:rPr>
          <w:sz w:val="24"/>
          <w:b/>
        </w:rPr>
        <w:t>0809-2441SHC3BA03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四会市以县城为重要载体的新型城镇化发展和建设规划项目</w:t>
      </w:r>
      <w:r>
        <w:rPr>
          <w:u w:val="single"/>
        </w:rPr>
        <w:t>”</w:t>
      </w:r>
      <w:r>
        <w:rPr/>
        <w:t>项目的竞争性磋商[采购项目编号为：</w:t>
      </w:r>
      <w:r>
        <w:rPr>
          <w:u w:val="single"/>
        </w:rPr>
        <w:t>0809-2441SHC3BA03</w:t>
      </w:r>
      <w:r>
        <w:rPr/>
        <w:t>]，我方愿参与响应。</w:t>
      </w:r>
    </w:p>
    <w:p>
      <w:pPr>
        <w:pStyle w:val="null3"/>
        <w:ind w:firstLine="480"/>
      </w:pPr>
      <w:r>
        <w:rPr/>
        <w:t>我方确认收到贵方提供的</w:t>
      </w:r>
      <w:r>
        <w:rPr>
          <w:u w:val="single"/>
        </w:rPr>
        <w:t>“</w:t>
      </w:r>
      <w:r>
        <w:rPr>
          <w:u w:val="single"/>
        </w:rPr>
        <w:t>四会市以县城为重要载体的新型城镇化发展和建设规划项目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四会市以县城为重要载体的新型城镇化发展和建设规划项目</w:t>
      </w:r>
      <w:r>
        <w:rPr/>
        <w:t>”项目采购[采购项目编号为</w:t>
      </w:r>
      <w:r>
        <w:rPr/>
        <w:t>0809-2441SHC3BA03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四会市以县城为重要载体的新型城镇化发展和建设规划项目</w:t>
      </w:r>
      <w:r>
        <w:rPr/>
        <w:t>（采购项目编号：</w:t>
      </w:r>
      <w:r>
        <w:rPr/>
        <w:t>0809-2441SHC3BA03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四会市以县城为重要载体的新型城镇化发展和建设规划项目</w:t>
      </w:r>
      <w:r>
        <w:rPr/>
        <w:t>”项目（采购项目编号：</w:t>
      </w:r>
      <w:r>
        <w:rPr/>
        <w:t>0809-2441SHC3BA03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