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440001-2023-06833</w:t>
      </w:r>
    </w:p>
    <w:p>
      <w:pPr>
        <w:jc w:val="center"/>
      </w:pPr>
      <w:r>
        <w:rPr>
          <w:b/>
          <w:sz w:val="24"/>
        </w:rPr>
        <w:t>采购项目编号：</w:t>
      </w:r>
      <w:r>
        <w:rPr>
          <w:b/>
          <w:sz w:val="24"/>
        </w:rPr>
        <w:t>0809-2341GDG12006</w:t>
      </w:r>
    </w:p>
    <w:p>
      <w:pPr>
        <w:jc w:val="center"/>
      </w:pPr>
      <w:r>
        <w:rPr>
          <w:b/>
          <w:sz w:val="24"/>
        </w:rPr>
        <w:t>项目名称：</w:t>
      </w:r>
      <w:r>
        <w:rPr>
          <w:b/>
          <w:sz w:val="24"/>
        </w:rPr>
        <w:t>广东省体育彩票中心终端机采购项目</w:t>
      </w:r>
    </w:p>
    <w:p>
      <w:pPr>
        <w:jc w:val="center"/>
      </w:pPr>
      <w:r>
        <w:rPr>
          <w:b/>
          <w:sz w:val="24"/>
        </w:rPr>
        <w:t>采购人：</w:t>
      </w:r>
      <w:r>
        <w:rPr>
          <w:b/>
          <w:sz w:val="24"/>
        </w:rPr>
        <w:t>广东省体育彩票中心</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广东省体育彩票中心</w:t>
      </w:r>
      <w:r>
        <w:rPr/>
        <w:t>的委托，采用</w:t>
      </w:r>
      <w:r>
        <w:rPr/>
        <w:t>公开招标</w:t>
      </w:r>
      <w:r>
        <w:rPr/>
        <w:t>方式组织采购</w:t>
      </w:r>
      <w:r>
        <w:rPr/>
        <w:t>广东省体育彩票中心终端机采购项目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广东省体育彩票中心终端机采购项目</w:t>
      </w:r>
    </w:p>
    <w:p>
      <w:pPr>
        <w:ind w:firstLine="480"/>
      </w:pPr>
      <w:r>
        <w:rPr/>
        <w:t>采购计划编号：</w:t>
      </w:r>
      <w:r>
        <w:rPr/>
        <w:t>440001-2023-06833</w:t>
      </w:r>
    </w:p>
    <w:p>
      <w:pPr>
        <w:ind w:firstLine="480"/>
      </w:pPr>
      <w:r>
        <w:rPr/>
        <w:t>采购项目编号：</w:t>
      </w:r>
      <w:r>
        <w:rPr/>
        <w:t>0809-2341GDG12006</w:t>
      </w:r>
    </w:p>
    <w:p>
      <w:pPr>
        <w:ind w:firstLine="480"/>
      </w:pPr>
      <w:r>
        <w:rPr/>
        <w:t>采购方式：</w:t>
      </w:r>
      <w:r>
        <w:rPr/>
        <w:t>公开招标</w:t>
      </w:r>
    </w:p>
    <w:p>
      <w:pPr>
        <w:ind w:firstLine="480"/>
      </w:pPr>
      <w:r>
        <w:rPr/>
        <w:t>预算金额：</w:t>
      </w:r>
      <w:r>
        <w:rPr/>
        <w:t>76,200,000.00</w:t>
      </w:r>
      <w:r>
        <w:rPr/>
        <w:t>元</w:t>
      </w:r>
    </w:p>
    <w:p>
      <w:r>
        <w:rPr>
          <w:b/>
          <w:sz w:val="24"/>
        </w:rPr>
        <w:t>2.项目内容及需求情况（采购项目技术规格、参数及要求）</w:t>
      </w:r>
    </w:p>
    <w:p>
      <w:pPr>
        <w:ind w:firstLine="480"/>
      </w:pPr>
    </w:p>
    <w:p/>
    <w:p>
      <w:r>
        <w:rPr/>
        <w:t>采购包1(传统终端机):</w:t>
      </w:r>
    </w:p>
    <w:p>
      <w:r>
        <w:rPr/>
        <w:t>采购包预算金额：41,910,000.00元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彩票销售设备</w:t>
            </w:r>
          </w:p>
        </w:tc>
        <w:tc>
          <w:tcPr>
            <w:tcW w:type="dxa" w:w="2136"/>
          </w:tcPr>
          <w:p>
            <w:r>
              <w:rPr/>
              <w:t>传统终端机</w:t>
            </w:r>
          </w:p>
        </w:tc>
        <w:tc>
          <w:tcPr>
            <w:tcW w:type="dxa" w:w="1187"/>
          </w:tcPr>
          <w:p>
            <w:r>
              <w:rPr/>
              <w:t>3,300.0000(台)</w:t>
            </w:r>
          </w:p>
        </w:tc>
        <w:tc>
          <w:tcPr>
            <w:tcW w:type="dxa" w:w="1187"/>
          </w:tcPr>
          <w:p>
            <w:r>
              <w:rPr/>
              <w:t>详见第二章</w:t>
            </w:r>
          </w:p>
        </w:tc>
        <w:tc>
          <w:tcPr>
            <w:tcW w:type="dxa" w:w="1187"/>
          </w:tcPr>
          <w:p>
            <w:r>
              <w:rPr/>
              <w:t>否</w:t>
            </w:r>
          </w:p>
        </w:tc>
      </w:tr>
    </w:tbl>
    <w:p/>
    <w:p>
      <w:r>
        <w:rPr/>
        <w:t>本采购包不接受联合体投标</w:t>
      </w:r>
    </w:p>
    <w:p/>
    <w:p>
      <w:r>
        <w:rPr/>
        <w:t>合同履行期限：自采购人下达供货通知之日起，1个月内完成货物的供货、安装调试、验收等相关服务</w:t>
      </w:r>
    </w:p>
    <w:p/>
    <w:p>
      <w:r>
        <w:rPr/>
        <w:t>采购包2(传统终端机):</w:t>
      </w:r>
    </w:p>
    <w:p>
      <w:r>
        <w:rPr/>
        <w:t>采购包预算金额：34,290,000.00元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彩票销售设备</w:t>
            </w:r>
          </w:p>
        </w:tc>
        <w:tc>
          <w:tcPr>
            <w:tcW w:type="dxa" w:w="2136"/>
          </w:tcPr>
          <w:p>
            <w:r>
              <w:rPr/>
              <w:t>传统终端机</w:t>
            </w:r>
          </w:p>
        </w:tc>
        <w:tc>
          <w:tcPr>
            <w:tcW w:type="dxa" w:w="1187"/>
          </w:tcPr>
          <w:p>
            <w:r>
              <w:rPr/>
              <w:t>2,700.0000(台)</w:t>
            </w:r>
          </w:p>
        </w:tc>
        <w:tc>
          <w:tcPr>
            <w:tcW w:type="dxa" w:w="1187"/>
          </w:tcPr>
          <w:p>
            <w:r>
              <w:rPr/>
              <w:t>详见第二章</w:t>
            </w:r>
          </w:p>
        </w:tc>
        <w:tc>
          <w:tcPr>
            <w:tcW w:type="dxa" w:w="1187"/>
          </w:tcPr>
          <w:p>
            <w:r>
              <w:rPr/>
              <w:t>否</w:t>
            </w:r>
          </w:p>
        </w:tc>
      </w:tr>
    </w:tbl>
    <w:p/>
    <w:p>
      <w:r>
        <w:rPr/>
        <w:t>本采购包不接受联合体投标</w:t>
      </w:r>
    </w:p>
    <w:p/>
    <w:p>
      <w:r>
        <w:rPr/>
        <w:t>合同履行期限：自采购人下达供货通知之日起，1个月内完成货物的供货、安装调试、验收等相关服务</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或最近一期财务报表（适用在上一年度或本财务年度成立的法人或其他组织），或人民银行出具的个人信用报告（适用于自然人），或提供《投标函》。（如投标人已对接“粤省事”“粤商通”等系统且能通过系统查询到相关内容，则无须提供该项证明文件）</w:t>
      </w:r>
    </w:p>
    <w:p/>
    <w:p>
      <w:r>
        <w:rPr/>
        <w:t>4）履行合同所必需的设备和专业技术能力：提供承诺函原件或填报设备及专业技术能力情况。</w:t>
      </w:r>
    </w:p>
    <w:p/>
    <w:p>
      <w:r>
        <w:rPr/>
        <w:t>5）参加采购活动前3年内，在经营活动中没有重大违法记录：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采购包1（传统终端机）：</w:t>
      </w:r>
      <w:r>
        <w:rPr/>
        <w:t>采购包整体专门面向中小企业。要求投标供应商提供的货物须全部由中小企业生产且使用该中小企业商号或注册商标。如果投标供应商提供的全部货物的制造商同时包含中型企业和小微企业的，则投标供应商须以分包形式将采购包的一定比例（70%以上）的货物分包给一家或者多家小微企业制造。提供投标供应商出具的《分包意向协议书》、《中小企业声明函（货物）》，若货物制造商为残疾人福利性单位或监狱企业的，还须提供相应的《残疾人福利性单位声明函》或属于监狱企业的证明文件。格式见投标文件格式（其中《分包意向协议书》见采购公告附件）（注：①接受分包合同的小微企业与投标供应商（即分包方）之间不得存在直接控股、管理关系；②接受分包合同的任何一方不得再以自己名义单独或接受其他投标供应商的分包参加同一采购包的投标，否则相关方的投标将被拒绝；③如果投标供应商提供的全部货物的制造商均为小微企业，无需再向其他小微企业分包。）</w:t>
      </w:r>
    </w:p>
    <w:p>
      <w:pPr>
        <w:jc w:val="left"/>
      </w:pPr>
    </w:p>
    <w:p>
      <w:r>
        <w:rPr/>
        <w:t>采购包2（传统终端机）：</w:t>
      </w:r>
      <w:r>
        <w:rPr/>
        <w:t>采购包整体专门面向中小企业。要求投标供应商提供的货物须全部由中小企业生产且使用该中小企业商号或注册商标。如果投标供应商提供的全部货物的制造商同时包含中型企业和小微企业的，则投标供应商须以分包形式将采购包的一定比例（70%以上）的货物分包给一家或者多家小微企业制造。提供投标供应商出具的《分包意向协议书》、《中小企业声明函（货物）》，若货物制造商为残疾人福利性单位或监狱企业的，还须提供相应的《残疾人福利性单位声明函》或属于监狱企业的证明文件。格式见投标文件格式（其中《分包意向协议书》见采购公告附件）（注：①接受分包合同的小微企业与投标供应商（即分包方）之间不得存在直接控股、管理关系；②接受分包合同的任何一方不得再以自己名义单独或接受其他投标供应商的分包参加同一采购包的投标，否则相关方的投标将被拒绝；③如果投标供应商提供的全部货物的制造商均为小微企业，无需再向其他小微企业分包。）</w:t>
      </w:r>
    </w:p>
    <w:p/>
    <w:p>
      <w:r>
        <w:rPr>
          <w:b/>
          <w:sz w:val="24"/>
        </w:rPr>
        <w:t>3.本项目特定的资格要求：</w:t>
      </w:r>
    </w:p>
    <w:p>
      <w:pPr>
        <w:ind w:firstLine="480"/>
      </w:pPr>
    </w:p>
    <w:p/>
    <w:p>
      <w:r>
        <w:rPr/>
        <w:t>采购包1（传统终端机）：</w:t>
      </w:r>
    </w:p>
    <w:p/>
    <w:p>
      <w:r>
        <w:rPr/>
        <w:t>1)供应商未被列入“中国执行信息公开网”（zxgk.court.gov.cn）“记录失信被执行人”名单、“信用中国”网站(www.creditchina.gov.cn)“重大税收违法失信主体或政府采购严重违法失信行为”记录名单；不处于中国政府采购网(www.ccgp.gov.cn)“政府采购严重违法失信行为信息记录”中的禁止参加政府采购活动期间。（以资格审查人员于投标（响应）截止时间当天在“中国执行信息公开网”（zxgk.court.gov.cn）、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t>采购包2（传统终端机）：</w:t>
      </w:r>
    </w:p>
    <w:p/>
    <w:p>
      <w:r>
        <w:rPr/>
        <w:t>1)供应商未被列入“中国执行信息公开网”（zxgk.court.gov.cn）“记录失信被执行人”名单、“信用中国”网站(www.creditchina.gov.cn)“重大税收违法失信主体或政府采购严重违法失信行为”记录名单；不处于中国政府采购网(www.ccgp.gov.cn)“政府采购严重违法失信行为信息记录”中的禁止参加政府采购活动期间。（以资格审查人员于投标（响应）截止时间当天在“中国执行信息公开网”（zxgk.court.gov.cn）、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广东华伦招标有限公司（http://www.gdhualun.com.cn/）</w:t>
      </w:r>
    </w:p>
    <w:p>
      <w:r>
        <w:rPr>
          <w:b/>
          <w:sz w:val="28"/>
        </w:rPr>
        <w:t>六.本项目联系方式：</w:t>
      </w:r>
    </w:p>
    <w:p>
      <w:r>
        <w:rPr>
          <w:b/>
          <w:sz w:val="24"/>
        </w:rPr>
        <w:t>1.采购人信息</w:t>
      </w:r>
    </w:p>
    <w:p>
      <w:pPr>
        <w:ind w:firstLine="480"/>
      </w:pPr>
      <w:r>
        <w:rPr/>
        <w:t>名称：</w:t>
      </w:r>
      <w:r>
        <w:rPr/>
        <w:t>广东省体育彩票中心</w:t>
      </w:r>
    </w:p>
    <w:p>
      <w:pPr>
        <w:ind w:firstLine="480"/>
      </w:pPr>
      <w:r>
        <w:rPr/>
        <w:t>地址：</w:t>
      </w:r>
      <w:r>
        <w:rPr/>
        <w:t>广州市天河区广州大道中1256号广东体彩运营控制中心（实训基地）</w:t>
      </w:r>
    </w:p>
    <w:p>
      <w:pPr>
        <w:ind w:firstLine="480"/>
      </w:pPr>
      <w:r>
        <w:rPr/>
        <w:t>联系方式：</w:t>
      </w:r>
      <w:r>
        <w:rPr/>
        <w:t>020-37602594</w:t>
      </w:r>
    </w:p>
    <w:p>
      <w:r>
        <w:rPr>
          <w:b/>
          <w:sz w:val="24"/>
        </w:rPr>
        <w:t>2.采购代理机构信息</w:t>
      </w:r>
    </w:p>
    <w:p>
      <w:pPr>
        <w:ind w:firstLine="480"/>
      </w:pPr>
      <w:r>
        <w:rPr/>
        <w:t>名称：</w:t>
      </w:r>
      <w:r>
        <w:rPr/>
        <w:t>广东华伦招标有限公司</w:t>
      </w:r>
    </w:p>
    <w:p>
      <w:pPr>
        <w:ind w:firstLine="480"/>
      </w:pPr>
      <w:r>
        <w:rPr/>
        <w:t>地址：</w:t>
      </w:r>
      <w:r>
        <w:rPr/>
        <w:t>广州市越秀区广仁路1号广仁大厦7楼</w:t>
      </w:r>
    </w:p>
    <w:p>
      <w:pPr>
        <w:ind w:firstLine="480"/>
      </w:pPr>
      <w:r>
        <w:rPr/>
        <w:t>联系方式：</w:t>
      </w:r>
      <w:r>
        <w:rPr/>
        <w:t>020-83172166-821</w:t>
      </w:r>
    </w:p>
    <w:p>
      <w:r>
        <w:rPr>
          <w:b/>
          <w:sz w:val="24"/>
        </w:rPr>
        <w:t>3.项目联系方式</w:t>
      </w:r>
    </w:p>
    <w:p>
      <w:pPr>
        <w:ind w:firstLine="480"/>
      </w:pPr>
      <w:r>
        <w:rPr/>
        <w:t>项目联系人：</w:t>
      </w:r>
      <w:r>
        <w:rPr/>
        <w:t>广东华伦</w:t>
      </w:r>
    </w:p>
    <w:p>
      <w:pPr>
        <w:ind w:firstLine="480"/>
      </w:pPr>
      <w:r>
        <w:rPr/>
        <w:t>电话：</w:t>
      </w:r>
      <w:r>
        <w:rPr/>
        <w:t>020-83172166-821</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p>
    <w:p>
      <w:pPr>
        <w:ind w:firstLine="420"/>
        <w:jc w:val="both"/>
      </w:pPr>
      <w:r>
        <w:rPr>
          <w:sz w:val="21"/>
        </w:rPr>
        <w:t>1.凡列入《中华人民共和国实施强制性产品认证的产品目录》的产品在验收时必须出具CCC认证证书复印件，并以在产品外部加施认证标志作为验收依据之一。</w:t>
      </w:r>
    </w:p>
    <w:p>
      <w:pPr>
        <w:ind w:firstLine="420"/>
        <w:jc w:val="both"/>
      </w:pPr>
      <w:r>
        <w:rPr>
          <w:sz w:val="21"/>
        </w:rPr>
        <w:t>2.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ind w:firstLine="420"/>
        <w:jc w:val="both"/>
      </w:pPr>
      <w:r>
        <w:rPr>
          <w:sz w:val="21"/>
        </w:rPr>
        <w:t>3.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ind w:firstLine="420"/>
        <w:jc w:val="both"/>
      </w:pPr>
      <w:r>
        <w:rPr>
          <w:sz w:val="21"/>
        </w:rPr>
        <w:t>4.涉及到软件产品的，必须采购和使用正版软件，项目中涉及计算机办公产品的，必须预装正版操作系统软件。</w:t>
      </w:r>
    </w:p>
    <w:p>
      <w:pPr>
        <w:ind w:firstLine="420"/>
        <w:jc w:val="both"/>
      </w:pPr>
      <w:r>
        <w:rPr>
          <w:sz w:val="21"/>
        </w:rPr>
        <w:t>5.投标人没有在投标文件中注明偏离（文字说明或在响应表注明）的参数、配置、条款视为被投标人完全接受。</w:t>
      </w:r>
    </w:p>
    <w:p>
      <w:pPr>
        <w:ind w:firstLine="420"/>
        <w:jc w:val="both"/>
      </w:pPr>
      <w:r>
        <w:rPr>
          <w:sz w:val="21"/>
        </w:rPr>
        <w:t>6.投标人应保证，采购人在中华人民共和国使用该货物或货物的任何一部分时，免受第三方提出的侵犯其专利权、商标权、著作权或其它知识产权的起诉。</w:t>
      </w:r>
    </w:p>
    <w:p>
      <w:pPr>
        <w:ind w:firstLine="420"/>
        <w:jc w:val="both"/>
      </w:pPr>
      <w:r>
        <w:rPr>
          <w:sz w:val="21"/>
        </w:rPr>
        <w:t>7.根据《关于印发中小企业划型标准规定的通知》（工信部联企业〔2011〕300号）规定，本项目采购标的对应的中小企业划分标准所属行业为：</w:t>
      </w:r>
      <w:r>
        <w:rPr>
          <w:b/>
          <w:sz w:val="21"/>
          <w:u w:val="single"/>
        </w:rPr>
        <w:t>工业</w:t>
      </w:r>
      <w:r>
        <w:rPr>
          <w:sz w:val="21"/>
        </w:rPr>
        <w:t>。</w:t>
      </w:r>
    </w:p>
    <w:p>
      <w:pPr>
        <w:ind w:firstLine="420"/>
        <w:jc w:val="both"/>
      </w:pPr>
      <w:r>
        <w:rPr>
          <w:sz w:val="21"/>
        </w:rPr>
        <w:t>8.需要落实的政府采购政策：《政府采购促进中小企业发展管理办法》的通知（财库[2020]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等。本项目如果节能产品、环境标志产品执行技术得分的评审优惠，不执行价格折扣的评审优惠。</w:t>
      </w:r>
    </w:p>
    <w:p>
      <w:pPr>
        <w:ind w:firstLine="420"/>
        <w:jc w:val="both"/>
      </w:pPr>
      <w:r>
        <w:rPr>
          <w:sz w:val="21"/>
        </w:rPr>
        <w:t>9.凡标记“★”号的条款（如有）为必须实质性响应的要求，供应商任何负偏离（不满足要求）或不响应均导致其投标（响应）无效。凡标记“▲”号的条款（如有）为重要的要求，供应商任何负偏离（不满足要求）或不响应不导致其投标（响应）无效，但可能对其评审产生重大的影响，具体见项目评审标准。</w:t>
      </w:r>
    </w:p>
    <w:p>
      <w:pPr>
        <w:ind w:firstLine="420"/>
        <w:jc w:val="both"/>
      </w:pPr>
      <w:r>
        <w:rPr/>
        <w:t xml:space="preserve"> </w:t>
      </w:r>
    </w:p>
    <w:p>
      <w:pPr>
        <w:ind w:firstLine="420"/>
        <w:jc w:val="both"/>
      </w:pPr>
      <w:r>
        <w:rPr/>
        <w:t xml:space="preserve"> </w:t>
      </w:r>
    </w:p>
    <w:p>
      <w:pPr>
        <w:jc w:val="both"/>
      </w:pPr>
    </w:p>
    <w:p>
      <w:pPr>
        <w:jc w:val="both"/>
      </w:pPr>
    </w:p>
    <w:p>
      <w:pPr>
        <w:jc w:val="both"/>
      </w:pPr>
    </w:p>
    <w:p>
      <w:pPr>
        <w:jc w:val="both"/>
      </w:pPr>
      <w:r>
        <w:rPr>
          <w:b/>
          <w:sz w:val="21"/>
        </w:rPr>
        <w:t>附表：</w:t>
      </w:r>
    </w:p>
    <w:p>
      <w:pPr>
        <w:jc w:val="both"/>
      </w:pPr>
    </w:p>
    <w:p>
      <w:pPr>
        <w:jc w:val="both"/>
      </w:pPr>
      <w:r>
        <w:rPr>
          <w:sz w:val="21"/>
        </w:rPr>
        <w:t>1.彩票销售专用终端机要求规格表（适用于所有采购包）</w:t>
      </w:r>
    </w:p>
    <w:tbl>
      <w:tblPr>
        <w:tblW w:w="0" w:type="auto"/>
        <w:tblBorders>
          <w:top w:val="none" w:color="000000" w:sz="4"/>
          <w:left w:val="none" w:color="000000" w:sz="4"/>
          <w:bottom w:val="none" w:color="000000" w:sz="4"/>
          <w:right w:val="none" w:color="000000" w:sz="4"/>
          <w:insideH w:val="none"/>
          <w:insideV w:val="none"/>
        </w:tblBorders>
      </w:tblPr>
      <w:tblGrid>
        <w:gridCol w:w="1038"/>
        <w:gridCol w:w="710"/>
        <w:gridCol w:w="1148"/>
        <w:gridCol w:w="4112"/>
        <w:gridCol w:w="1298"/>
      </w:tblGrid>
      <w:tr>
        <w:tc>
          <w:tcPr>
            <w:tcW w:type="dxa" w:w="2896"/>
            <w:gridSpan w:val="3"/>
            <w:tcBorders>
              <w:top w:val="single" w:color="000000" w:sz="4"/>
              <w:left w:val="single" w:color="000000" w:sz="4"/>
              <w:bottom w:val="single" w:color="000000" w:sz="4"/>
              <w:right w:val="single" w:color="000000" w:sz="4"/>
            </w:tcBorders>
            <w:vAlign w:val="top"/>
          </w:tcPr>
          <w:p>
            <w:pPr>
              <w:jc w:val="center"/>
            </w:pPr>
            <w:r>
              <w:rPr>
                <w:sz w:val="21"/>
              </w:rPr>
              <w:t>配置</w:t>
            </w:r>
          </w:p>
        </w:tc>
        <w:tc>
          <w:tcPr>
            <w:tcW w:type="dxa" w:w="4112"/>
            <w:tcBorders>
              <w:top w:val="single" w:color="000000" w:sz="4"/>
              <w:left w:val="single" w:color="000000" w:sz="4"/>
              <w:bottom w:val="single" w:color="000000" w:sz="4"/>
              <w:right w:val="single" w:color="000000" w:sz="4"/>
            </w:tcBorders>
            <w:vAlign w:val="top"/>
          </w:tcPr>
          <w:p>
            <w:pPr>
              <w:jc w:val="center"/>
            </w:pPr>
            <w:r>
              <w:rPr>
                <w:sz w:val="21"/>
              </w:rPr>
              <w:t>要求说明</w:t>
            </w:r>
          </w:p>
        </w:tc>
        <w:tc>
          <w:tcPr>
            <w:tcW w:type="dxa" w:w="1298"/>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r>
              <w:rPr>
                <w:sz w:val="21"/>
              </w:rPr>
              <w:t>主机</w:t>
            </w: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主板</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标准工业级主板；</w:t>
            </w:r>
          </w:p>
          <w:p>
            <w:pPr>
              <w:jc w:val="both"/>
            </w:pPr>
            <w:r>
              <w:rPr>
                <w:sz w:val="21"/>
              </w:rPr>
              <w:t>多种安全策略，支持即插即用，</w:t>
            </w:r>
            <w:r>
              <w:rPr>
                <w:sz w:val="21"/>
              </w:rPr>
              <w:t>USB启动；</w:t>
            </w:r>
          </w:p>
          <w:p>
            <w:pPr>
              <w:jc w:val="both"/>
            </w:pPr>
            <w:r>
              <w:rPr>
                <w:sz w:val="21"/>
              </w:rPr>
              <w:t>前端总线不低于</w:t>
            </w:r>
            <w:r>
              <w:rPr>
                <w:sz w:val="21"/>
              </w:rPr>
              <w:t>800MHz。</w:t>
            </w:r>
          </w:p>
          <w:p>
            <w:pPr>
              <w:jc w:val="both"/>
            </w:pPr>
            <w:r>
              <w:rPr>
                <w:sz w:val="21"/>
              </w:rPr>
              <w:t>（投标人必须注明主板品牌和型号，详细列明使用芯片组的性能参数，所能支持的</w:t>
            </w:r>
            <w:r>
              <w:rPr>
                <w:sz w:val="21"/>
              </w:rPr>
              <w:t>CPU型号，支持内存的类型和内存插槽的数量最大内存值。）</w:t>
            </w:r>
          </w:p>
        </w:tc>
        <w:tc>
          <w:tcPr>
            <w:tcW w:type="dxa" w:w="1298"/>
            <w:tcBorders>
              <w:top w:val="singl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▲CPU</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X86架构工业级CPU，主频不低于2.0GHz，二级缓存不低于1MB（投标人必须注明CPU的品牌型号及详细性能参数）</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▲内存</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不低于</w:t>
            </w:r>
            <w:r>
              <w:rPr>
                <w:sz w:val="21"/>
              </w:rPr>
              <w:t>DDRII 2GB</w:t>
            </w:r>
            <w:r>
              <w:rPr>
                <w:b/>
                <w:sz w:val="21"/>
              </w:rPr>
              <w:t>。</w:t>
            </w:r>
            <w:r>
              <w:rPr>
                <w:sz w:val="21"/>
              </w:rPr>
              <w:t>（投标人必须注明内存的品牌和详细的性能参数）</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▲存储</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&gt;=8G DOM或SSD（投标人必须注明品牌型号，以及可能的升级方案）</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电源</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频率：</w:t>
            </w:r>
            <w:r>
              <w:rPr>
                <w:sz w:val="21"/>
              </w:rPr>
              <w:t>50Hz~60Hz；</w:t>
            </w:r>
          </w:p>
          <w:p>
            <w:pPr>
              <w:jc w:val="both"/>
            </w:pPr>
            <w:r>
              <w:rPr>
                <w:sz w:val="21"/>
              </w:rPr>
              <w:t>电压：</w:t>
            </w:r>
            <w:r>
              <w:rPr>
                <w:sz w:val="21"/>
              </w:rPr>
              <w:t>110V~240V；</w:t>
            </w:r>
          </w:p>
          <w:p>
            <w:pPr>
              <w:jc w:val="both"/>
            </w:pPr>
            <w:r>
              <w:rPr>
                <w:sz w:val="21"/>
              </w:rPr>
              <w:t>额定功率应满足将来扩展外设的要求；</w:t>
            </w:r>
          </w:p>
          <w:p>
            <w:pPr>
              <w:jc w:val="both"/>
            </w:pPr>
            <w:r>
              <w:rPr>
                <w:sz w:val="21"/>
              </w:rPr>
              <w:t>电源具有过压、欠压保护功能（投标人必须注明品牌型号和电源的特征参数）。</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▲显示屏</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分辨率支持不低于</w:t>
            </w:r>
            <w:r>
              <w:rPr>
                <w:sz w:val="21"/>
              </w:rPr>
              <w:t>1024*768,800*600像素；</w:t>
            </w:r>
          </w:p>
          <w:p>
            <w:pPr>
              <w:jc w:val="both"/>
            </w:pPr>
            <w:r>
              <w:rPr>
                <w:sz w:val="21"/>
              </w:rPr>
              <w:t>有效显示范围不低于</w:t>
            </w:r>
            <w:r>
              <w:rPr>
                <w:sz w:val="21"/>
              </w:rPr>
              <w:t>12.1英寸；</w:t>
            </w:r>
          </w:p>
          <w:p>
            <w:pPr>
              <w:jc w:val="both"/>
            </w:pPr>
            <w:r>
              <w:rPr>
                <w:sz w:val="21"/>
              </w:rPr>
              <w:t>垂直视角不小于</w:t>
            </w:r>
            <w:r>
              <w:rPr>
                <w:sz w:val="21"/>
              </w:rPr>
              <w:t>- 45 ~ + 45度，水平视角不小于- 45 ~ + 45度；</w:t>
            </w:r>
          </w:p>
          <w:p>
            <w:pPr>
              <w:jc w:val="both"/>
            </w:pPr>
            <w:r>
              <w:rPr>
                <w:sz w:val="21"/>
              </w:rPr>
              <w:t>（投标人必须注明品牌型号以及各项性能参数）</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▲显示接口</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显卡带</w:t>
            </w:r>
            <w:r>
              <w:rPr>
                <w:sz w:val="21"/>
              </w:rPr>
              <w:t>3D加速；</w:t>
            </w:r>
          </w:p>
          <w:p>
            <w:pPr>
              <w:jc w:val="both"/>
            </w:pPr>
            <w:r>
              <w:rPr>
                <w:sz w:val="21"/>
              </w:rPr>
              <w:t>或支持双通道独立输出，显卡支持</w:t>
            </w:r>
            <w:r>
              <w:rPr>
                <w:sz w:val="21"/>
              </w:rPr>
              <w:t>1280*720、1024*768、800*600像素；</w:t>
            </w:r>
          </w:p>
          <w:p>
            <w:pPr>
              <w:jc w:val="both"/>
            </w:pPr>
            <w:r>
              <w:rPr>
                <w:sz w:val="21"/>
              </w:rPr>
              <w:t>至少支持一种视频输出模式（数字视频），可三屏显示输出（</w:t>
            </w:r>
            <w:r>
              <w:rPr>
                <w:sz w:val="21"/>
              </w:rPr>
              <w:t>2个异步1个同步）；</w:t>
            </w:r>
          </w:p>
          <w:p>
            <w:pPr>
              <w:jc w:val="both"/>
            </w:pPr>
            <w:r>
              <w:rPr>
                <w:sz w:val="21"/>
              </w:rPr>
              <w:t>数字视频带宽</w:t>
            </w:r>
            <w:r>
              <w:rPr>
                <w:sz w:val="21"/>
              </w:rPr>
              <w:t>&gt;150M（投标人必须注明是否为独立显卡，所选用的芯片组的品牌型号，如独立显卡须注明品牌型号显存大小等参数、集成显卡需注明最大可使用内存的数量）。</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主机安全</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产品安全要求应符合</w:t>
            </w:r>
            <w:r>
              <w:rPr>
                <w:sz w:val="21"/>
              </w:rPr>
              <w:t>GB 4943.1的有关规定；</w:t>
            </w:r>
          </w:p>
          <w:p>
            <w:pPr>
              <w:jc w:val="both"/>
            </w:pPr>
            <w:r>
              <w:rPr>
                <w:sz w:val="21"/>
              </w:rPr>
              <w:t>至少提供</w:t>
            </w:r>
            <w:r>
              <w:rPr>
                <w:sz w:val="21"/>
              </w:rPr>
              <w:t>2级BIOS密码；</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声卡</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兼容标准</w:t>
            </w:r>
            <w:r>
              <w:rPr>
                <w:sz w:val="21"/>
              </w:rPr>
              <w:t>AC97；</w:t>
            </w:r>
          </w:p>
          <w:p>
            <w:pPr>
              <w:jc w:val="both"/>
            </w:pPr>
            <w:r>
              <w:rPr>
                <w:sz w:val="21"/>
              </w:rPr>
              <w:t>集成扬声器，并可外接电视、音箱等音频输出设备；</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710"/>
            <w:vMerge w:val="restart"/>
            <w:tcBorders>
              <w:top w:val="none" w:color="000000" w:sz="4"/>
              <w:left w:val="single" w:color="000000" w:sz="4"/>
              <w:bottom w:val="single" w:color="000000" w:sz="4"/>
              <w:right w:val="single" w:color="000000" w:sz="4"/>
            </w:tcBorders>
            <w:vAlign w:val="top"/>
          </w:tcPr>
          <w:p>
            <w:pPr>
              <w:jc w:val="both"/>
            </w:pPr>
            <w:r>
              <w:rPr>
                <w:sz w:val="21"/>
              </w:rPr>
              <w:t>接口</w:t>
            </w:r>
          </w:p>
        </w:tc>
        <w:tc>
          <w:tcPr>
            <w:tcW w:type="dxa" w:w="1148"/>
            <w:tcBorders>
              <w:top w:val="none" w:color="000000" w:sz="4"/>
              <w:left w:val="single" w:color="000000" w:sz="4"/>
              <w:bottom w:val="single" w:color="000000" w:sz="4"/>
              <w:right w:val="single" w:color="000000" w:sz="4"/>
            </w:tcBorders>
            <w:vAlign w:val="top"/>
          </w:tcPr>
          <w:p>
            <w:pPr>
              <w:jc w:val="both"/>
            </w:pPr>
            <w:r>
              <w:rPr>
                <w:sz w:val="21"/>
              </w:rPr>
              <w:t>Usb口</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&gt;=4 个USB接口，支持USB1.1及以上标准</w:t>
            </w:r>
          </w:p>
        </w:tc>
        <w:tc>
          <w:tcPr>
            <w:tcW w:type="dxa" w:w="1298"/>
            <w:tcBorders>
              <w:top w:val="singl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710"/>
            <w:vMerge/>
            <w:tcBorders>
              <w:top w:val="none" w:color="000000" w:sz="4"/>
              <w:left w:val="single" w:color="000000" w:sz="4"/>
              <w:bottom w:val="single" w:color="000000" w:sz="4"/>
              <w:right w:val="single" w:color="000000" w:sz="4"/>
            </w:tcBorders>
          </w:tcPr>
          <w:p/>
        </w:tc>
        <w:tc>
          <w:tcPr>
            <w:tcW w:type="dxa" w:w="1148"/>
            <w:tcBorders>
              <w:top w:val="none" w:color="000000" w:sz="4"/>
              <w:left w:val="single" w:color="000000" w:sz="4"/>
              <w:bottom w:val="single" w:color="000000" w:sz="4"/>
              <w:right w:val="single" w:color="000000" w:sz="4"/>
            </w:tcBorders>
            <w:vAlign w:val="top"/>
          </w:tcPr>
          <w:p>
            <w:pPr>
              <w:jc w:val="both"/>
            </w:pPr>
            <w:r>
              <w:rPr>
                <w:sz w:val="21"/>
              </w:rPr>
              <w:t>PCI接口</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1个2.0及以上PCI插槽</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710"/>
            <w:vMerge/>
            <w:tcBorders>
              <w:top w:val="none" w:color="000000" w:sz="4"/>
              <w:left w:val="single" w:color="000000" w:sz="4"/>
              <w:bottom w:val="single" w:color="000000" w:sz="4"/>
              <w:right w:val="single" w:color="000000" w:sz="4"/>
            </w:tcBorders>
          </w:tcPr>
          <w:p/>
        </w:tc>
        <w:tc>
          <w:tcPr>
            <w:tcW w:type="dxa" w:w="1148"/>
            <w:tcBorders>
              <w:top w:val="none" w:color="000000" w:sz="4"/>
              <w:left w:val="single" w:color="000000" w:sz="4"/>
              <w:bottom w:val="single" w:color="000000" w:sz="4"/>
              <w:right w:val="single" w:color="000000" w:sz="4"/>
            </w:tcBorders>
            <w:vAlign w:val="top"/>
          </w:tcPr>
          <w:p>
            <w:pPr>
              <w:jc w:val="both"/>
            </w:pPr>
            <w:r>
              <w:rPr>
                <w:sz w:val="21"/>
              </w:rPr>
              <w:t>键盘</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1个标准键盘接口PS/2或USB；</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710"/>
            <w:vMerge/>
            <w:tcBorders>
              <w:top w:val="none" w:color="000000" w:sz="4"/>
              <w:left w:val="single" w:color="000000" w:sz="4"/>
              <w:bottom w:val="single" w:color="000000" w:sz="4"/>
              <w:right w:val="single" w:color="000000" w:sz="4"/>
            </w:tcBorders>
          </w:tcPr>
          <w:p/>
        </w:tc>
        <w:tc>
          <w:tcPr>
            <w:tcW w:type="dxa" w:w="1148"/>
            <w:tcBorders>
              <w:top w:val="none" w:color="000000" w:sz="4"/>
              <w:left w:val="single" w:color="000000" w:sz="4"/>
              <w:bottom w:val="single" w:color="000000" w:sz="4"/>
              <w:right w:val="single" w:color="000000" w:sz="4"/>
            </w:tcBorders>
            <w:vAlign w:val="top"/>
          </w:tcPr>
          <w:p>
            <w:pPr>
              <w:jc w:val="both"/>
            </w:pPr>
            <w:r>
              <w:rPr>
                <w:sz w:val="21"/>
              </w:rPr>
              <w:t>▲以太网接口（802.3）</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&gt;=1内置10/100M自适应网卡接口 （投标人必须注明品牌型号）</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val="restart"/>
            <w:tcBorders>
              <w:top w:val="none" w:color="000000" w:sz="4"/>
              <w:left w:val="single" w:color="000000" w:sz="4"/>
              <w:bottom w:val="single" w:color="000000" w:sz="4"/>
              <w:right w:val="single" w:color="000000" w:sz="4"/>
            </w:tcBorders>
            <w:vAlign w:val="top"/>
          </w:tcPr>
          <w:p>
            <w:pPr>
              <w:jc w:val="both"/>
            </w:pPr>
            <w:r>
              <w:rPr>
                <w:sz w:val="21"/>
              </w:rPr>
              <w:t>外设</w:t>
            </w: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▲打印机</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打印纸宽度支持</w:t>
            </w:r>
            <w:r>
              <w:rPr>
                <w:sz w:val="21"/>
              </w:rPr>
              <w:t>79mm-82.5mm；</w:t>
            </w:r>
          </w:p>
          <w:p>
            <w:pPr>
              <w:jc w:val="both"/>
            </w:pPr>
            <w:r>
              <w:rPr>
                <w:sz w:val="21"/>
              </w:rPr>
              <w:t>支</w:t>
            </w:r>
            <w:r>
              <w:rPr>
                <w:sz w:val="21"/>
              </w:rPr>
              <w:t>持一维、二维条形码（</w:t>
            </w:r>
            <w:r>
              <w:rPr>
                <w:sz w:val="21"/>
              </w:rPr>
              <w:t>PDF417）打印；</w:t>
            </w:r>
          </w:p>
          <w:p>
            <w:pPr>
              <w:jc w:val="both"/>
            </w:pPr>
            <w:r>
              <w:rPr>
                <w:sz w:val="21"/>
              </w:rPr>
              <w:t>打印头寿命不低于</w:t>
            </w:r>
            <w:r>
              <w:rPr>
                <w:sz w:val="21"/>
              </w:rPr>
              <w:t>120KM；</w:t>
            </w:r>
          </w:p>
          <w:p>
            <w:pPr>
              <w:jc w:val="both"/>
            </w:pPr>
            <w:r>
              <w:rPr>
                <w:sz w:val="21"/>
              </w:rPr>
              <w:t>裁纸刀使用寿命不少于</w:t>
            </w:r>
            <w:r>
              <w:rPr>
                <w:sz w:val="21"/>
              </w:rPr>
              <w:t>100万次</w:t>
            </w:r>
            <w:r>
              <w:rPr>
                <w:sz w:val="21"/>
              </w:rPr>
              <w:t>；</w:t>
            </w:r>
          </w:p>
          <w:p>
            <w:pPr>
              <w:jc w:val="both"/>
            </w:pPr>
            <w:r>
              <w:rPr>
                <w:sz w:val="21"/>
              </w:rPr>
              <w:t>支持中文字符（</w:t>
            </w:r>
            <w:r>
              <w:rPr>
                <w:sz w:val="21"/>
              </w:rPr>
              <w:t>GB2312或GB18030）、图像、LOGO打印功能；</w:t>
            </w:r>
          </w:p>
          <w:p>
            <w:pPr>
              <w:jc w:val="both"/>
            </w:pPr>
            <w:r>
              <w:rPr>
                <w:sz w:val="21"/>
              </w:rPr>
              <w:t>支持状态检测；</w:t>
            </w:r>
          </w:p>
          <w:p>
            <w:pPr>
              <w:jc w:val="both"/>
            </w:pPr>
            <w:r>
              <w:rPr>
                <w:sz w:val="21"/>
              </w:rPr>
              <w:t>支持黑标切纸和非黑标切纸模式；</w:t>
            </w:r>
          </w:p>
          <w:p>
            <w:pPr>
              <w:jc w:val="both"/>
            </w:pPr>
            <w:r>
              <w:rPr>
                <w:sz w:val="21"/>
              </w:rPr>
              <w:t>打印纸安装过程为一次导入；</w:t>
            </w:r>
          </w:p>
          <w:p>
            <w:pPr>
              <w:jc w:val="both"/>
            </w:pPr>
            <w:r>
              <w:rPr>
                <w:sz w:val="21"/>
              </w:rPr>
              <w:t>纸舱盖关闭状态下，上电及初始化时打印纸自动定位至工作位置（避免浪费打印纸）；</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▲读票机</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寿命不少于</w:t>
            </w:r>
            <w:r>
              <w:rPr>
                <w:sz w:val="21"/>
              </w:rPr>
              <w:t>200万张；</w:t>
            </w:r>
          </w:p>
          <w:p>
            <w:pPr>
              <w:jc w:val="both"/>
            </w:pPr>
            <w:r>
              <w:rPr>
                <w:sz w:val="21"/>
              </w:rPr>
              <w:t>卡纸率</w:t>
            </w:r>
            <w:r>
              <w:rPr>
                <w:sz w:val="21"/>
              </w:rPr>
              <w:t>&lt;0.1%；</w:t>
            </w:r>
          </w:p>
          <w:p>
            <w:pPr>
              <w:jc w:val="both"/>
            </w:pPr>
            <w:r>
              <w:rPr>
                <w:sz w:val="21"/>
              </w:rPr>
              <w:t>支持状态检测；</w:t>
            </w:r>
          </w:p>
          <w:p>
            <w:pPr>
              <w:jc w:val="both"/>
            </w:pPr>
            <w:r>
              <w:rPr>
                <w:sz w:val="21"/>
              </w:rPr>
              <w:t>支持标记打印（可打印西文、中文、图像）；</w:t>
            </w:r>
          </w:p>
          <w:p>
            <w:pPr>
              <w:jc w:val="both"/>
            </w:pPr>
            <w:r>
              <w:rPr>
                <w:sz w:val="21"/>
              </w:rPr>
              <w:t>支持标记内容可编辑；</w:t>
            </w:r>
          </w:p>
          <w:p>
            <w:pPr>
              <w:jc w:val="both"/>
            </w:pPr>
            <w:r>
              <w:rPr>
                <w:sz w:val="21"/>
              </w:rPr>
              <w:t>支持现有体育彩票黑标（大、小黑标）类型；</w:t>
            </w:r>
          </w:p>
          <w:p>
            <w:pPr>
              <w:jc w:val="both"/>
            </w:pPr>
            <w:r>
              <w:rPr>
                <w:sz w:val="21"/>
              </w:rPr>
              <w:t>支持一维条码（</w:t>
            </w:r>
            <w:r>
              <w:rPr>
                <w:sz w:val="21"/>
              </w:rPr>
              <w:t>UPC、EAN、39码、128码）；</w:t>
            </w:r>
          </w:p>
          <w:p>
            <w:pPr>
              <w:jc w:val="both"/>
            </w:pPr>
            <w:r>
              <w:rPr>
                <w:sz w:val="21"/>
              </w:rPr>
              <w:t>支持二维条码（</w:t>
            </w:r>
            <w:r>
              <w:rPr>
                <w:sz w:val="21"/>
              </w:rPr>
              <w:t>PDF417）；</w:t>
            </w:r>
          </w:p>
          <w:p>
            <w:pPr>
              <w:jc w:val="both"/>
            </w:pPr>
            <w:r>
              <w:rPr>
                <w:sz w:val="21"/>
              </w:rPr>
              <w:t>支持票样插入识别；</w:t>
            </w:r>
          </w:p>
          <w:p>
            <w:pPr>
              <w:jc w:val="both"/>
            </w:pPr>
            <w:r>
              <w:rPr>
                <w:sz w:val="21"/>
              </w:rPr>
              <w:t>支持票样读取和弹出控制；</w:t>
            </w:r>
          </w:p>
          <w:p>
            <w:pPr>
              <w:jc w:val="both"/>
            </w:pPr>
            <w:r>
              <w:rPr>
                <w:sz w:val="21"/>
              </w:rPr>
              <w:t>支持票样运送状态</w:t>
            </w:r>
            <w:r>
              <w:rPr>
                <w:sz w:val="21"/>
              </w:rPr>
              <w:t>-完成/失败/卡纸；</w:t>
            </w:r>
          </w:p>
          <w:p>
            <w:pPr>
              <w:jc w:val="both"/>
            </w:pPr>
            <w:r>
              <w:rPr>
                <w:sz w:val="21"/>
              </w:rPr>
              <w:t>支持票样读取数据；</w:t>
            </w:r>
          </w:p>
          <w:p>
            <w:pPr>
              <w:jc w:val="both"/>
            </w:pPr>
            <w:r>
              <w:rPr>
                <w:sz w:val="21"/>
              </w:rPr>
              <w:t>支持</w:t>
            </w:r>
            <w:r>
              <w:rPr>
                <w:sz w:val="21"/>
              </w:rPr>
              <w:t>A4幅面读票，误读率不大于0.1%；</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同步输出顾客显示屏</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分辨率支持</w:t>
            </w:r>
            <w:r>
              <w:rPr>
                <w:sz w:val="21"/>
              </w:rPr>
              <w:t>1024*768,800*600像素；</w:t>
            </w:r>
          </w:p>
          <w:p>
            <w:pPr>
              <w:jc w:val="both"/>
            </w:pPr>
            <w:r>
              <w:rPr>
                <w:sz w:val="21"/>
              </w:rPr>
              <w:t>有效显示范围不低于</w:t>
            </w:r>
            <w:r>
              <w:rPr>
                <w:sz w:val="21"/>
              </w:rPr>
              <w:t>9英寸；</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条码阅读器</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支持一维条码（</w:t>
            </w:r>
            <w:r>
              <w:rPr>
                <w:sz w:val="21"/>
              </w:rPr>
              <w:t>UPC/EAN/39码/Interleaver 2 of 5）；</w:t>
            </w:r>
          </w:p>
          <w:p>
            <w:pPr>
              <w:jc w:val="both"/>
            </w:pPr>
            <w:r>
              <w:rPr>
                <w:sz w:val="21"/>
              </w:rPr>
              <w:t>支持二维条码（</w:t>
            </w:r>
            <w:r>
              <w:rPr>
                <w:sz w:val="21"/>
              </w:rPr>
              <w:t>PDF417、DATAMATRIX、QR码）；</w:t>
            </w:r>
          </w:p>
          <w:p>
            <w:pPr>
              <w:jc w:val="both"/>
            </w:pPr>
            <w:r>
              <w:rPr>
                <w:sz w:val="21"/>
              </w:rPr>
              <w:t>识读最小条宽</w:t>
            </w:r>
            <w:r>
              <w:rPr>
                <w:sz w:val="21"/>
              </w:rPr>
              <w:t>PDF417 5mil；</w:t>
            </w:r>
          </w:p>
          <w:p>
            <w:pPr>
              <w:jc w:val="both"/>
            </w:pPr>
            <w:r>
              <w:rPr>
                <w:sz w:val="21"/>
              </w:rPr>
              <w:t>识读最小条宽</w:t>
            </w:r>
            <w:r>
              <w:rPr>
                <w:sz w:val="21"/>
              </w:rPr>
              <w:t>DATAMATRIX 7.5mil；</w:t>
            </w:r>
          </w:p>
        </w:tc>
        <w:tc>
          <w:tcPr>
            <w:tcW w:type="dxa" w:w="1298"/>
            <w:tcBorders>
              <w:top w:val="none" w:color="000000" w:sz="4"/>
              <w:left w:val="single" w:color="000000" w:sz="4"/>
              <w:bottom w:val="single" w:color="000000" w:sz="4"/>
              <w:right w:val="single" w:color="000000" w:sz="4"/>
            </w:tcBorders>
            <w:vAlign w:val="top"/>
          </w:tcPr>
          <w:p>
            <w:pPr>
              <w:jc w:val="both"/>
            </w:pPr>
            <w:r>
              <w:rPr>
                <w:sz w:val="21"/>
              </w:rPr>
              <w:t>需配置外置式条码阅读器</w:t>
            </w:r>
            <w:r>
              <w:rPr>
                <w:sz w:val="21"/>
              </w:rPr>
              <w:t>1个。外置式需采用USB通讯端口且配备固定架。</w:t>
            </w: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磁卡阅读器（可选）</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支持标准</w:t>
            </w:r>
            <w:r>
              <w:rPr>
                <w:sz w:val="21"/>
              </w:rPr>
              <w:t>ISO7811-7815</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IC卡阅读器（可选）</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支持标准</w:t>
            </w:r>
            <w:r>
              <w:rPr>
                <w:sz w:val="21"/>
              </w:rPr>
              <w:t>ISO7816；</w:t>
            </w:r>
          </w:p>
          <w:p>
            <w:pPr>
              <w:jc w:val="both"/>
            </w:pPr>
            <w:r>
              <w:rPr>
                <w:sz w:val="21"/>
              </w:rPr>
              <w:t>读卡寿命不低于</w:t>
            </w:r>
            <w:r>
              <w:rPr>
                <w:sz w:val="21"/>
              </w:rPr>
              <w:t>30万次；</w:t>
            </w:r>
          </w:p>
          <w:p>
            <w:pPr>
              <w:jc w:val="both"/>
            </w:pPr>
            <w:r>
              <w:rPr>
                <w:sz w:val="21"/>
              </w:rPr>
              <w:t>接触式卡触点可使用次数不低于</w:t>
            </w:r>
            <w:r>
              <w:rPr>
                <w:sz w:val="21"/>
              </w:rPr>
              <w:t>10万次；</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专用销售键盘</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键盘寿命不低于</w:t>
            </w:r>
            <w:r>
              <w:rPr>
                <w:sz w:val="21"/>
              </w:rPr>
              <w:t>2000万次；</w:t>
            </w:r>
          </w:p>
          <w:p>
            <w:pPr>
              <w:jc w:val="both"/>
            </w:pPr>
            <w:r>
              <w:rPr>
                <w:sz w:val="21"/>
              </w:rPr>
              <w:t>不低于</w:t>
            </w:r>
            <w:r>
              <w:rPr>
                <w:sz w:val="21"/>
              </w:rPr>
              <w:t>49个功能键（可编程，并要求有键盘锁）</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路由器</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4个10/100M自适应接口，性能稳定（不带无线功能）。</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中国体育彩票实体店电子信息显示机顶盒</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★供应商提供的中国体育彩票实体店电子信息显示机顶盒，必须符合《中国体育彩票实体店电子信息显示管理暂行办法》技术要求，并通过软件兼容性测试（提供承诺函）。</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val="restart"/>
            <w:tcBorders>
              <w:top w:val="none" w:color="000000" w:sz="4"/>
              <w:left w:val="single" w:color="000000" w:sz="4"/>
              <w:bottom w:val="single" w:color="000000" w:sz="4"/>
              <w:right w:val="single" w:color="000000" w:sz="4"/>
            </w:tcBorders>
            <w:vAlign w:val="top"/>
          </w:tcPr>
          <w:p>
            <w:pPr>
              <w:jc w:val="both"/>
            </w:pPr>
            <w:r>
              <w:rPr>
                <w:sz w:val="21"/>
              </w:rPr>
              <w:t>软件环境</w:t>
            </w: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系统环境恢复</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能快速（不超过</w:t>
            </w:r>
            <w:r>
              <w:rPr>
                <w:sz w:val="21"/>
              </w:rPr>
              <w:t>10分钟）将系统恢复成出厂设置</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vMerge/>
            <w:tcBorders>
              <w:top w:val="none" w:color="000000" w:sz="4"/>
              <w:left w:val="single" w:color="000000" w:sz="4"/>
              <w:bottom w:val="single" w:color="000000" w:sz="4"/>
              <w:right w:val="single" w:color="000000" w:sz="4"/>
            </w:tcBorders>
          </w:tcPr>
          <w:p/>
        </w:tc>
        <w:tc>
          <w:tcPr>
            <w:tcW w:type="dxa" w:w="1858"/>
            <w:gridSpan w:val="2"/>
            <w:tcBorders>
              <w:top w:val="none" w:color="000000" w:sz="4"/>
              <w:left w:val="single" w:color="000000" w:sz="4"/>
              <w:bottom w:val="single" w:color="000000" w:sz="4"/>
              <w:right w:val="single" w:color="000000" w:sz="4"/>
            </w:tcBorders>
            <w:vAlign w:val="top"/>
          </w:tcPr>
          <w:p>
            <w:pPr>
              <w:jc w:val="both"/>
            </w:pPr>
            <w:r>
              <w:rPr>
                <w:sz w:val="21"/>
              </w:rPr>
              <w:t>设备状态检测工具</w:t>
            </w:r>
          </w:p>
        </w:tc>
        <w:tc>
          <w:tcPr>
            <w:tcW w:type="dxa" w:w="4112"/>
            <w:tcBorders>
              <w:top w:val="none" w:color="000000" w:sz="4"/>
              <w:left w:val="single" w:color="000000" w:sz="4"/>
              <w:bottom w:val="single" w:color="000000" w:sz="4"/>
              <w:right w:val="single" w:color="000000" w:sz="4"/>
            </w:tcBorders>
            <w:vAlign w:val="top"/>
          </w:tcPr>
          <w:p>
            <w:pPr>
              <w:jc w:val="both"/>
            </w:pPr>
            <w:r>
              <w:rPr>
                <w:sz w:val="21"/>
              </w:rPr>
              <w:t>能快速检测终端机的硬件故障。</w:t>
            </w:r>
          </w:p>
        </w:tc>
        <w:tc>
          <w:tcPr>
            <w:tcW w:type="dxa" w:w="1298"/>
            <w:tcBorders>
              <w:top w:val="none" w:color="000000" w:sz="4"/>
              <w:left w:val="single" w:color="000000" w:sz="4"/>
              <w:bottom w:val="single" w:color="000000" w:sz="4"/>
              <w:right w:val="single" w:color="000000" w:sz="4"/>
            </w:tcBorders>
            <w:vAlign w:val="top"/>
          </w:tcPr>
          <w:p>
            <w:pPr>
              <w:jc w:val="both"/>
            </w:pPr>
          </w:p>
        </w:tc>
      </w:tr>
      <w:tr>
        <w:tc>
          <w:tcPr>
            <w:tcW w:type="dxa" w:w="1038"/>
            <w:tcBorders>
              <w:top w:val="none" w:color="000000" w:sz="4"/>
              <w:left w:val="single" w:color="000000" w:sz="4"/>
              <w:bottom w:val="single" w:color="000000" w:sz="4"/>
              <w:right w:val="single" w:color="000000" w:sz="4"/>
            </w:tcBorders>
            <w:vAlign w:val="top"/>
          </w:tcPr>
          <w:p>
            <w:pPr>
              <w:jc w:val="both"/>
            </w:pPr>
            <w:r>
              <w:rPr>
                <w:sz w:val="21"/>
              </w:rPr>
              <w:t>★备用电源</w:t>
            </w:r>
          </w:p>
        </w:tc>
        <w:tc>
          <w:tcPr>
            <w:tcW w:type="dxa" w:w="5970"/>
            <w:gridSpan w:val="3"/>
            <w:tcBorders>
              <w:top w:val="none" w:color="000000" w:sz="4"/>
              <w:left w:val="single" w:color="000000" w:sz="4"/>
              <w:bottom w:val="single" w:color="000000" w:sz="4"/>
              <w:right w:val="single" w:color="000000" w:sz="4"/>
            </w:tcBorders>
            <w:vAlign w:val="top"/>
          </w:tcPr>
          <w:p>
            <w:pPr>
              <w:jc w:val="both"/>
            </w:pPr>
            <w:r>
              <w:rPr>
                <w:sz w:val="21"/>
              </w:rPr>
              <w:t>须提供备用电源；</w:t>
            </w:r>
          </w:p>
          <w:p>
            <w:pPr>
              <w:jc w:val="both"/>
            </w:pPr>
            <w:r>
              <w:rPr>
                <w:sz w:val="21"/>
              </w:rPr>
              <w:t>切换时间小于</w:t>
            </w:r>
            <w:r>
              <w:rPr>
                <w:sz w:val="21"/>
              </w:rPr>
              <w:t>6ms；</w:t>
            </w:r>
          </w:p>
          <w:p>
            <w:pPr>
              <w:jc w:val="both"/>
            </w:pPr>
            <w:r>
              <w:rPr>
                <w:sz w:val="21"/>
              </w:rPr>
              <w:t>功率不低于终端机整机功率</w:t>
            </w:r>
            <w:r>
              <w:rPr>
                <w:sz w:val="21"/>
              </w:rPr>
              <w:t>1.5倍，后备时间不少于15分钟；</w:t>
            </w:r>
          </w:p>
          <w:p>
            <w:pPr>
              <w:jc w:val="both"/>
            </w:pPr>
            <w:r>
              <w:rPr>
                <w:sz w:val="21"/>
              </w:rPr>
              <w:t>电池供电、电池低电压、超载等警示功能。</w:t>
            </w:r>
          </w:p>
        </w:tc>
        <w:tc>
          <w:tcPr>
            <w:tcW w:type="dxa" w:w="1298"/>
            <w:tcBorders>
              <w:top w:val="none" w:color="000000" w:sz="4"/>
              <w:left w:val="single" w:color="000000" w:sz="4"/>
              <w:bottom w:val="single" w:color="000000" w:sz="4"/>
              <w:right w:val="single" w:color="000000" w:sz="4"/>
            </w:tcBorders>
            <w:vAlign w:val="top"/>
          </w:tcPr>
          <w:p>
            <w:pPr>
              <w:jc w:val="both"/>
            </w:pPr>
          </w:p>
        </w:tc>
      </w:tr>
    </w:tbl>
    <w:p>
      <w:pPr>
        <w:jc w:val="both"/>
      </w:pPr>
    </w:p>
    <w:p>
      <w:pPr>
        <w:jc w:val="both"/>
      </w:pPr>
      <w:r>
        <w:rPr/>
        <w:t xml:space="preserve"> </w:t>
      </w:r>
    </w:p>
    <w:p>
      <w:pPr>
        <w:jc w:val="both"/>
      </w:pPr>
      <w:r>
        <w:rPr/>
        <w:t xml:space="preserve"> </w:t>
      </w:r>
    </w:p>
    <w:p>
      <w:pPr>
        <w:jc w:val="both"/>
      </w:pPr>
      <w:r>
        <w:rPr/>
        <w:t xml:space="preserve"> </w:t>
      </w:r>
    </w:p>
    <w:p>
      <w:pPr>
        <w:jc w:val="both"/>
      </w:pPr>
      <w:r>
        <w:rPr/>
        <w:t xml:space="preserve"> </w:t>
      </w:r>
    </w:p>
    <w:p/>
    <w:p>
      <w:pPr>
        <w:ind w:firstLine="480"/>
      </w:pPr>
    </w:p>
    <w:p/>
    <w:p>
      <w:r>
        <w:rPr/>
        <w:t>采购包1（传统终端机）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自采购人下达供货通知之日起，1个月内完成货物的供货、安装调试、验收等相关服务</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1期：支付比例30%,合同签订后5个工作日内，采购人向中标人支付合同金额的30%。中标人需提供等额的正式发票给采购人，以便采购人及时办理支付手续。</w:t>
            </w:r>
          </w:p>
          <w:p/>
          <w:p>
            <w:r>
              <w:rPr/>
              <w:t>2期：支付比例70%,所有货物交付完成，并经采购人验收合格后15个工作日内，支付合同金额的70%。中标人需提供等额的正式发票给采购人，以便采购人及时办理支付手续。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1期：★1.交付地点：分别送到采购人指定地点并安装验收完毕。 ★2.交付时间：自采购人下达供货通知之日起，1个月内完成货物的供货、安装调试、验收等相关服务；投标人投标时需提交详细的供货计划，安装调试、测试和验收方案。 ★3.开箱检验：所有设备、器材在开箱时必须完好，无破损，数量、配置、质量、技术性能指标等必须与投标文件及投标样机相符。 ★4.文档：本项目的中标人必须提供完整的原厂家随机文档和软件、设计文档、安装配置文档、测试文档等。中标人提供包括但不限于满足货物安装、使用和维护的技术文件。 ★5.抽检：中标人应派出有经验的、高水平的技术人员根据《电脑体育彩票销售终端机到货抽检实施细则（2020）》相关要求协助完成到货设备抽检工作。如果任何被抽检或测试的产品不能满足采购要求的，采购人可以拒绝接受该产品，中标人需承担被采购人终止合同的一切风险和费用。</w:t>
            </w:r>
          </w:p>
        </w:tc>
      </w:tr>
      <w:tr>
        <w:tc>
          <w:tcPr>
            <w:tcW w:type="dxa" w:w="4153"/>
          </w:tcPr>
          <w:p>
            <w:r>
              <w:rPr/>
              <w:t>履约保证金</w:t>
            </w:r>
          </w:p>
        </w:tc>
        <w:tc>
          <w:tcPr>
            <w:tcW w:type="dxa" w:w="4153"/>
          </w:tcPr>
          <w:p/>
          <w:p/>
          <w:p/>
          <w:p/>
          <w:p>
            <w:r>
              <w:rPr/>
              <w:t>收取比例：5%,说明：★1.中标人需在合同签订后15个工作日内向采购人交纳合同总金额5%的履约保证金（以支票、汇票、本票、保函等非现金形式提交），合同履行完成后且采购人在收到中标人的退还申请后30天内不计利息还其履约保证金。 ★2.违约责任：采购人逾期退还履约保证金的，除应当退还履约保证金本金外，还应当每日按合同总价的3‰向中标人偿付违约金，但因中标人自身原因导致无法及时退还的除外。 ★3.不予退还的情形：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tc>
      </w:tr>
      <w:tr>
        <w:tc>
          <w:tcPr>
            <w:tcW w:type="dxa" w:w="4153"/>
          </w:tcPr>
          <w:p>
            <w:r>
              <w:rPr/>
              <w:t>其他</w:t>
            </w:r>
          </w:p>
        </w:tc>
        <w:tc>
          <w:tcPr>
            <w:tcW w:type="dxa" w:w="4153"/>
          </w:tcPr>
          <w:p/>
          <w:p/>
          <w:p>
            <w:r>
              <w:rPr/>
              <w:t>（一）质量保证服务要求，▲1.质量保证服务期限为三年，包括中标人提供的彩票销售终端机（含备机）及配套设备，并且按照供货时间一次性提供不少于5％的备机（包括配套设备）。设备品质保证期自设备安装验收报告签字之日起计算。设备的保修范围包括所有设备硬件故障和损耗。备机于本项目质保期满后30天内，由中标人自行收回，如未在规定时间取回的，采购人有权自行处理，相关费用包含在合同金额内。 2.在质量保证服务期内向采购人提供对设备正常运行的所有服务，包括必要的材料和配套设备，相关费用包含在合同金额内。 3.投标人应在投标文件中，提供详细、可行的项目实施维护方案，方案内容至少包括系统维护、软件升级、安全应急处理、质量保障等内容。 4.定期派工程师到现场进行检查，每次检查及维修后写出详细书面报告，提供给采购人。并负责更换系统正常使用情况下损坏的部件；由于在设计、制造、安装不当所造成的损失，由中标人负责保修，并赔偿给采购人所造成的经济损失。 5.中标人向采购人提供的系统维护手段包括电话支持、远程系统维护、现场系统维护等。 6.在质量保证服务期内，中标供应商承诺中标后在广东省内设立一个设备维修服务中心，且维修服务中心配备充足的设备维修配件，服务时间内不少于1名技术人员在岗，为本项目设备提供维修服务，设备采用寄修方式维修，寄修来回运费包含在本次采购预算中（提供承诺函）。 7.在合同执行期间，中标人必须对采购人在系统扩充、设备升级等方面提供技术支持和服务（包括广东省体育彩票销售系统未来功能扩充所需要的软件及硬件升级），相关费用包含在合同金额内。 8.中标人在合同规定的质量保证服务期内，依据合同条款进行维护管理。质量保证服务期后，采购人可根据项目需要，可以与中标人继续签订质量保证服务合同。中标人须承诺中标设备质保期满后4年内，按全国最低的价格供应充足的维修配件。 9.提供技术支持和培训。 10.采购人不安排、不解决中标人服务人员的住宿问题；</w:t>
            </w:r>
          </w:p>
          <w:p/>
          <w:p>
            <w:r>
              <w:rPr/>
              <w:t>（二）交付及安装要求，1.中标人提供的必须是技术成熟、性能可靠、设计先进的全新设备，并与广东省体育彩票销售系统相匹配。 2.交付地点：分别送到采购人指定地点并安装验收完毕。 3.交付时要随附货物清单。 4.标记 4.1.物包装及标记应按照有关国家标准执行，并符合货物特性要求。 4.2.证货物在长途运输和装卸过程中的安全，货物包装应符合国家或行业标准规定。由于包装不善导致货物锈蚀、失缺或损坏，由中标人承担一切责任。 5.现场保管 5.1.全部货物到安装现场过程中的全部运输，包括运输过程中的中转和货到现场前的库存（如果有的话）。 5.2.负责运输过程中的装卸与货物在现场存放点的就位。存放点由采购人现场圈定。货物在现场的保管由中标人负责，直至全部货物安装、验交完毕。设备外包装箱及设备外壳要有明显的型号标记和唯一产品编号（产品编号为二维码加编号）。 6.安装 6.1安装是合同的一部份，由中标人完成。 6.2中标人应设有安装负责人，负责安装工程的计划、协调、人力调配及工程质量管理等工作，还应设安装现场工程师负责技术指导，质量监督，安装现场测量，安装质量检查认可等。 7.安装工作范围 7.1安装工作包括货物就位、货物安装及调试在内的全部现场作业。 7.2安装调试由中标人工程师主持完成，调试应通知采购人安排人员参加，应准备调试记录卡，并事前10天交一份给买方(空白)。 7.3本次项目安装调试的服务范围：广东省内。投标人可以根据自身情况，提供更优的安装调试服务方案。</w:t>
            </w:r>
          </w:p>
          <w:p/>
          <w:p>
            <w:r>
              <w:rPr/>
              <w:t>（三）投标样机，1.投标人应在本项目提交投标文件截止时间前，将所投型号的传统终端机样机（1台）提交至广东华伦招标有限公司（广州市越秀区广仁路1号广仁大厦6楼，工作人员指定地点），以便在开标后进行现场演示（现场演示的开始时间、顺序由评标委员会根据评审情况而定），每个投标人的现场演示时间不超过15分钟。 2.投标人须在提交投标文件截止时间前完成样机的前期工作（包括组装、调试等工作），投标人应根据自身情况提前到达开标会现场完成样机的前期工作。提交投标文件截止时间到达时，投标人不得再对样机进行任何前期工作。 3.第一中标候选人所提供的样机由采购人保存，作为日后验收货物的标准，但不作为供货数量。第一中标候选人中标后所提供货物的配置、质量与其所提供的投标样机必须相符合，并兑现投标文件中的相关承诺，否则采购人有权随时终止合同，并由中标人赔偿采购人由此而造成的一切损失。 4.其他投标人的样机在本项目结果公告发布之日起7个工作日内凭投标人单位授权书自行到采购代理机构单位取回，逾期不取回的视为投标人放弃取回样机，采购代理机构有权进行处理。</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彩票销售设备</w:t>
            </w:r>
          </w:p>
        </w:tc>
        <w:tc>
          <w:tcPr>
            <w:tcW w:type="dxa" w:w="831"/>
          </w:tcPr>
          <w:p>
            <w:pPr>
              <w:jc w:val="left"/>
            </w:pPr>
            <w:r>
              <w:rPr/>
              <w:t>传统终端机</w:t>
            </w:r>
          </w:p>
        </w:tc>
        <w:tc>
          <w:tcPr>
            <w:tcW w:type="dxa" w:w="831"/>
          </w:tcPr>
          <w:p>
            <w:pPr>
              <w:jc w:val="left"/>
            </w:pPr>
            <w:r>
              <w:rPr/>
              <w:t>台</w:t>
            </w:r>
          </w:p>
        </w:tc>
        <w:tc>
          <w:tcPr>
            <w:tcW w:type="dxa" w:w="831"/>
          </w:tcPr>
          <w:p>
            <w:pPr>
              <w:jc w:val="right"/>
            </w:pPr>
            <w:r>
              <w:rPr/>
              <w:t>3,300.00</w:t>
            </w:r>
          </w:p>
        </w:tc>
        <w:tc>
          <w:tcPr>
            <w:tcW w:type="dxa" w:w="831"/>
          </w:tcPr>
          <w:p>
            <w:pPr>
              <w:jc w:val="right"/>
            </w:pPr>
            <w:r>
              <w:rPr/>
              <w:t>12,700.00</w:t>
            </w:r>
          </w:p>
        </w:tc>
        <w:tc>
          <w:tcPr>
            <w:tcW w:type="dxa" w:w="831"/>
          </w:tcPr>
          <w:p>
            <w:pPr>
              <w:jc w:val="right"/>
            </w:pPr>
            <w:r>
              <w:rPr/>
              <w:t>41,910,000.00</w:t>
            </w:r>
          </w:p>
        </w:tc>
        <w:tc>
          <w:tcPr>
            <w:tcW w:type="dxa" w:w="831"/>
          </w:tcPr>
          <w:p>
            <w:r>
              <w:rPr/>
              <w:t>工业</w:t>
            </w:r>
          </w:p>
        </w:tc>
        <w:tc>
          <w:tcPr>
            <w:tcW w:type="dxa" w:w="831"/>
          </w:tcPr>
          <w:p>
            <w:r>
              <w:rPr/>
              <w:t>详见附表一</w:t>
            </w:r>
          </w:p>
        </w:tc>
      </w:tr>
    </w:tbl>
    <w:p/>
    <w:p>
      <w:r>
        <w:rPr>
          <w:b/>
        </w:rPr>
        <w:t>附表</w:t>
      </w:r>
      <w:r>
        <w:rPr>
          <w:b/>
        </w:rPr>
        <w:t>一</w:t>
      </w:r>
      <w:r>
        <w:rPr>
          <w:b/>
        </w:rPr>
        <w:t>：</w:t>
      </w:r>
      <w:r>
        <w:rPr>
          <w:b/>
        </w:rPr>
        <w:t>传统终端机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所投产品是否为《国家体育总局体育彩票管理中心关于更新体育彩票电脑彩票传统终端机通过测试目录的通知》（体彩字〔</w:t>
            </w:r>
            <w:r>
              <w:rPr>
                <w:sz w:val="21"/>
              </w:rPr>
              <w:t>2022〕295号）文件中通过适配性测试的传统终端机。</w:t>
            </w:r>
            <w:r>
              <w:rPr>
                <w:color w:val="000000"/>
                <w:sz w:val="21"/>
              </w:rPr>
              <w:t>若开标前国家体育总局彩票管理中心发布新的通过测试目录，以最新通过测试目录为准。请投标人在投标文件中提供相关证明材料复印件。</w:t>
            </w:r>
          </w:p>
        </w:tc>
      </w:tr>
      <w:tr>
        <w:tc>
          <w:tcPr>
            <w:tcW w:type="dxa" w:w="2076"/>
          </w:tcPr>
          <w:p/>
        </w:tc>
        <w:tc>
          <w:tcPr>
            <w:tcW w:type="dxa" w:w="415"/>
          </w:tcPr>
          <w:p>
            <w:r>
              <w:rPr/>
              <w:t>2</w:t>
            </w:r>
          </w:p>
        </w:tc>
        <w:tc>
          <w:tcPr>
            <w:tcW w:type="dxa" w:w="5814"/>
          </w:tcPr>
          <w:p>
            <w:pPr>
              <w:jc w:val="both"/>
            </w:pPr>
            <w:r>
              <w:rPr>
                <w:sz w:val="21"/>
              </w:rPr>
              <w:t>终端机的设计要遵循安全、可靠、易用、易维护、可扩展、美观、人性化等原则。产品部件标准化、专业化、模块化，整机质量具有较高工艺水平。</w:t>
            </w:r>
          </w:p>
        </w:tc>
      </w:tr>
      <w:tr>
        <w:tc>
          <w:tcPr>
            <w:tcW w:type="dxa" w:w="2076"/>
          </w:tcPr>
          <w:p/>
        </w:tc>
        <w:tc>
          <w:tcPr>
            <w:tcW w:type="dxa" w:w="415"/>
          </w:tcPr>
          <w:p>
            <w:r>
              <w:rPr/>
              <w:t>3</w:t>
            </w:r>
          </w:p>
        </w:tc>
        <w:tc>
          <w:tcPr>
            <w:tcW w:type="dxa" w:w="5814"/>
          </w:tcPr>
          <w:p>
            <w:pPr>
              <w:jc w:val="both"/>
            </w:pPr>
            <w:r>
              <w:rPr>
                <w:sz w:val="21"/>
              </w:rPr>
              <w:t>具有专用整机检测软件，可对</w:t>
            </w:r>
            <w:r>
              <w:rPr>
                <w:sz w:val="21"/>
              </w:rPr>
              <w:t>BIOS、主存储器、显示器、读票机、打印机、网卡、MODEM、键盘等部件进行自动检测。终端机的硬件信息，按照统一规则编码并固化，仅允许通过制定的接口进行读取</w:t>
            </w:r>
          </w:p>
        </w:tc>
      </w:tr>
      <w:tr>
        <w:tc>
          <w:tcPr>
            <w:tcW w:type="dxa" w:w="2076"/>
          </w:tcPr>
          <w:p/>
        </w:tc>
        <w:tc>
          <w:tcPr>
            <w:tcW w:type="dxa" w:w="415"/>
          </w:tcPr>
          <w:p>
            <w:r>
              <w:rPr/>
              <w:t>4</w:t>
            </w:r>
          </w:p>
        </w:tc>
        <w:tc>
          <w:tcPr>
            <w:tcW w:type="dxa" w:w="5814"/>
          </w:tcPr>
          <w:p>
            <w:pPr>
              <w:jc w:val="both"/>
            </w:pPr>
            <w:r>
              <w:rPr>
                <w:sz w:val="21"/>
              </w:rPr>
              <w:t>频率：</w:t>
            </w:r>
            <w:r>
              <w:rPr>
                <w:sz w:val="21"/>
              </w:rPr>
              <w:t>50Hz~60Hz；电压：110V~240V；额定功率应满足将来扩展外设的要求；电源具有过压、欠压保护功能</w:t>
            </w:r>
          </w:p>
        </w:tc>
      </w:tr>
      <w:tr>
        <w:tc>
          <w:tcPr>
            <w:tcW w:type="dxa" w:w="2076"/>
          </w:tcPr>
          <w:p/>
        </w:tc>
        <w:tc>
          <w:tcPr>
            <w:tcW w:type="dxa" w:w="415"/>
          </w:tcPr>
          <w:p>
            <w:r>
              <w:rPr/>
              <w:t>5</w:t>
            </w:r>
          </w:p>
        </w:tc>
        <w:tc>
          <w:tcPr>
            <w:tcW w:type="dxa" w:w="5814"/>
          </w:tcPr>
          <w:p>
            <w:pPr>
              <w:jc w:val="both"/>
            </w:pPr>
            <w:r>
              <w:rPr>
                <w:sz w:val="21"/>
              </w:rPr>
              <w:t>产品安全要求应符合</w:t>
            </w:r>
            <w:r>
              <w:rPr>
                <w:sz w:val="21"/>
              </w:rPr>
              <w:t>GB 4943.1的有关规定。</w:t>
            </w:r>
          </w:p>
        </w:tc>
      </w:tr>
      <w:tr>
        <w:tc>
          <w:tcPr>
            <w:tcW w:type="dxa" w:w="2076"/>
          </w:tcPr>
          <w:p/>
        </w:tc>
        <w:tc>
          <w:tcPr>
            <w:tcW w:type="dxa" w:w="415"/>
          </w:tcPr>
          <w:p>
            <w:r>
              <w:rPr/>
              <w:t>6</w:t>
            </w:r>
          </w:p>
        </w:tc>
        <w:tc>
          <w:tcPr>
            <w:tcW w:type="dxa" w:w="5814"/>
          </w:tcPr>
          <w:p>
            <w:pPr>
              <w:jc w:val="both"/>
            </w:pPr>
            <w:r>
              <w:rPr>
                <w:sz w:val="21"/>
              </w:rPr>
              <w:t>产品工作时，按</w:t>
            </w:r>
            <w:r>
              <w:rPr>
                <w:sz w:val="21"/>
              </w:rPr>
              <w:t>GB/T 18313规定进行测试的噪声低于65dB.</w:t>
            </w:r>
          </w:p>
        </w:tc>
      </w:tr>
      <w:tr>
        <w:tc>
          <w:tcPr>
            <w:tcW w:type="dxa" w:w="2076"/>
          </w:tcPr>
          <w:p/>
        </w:tc>
        <w:tc>
          <w:tcPr>
            <w:tcW w:type="dxa" w:w="415"/>
          </w:tcPr>
          <w:p>
            <w:r>
              <w:rPr/>
              <w:t>7</w:t>
            </w:r>
          </w:p>
        </w:tc>
        <w:tc>
          <w:tcPr>
            <w:tcW w:type="dxa" w:w="5814"/>
          </w:tcPr>
          <w:p>
            <w:pPr>
              <w:jc w:val="both"/>
            </w:pPr>
            <w:r>
              <w:rPr>
                <w:sz w:val="21"/>
              </w:rPr>
              <w:t>产品无线电骚扰限值应符合</w:t>
            </w:r>
            <w:r>
              <w:rPr>
                <w:sz w:val="21"/>
              </w:rPr>
              <w:t>GB9254规定的B级要求；产品的抗扰度限值应符合GB/T 17618规定的要求。</w:t>
            </w:r>
          </w:p>
        </w:tc>
      </w:tr>
      <w:tr>
        <w:tc>
          <w:tcPr>
            <w:tcW w:type="dxa" w:w="2076"/>
          </w:tcPr>
          <w:p/>
        </w:tc>
        <w:tc>
          <w:tcPr>
            <w:tcW w:type="dxa" w:w="415"/>
          </w:tcPr>
          <w:p>
            <w:r>
              <w:rPr/>
              <w:t>8</w:t>
            </w:r>
          </w:p>
        </w:tc>
        <w:tc>
          <w:tcPr>
            <w:tcW w:type="dxa" w:w="5814"/>
          </w:tcPr>
          <w:p>
            <w:pPr>
              <w:jc w:val="both"/>
            </w:pPr>
            <w:r>
              <w:rPr>
                <w:sz w:val="21"/>
              </w:rPr>
              <w:t>投标终端机能适应广东省范围内电脑体育彩票销售业务及使用环境的要求。</w:t>
            </w:r>
          </w:p>
        </w:tc>
      </w:tr>
      <w:tr>
        <w:tc>
          <w:tcPr>
            <w:tcW w:type="dxa" w:w="2076"/>
          </w:tcPr>
          <w:p/>
        </w:tc>
        <w:tc>
          <w:tcPr>
            <w:tcW w:type="dxa" w:w="415"/>
          </w:tcPr>
          <w:p>
            <w:r>
              <w:rPr/>
              <w:t>9</w:t>
            </w:r>
          </w:p>
        </w:tc>
        <w:tc>
          <w:tcPr>
            <w:tcW w:type="dxa" w:w="5814"/>
          </w:tcPr>
          <w:p>
            <w:pPr>
              <w:jc w:val="both"/>
            </w:pPr>
            <w:r>
              <w:rPr>
                <w:sz w:val="21"/>
              </w:rPr>
              <w:t>体育彩票销售终端机在验收合格后第一季度内，正常使用完好率须达到</w:t>
            </w:r>
            <w:r>
              <w:rPr>
                <w:sz w:val="21"/>
              </w:rPr>
              <w:t>99％</w:t>
            </w:r>
          </w:p>
        </w:tc>
      </w:tr>
      <w:tr>
        <w:tc>
          <w:tcPr>
            <w:tcW w:type="dxa" w:w="2076"/>
          </w:tcPr>
          <w:p/>
        </w:tc>
        <w:tc>
          <w:tcPr>
            <w:tcW w:type="dxa" w:w="415"/>
          </w:tcPr>
          <w:p>
            <w:r>
              <w:rPr/>
              <w:t>10</w:t>
            </w:r>
          </w:p>
        </w:tc>
        <w:tc>
          <w:tcPr>
            <w:tcW w:type="dxa" w:w="5814"/>
          </w:tcPr>
          <w:p>
            <w:pPr>
              <w:jc w:val="both"/>
            </w:pPr>
            <w:r>
              <w:rPr>
                <w:b/>
                <w:sz w:val="21"/>
              </w:rPr>
              <w:t>终端机系统硬件要求</w:t>
            </w:r>
          </w:p>
          <w:p>
            <w:pPr>
              <w:ind w:firstLine="420"/>
              <w:jc w:val="both"/>
            </w:pPr>
            <w:r>
              <w:rPr>
                <w:sz w:val="21"/>
              </w:rPr>
              <w:t>1.中标人须承诺所提供的终端机机型符合国家体育总局体育彩票管理中心制定的最新版本的《体育彩票电脑彩票销售终端机技术要求》的要求。</w:t>
            </w:r>
          </w:p>
          <w:p>
            <w:pPr>
              <w:ind w:firstLine="400"/>
              <w:jc w:val="both"/>
            </w:pPr>
            <w:r>
              <w:rPr>
                <w:sz w:val="21"/>
              </w:rPr>
              <w:t>2.彩票销售专用终端机要求规格表：</w:t>
            </w:r>
          </w:p>
          <w:p>
            <w:pPr>
              <w:jc w:val="both"/>
            </w:pPr>
            <w:r>
              <w:rPr>
                <w:b/>
                <w:sz w:val="21"/>
              </w:rPr>
              <w:t>（彩票销售专用终端机要求规格表详见本项目招标文件</w:t>
            </w:r>
            <w:r>
              <w:rPr>
                <w:b/>
                <w:sz w:val="21"/>
              </w:rPr>
              <w:t>“第二章 采购需求”中“项目概况”附表“1.彩票销售专用终端机要求规格表”）</w:t>
            </w:r>
          </w:p>
          <w:p>
            <w:pPr>
              <w:ind w:firstLine="402"/>
              <w:jc w:val="both"/>
            </w:pPr>
            <w:r>
              <w:rPr>
                <w:b/>
                <w:sz w:val="21"/>
              </w:rPr>
              <w:t>备注：以上</w:t>
            </w:r>
            <w:r>
              <w:rPr>
                <w:b/>
                <w:sz w:val="21"/>
              </w:rPr>
              <w:t>“外设”中磁卡阅读器（可选）、IC卡阅读器（可选）为投标人所投标终端机的可选外设配置项，投标人可根据所投设备情况进行选择配置（可全选，或二选一，或全不选）。如投标人选择了该外设配置项，则须按要求进行配置及交付。</w:t>
            </w:r>
          </w:p>
          <w:p>
            <w:pPr>
              <w:ind w:firstLine="400"/>
              <w:jc w:val="both"/>
            </w:pPr>
            <w:r>
              <w:rPr>
                <w:sz w:val="21"/>
              </w:rPr>
              <w:t>3.外设兼容性要求</w:t>
            </w:r>
          </w:p>
          <w:p>
            <w:pPr>
              <w:ind w:firstLine="400"/>
              <w:jc w:val="both"/>
            </w:pPr>
            <w:r>
              <w:rPr>
                <w:sz w:val="21"/>
              </w:rPr>
              <w:t>终端机要求提供外设的安装配置文档，驱动程序，设备检测工具。</w:t>
            </w:r>
          </w:p>
          <w:p>
            <w:pPr>
              <w:ind w:firstLine="400"/>
              <w:jc w:val="both"/>
            </w:pPr>
            <w:r>
              <w:rPr>
                <w:sz w:val="21"/>
              </w:rPr>
              <w:t>3.1文档要求</w:t>
            </w:r>
          </w:p>
          <w:p>
            <w:pPr>
              <w:ind w:firstLine="400"/>
              <w:jc w:val="both"/>
            </w:pPr>
            <w:r>
              <w:rPr>
                <w:sz w:val="21"/>
              </w:rPr>
              <w:t>文档提供的参数要求与提供的设备一致，不同型号的设备独立提供配套文档，所有文档均要求提供简体中文印刷出版物和电子文档两种格式，提供的文档要求覆盖以下内容：</w:t>
            </w:r>
          </w:p>
          <w:p>
            <w:pPr>
              <w:ind w:firstLine="400"/>
              <w:jc w:val="both"/>
            </w:pPr>
            <w:r>
              <w:rPr>
                <w:sz w:val="21"/>
              </w:rPr>
              <w:t>设备型号规格及参数</w:t>
            </w:r>
          </w:p>
          <w:p>
            <w:pPr>
              <w:ind w:firstLine="400"/>
              <w:jc w:val="both"/>
            </w:pPr>
            <w:r>
              <w:rPr>
                <w:sz w:val="21"/>
              </w:rPr>
              <w:t>安装／拆卸说明</w:t>
            </w:r>
          </w:p>
          <w:p>
            <w:pPr>
              <w:ind w:firstLine="400"/>
              <w:jc w:val="both"/>
            </w:pPr>
            <w:r>
              <w:rPr>
                <w:sz w:val="21"/>
              </w:rPr>
              <w:t>驱动程序安装及配置说明。</w:t>
            </w:r>
          </w:p>
          <w:p>
            <w:pPr>
              <w:ind w:firstLine="400"/>
              <w:jc w:val="both"/>
            </w:pPr>
            <w:r>
              <w:rPr>
                <w:sz w:val="21"/>
              </w:rPr>
              <w:t>3.2驱动程序要求</w:t>
            </w:r>
          </w:p>
          <w:p>
            <w:pPr>
              <w:ind w:firstLine="400"/>
              <w:jc w:val="both"/>
            </w:pPr>
            <w:r>
              <w:rPr>
                <w:sz w:val="21"/>
              </w:rPr>
              <w:t>要求提供外设的驱动程序，驱动程序必须与提供的型号一致，不同型号的外设分别提供驱动程序。</w:t>
            </w:r>
          </w:p>
          <w:p>
            <w:pPr>
              <w:ind w:firstLine="400"/>
              <w:jc w:val="both"/>
            </w:pPr>
            <w:r>
              <w:rPr>
                <w:sz w:val="21"/>
              </w:rPr>
              <w:t>3.3设备状态检测工具</w:t>
            </w:r>
          </w:p>
          <w:p>
            <w:pPr>
              <w:ind w:firstLine="400"/>
              <w:jc w:val="both"/>
            </w:pPr>
            <w:r>
              <w:rPr>
                <w:sz w:val="21"/>
              </w:rPr>
              <w:t>提供外设的状态检测工具及其源代码，检测工具可以是文本界面或者是图形界面，通过检测工具，要求能显示外设的下列特性，对</w:t>
            </w:r>
            <w:r>
              <w:rPr>
                <w:sz w:val="21"/>
              </w:rPr>
              <w:t>PNP设备，还要求检测设备的插入和拔除。</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vAlign w:val="top"/>
                </w:tcPr>
                <w:p>
                  <w:pPr>
                    <w:jc w:val="both"/>
                  </w:pPr>
                  <w:r>
                    <w:rPr>
                      <w:sz w:val="21"/>
                    </w:rPr>
                    <w:t>检测项目</w:t>
                  </w:r>
                </w:p>
              </w:tc>
              <w:tc>
                <w:tcPr>
                  <w:tcW w:type="dxa" w:w="2799"/>
                  <w:tcBorders>
                    <w:top w:val="single" w:color="000000" w:sz="4"/>
                    <w:left w:val="none" w:color="000000" w:sz="4"/>
                    <w:bottom w:val="single" w:color="000000" w:sz="4"/>
                    <w:right w:val="single" w:color="000000" w:sz="4"/>
                  </w:tcBorders>
                  <w:vAlign w:val="top"/>
                </w:tcPr>
                <w:p>
                  <w:pPr>
                    <w:jc w:val="both"/>
                  </w:pPr>
                  <w:r>
                    <w:rPr>
                      <w:sz w:val="21"/>
                    </w:rPr>
                    <w:t>说明</w:t>
                  </w:r>
                </w:p>
              </w:tc>
            </w:tr>
            <w:tr>
              <w:tc>
                <w:tcPr>
                  <w:tcW w:type="dxa" w:w="2799"/>
                  <w:tcBorders>
                    <w:top w:val="none" w:color="000000" w:sz="4"/>
                    <w:left w:val="single" w:color="000000" w:sz="4"/>
                    <w:bottom w:val="single" w:color="000000" w:sz="4"/>
                    <w:right w:val="single" w:color="000000" w:sz="4"/>
                  </w:tcBorders>
                  <w:vAlign w:val="top"/>
                </w:tcPr>
                <w:p>
                  <w:pPr>
                    <w:jc w:val="both"/>
                  </w:pPr>
                  <w:r>
                    <w:rPr>
                      <w:sz w:val="21"/>
                    </w:rPr>
                    <w:t>硬件版本号及修订号</w:t>
                  </w:r>
                </w:p>
              </w:tc>
              <w:tc>
                <w:tcPr>
                  <w:tcW w:type="dxa" w:w="2799"/>
                  <w:tcBorders>
                    <w:top w:val="none" w:color="000000" w:sz="4"/>
                    <w:left w:val="none" w:color="000000" w:sz="4"/>
                    <w:bottom w:val="single" w:color="000000" w:sz="4"/>
                    <w:right w:val="single" w:color="000000" w:sz="4"/>
                  </w:tcBorders>
                  <w:vAlign w:val="top"/>
                </w:tcPr>
                <w:p>
                  <w:pPr>
                    <w:jc w:val="both"/>
                  </w:pPr>
                </w:p>
              </w:tc>
            </w:tr>
            <w:tr>
              <w:tc>
                <w:tcPr>
                  <w:tcW w:type="dxa" w:w="2799"/>
                  <w:tcBorders>
                    <w:top w:val="none" w:color="000000" w:sz="4"/>
                    <w:left w:val="single" w:color="000000" w:sz="4"/>
                    <w:bottom w:val="single" w:color="000000" w:sz="4"/>
                    <w:right w:val="single" w:color="000000" w:sz="4"/>
                  </w:tcBorders>
                  <w:vAlign w:val="top"/>
                </w:tcPr>
                <w:p>
                  <w:pPr>
                    <w:jc w:val="both"/>
                  </w:pPr>
                  <w:r>
                    <w:rPr>
                      <w:sz w:val="21"/>
                    </w:rPr>
                    <w:t>驱动程序版本号</w:t>
                  </w:r>
                </w:p>
              </w:tc>
              <w:tc>
                <w:tcPr>
                  <w:tcW w:type="dxa" w:w="2799"/>
                  <w:tcBorders>
                    <w:top w:val="none" w:color="000000" w:sz="4"/>
                    <w:left w:val="none" w:color="000000" w:sz="4"/>
                    <w:bottom w:val="single" w:color="000000" w:sz="4"/>
                    <w:right w:val="single" w:color="000000" w:sz="4"/>
                  </w:tcBorders>
                  <w:vAlign w:val="top"/>
                </w:tcPr>
                <w:p>
                  <w:pPr>
                    <w:jc w:val="both"/>
                  </w:pPr>
                </w:p>
              </w:tc>
            </w:tr>
            <w:tr>
              <w:tc>
                <w:tcPr>
                  <w:tcW w:type="dxa" w:w="2799"/>
                  <w:tcBorders>
                    <w:top w:val="none" w:color="000000" w:sz="4"/>
                    <w:left w:val="single" w:color="000000" w:sz="4"/>
                    <w:bottom w:val="single" w:color="000000" w:sz="4"/>
                    <w:right w:val="single" w:color="000000" w:sz="4"/>
                  </w:tcBorders>
                  <w:vAlign w:val="top"/>
                </w:tcPr>
                <w:p>
                  <w:pPr>
                    <w:jc w:val="both"/>
                  </w:pPr>
                  <w:r>
                    <w:rPr>
                      <w:sz w:val="21"/>
                    </w:rPr>
                    <w:t>使用的驱动程序文件</w:t>
                  </w:r>
                </w:p>
              </w:tc>
              <w:tc>
                <w:tcPr>
                  <w:tcW w:type="dxa" w:w="2799"/>
                  <w:tcBorders>
                    <w:top w:val="none" w:color="000000" w:sz="4"/>
                    <w:left w:val="none" w:color="000000" w:sz="4"/>
                    <w:bottom w:val="single" w:color="000000" w:sz="4"/>
                    <w:right w:val="single" w:color="000000" w:sz="4"/>
                  </w:tcBorders>
                  <w:vAlign w:val="top"/>
                </w:tcPr>
                <w:p>
                  <w:pPr>
                    <w:jc w:val="both"/>
                  </w:pPr>
                </w:p>
              </w:tc>
            </w:tr>
            <w:tr>
              <w:tc>
                <w:tcPr>
                  <w:tcW w:type="dxa" w:w="2799"/>
                  <w:tcBorders>
                    <w:top w:val="none" w:color="000000" w:sz="4"/>
                    <w:left w:val="single" w:color="000000" w:sz="4"/>
                    <w:bottom w:val="single" w:color="000000" w:sz="4"/>
                    <w:right w:val="single" w:color="000000" w:sz="4"/>
                  </w:tcBorders>
                  <w:vAlign w:val="top"/>
                </w:tcPr>
                <w:p>
                  <w:pPr>
                    <w:jc w:val="both"/>
                  </w:pPr>
                  <w:r>
                    <w:rPr>
                      <w:sz w:val="21"/>
                    </w:rPr>
                    <w:t>设备状态</w:t>
                  </w:r>
                </w:p>
              </w:tc>
              <w:tc>
                <w:tcPr>
                  <w:tcW w:type="dxa" w:w="2799"/>
                  <w:tcBorders>
                    <w:top w:val="none" w:color="000000" w:sz="4"/>
                    <w:left w:val="none" w:color="000000" w:sz="4"/>
                    <w:bottom w:val="single" w:color="000000" w:sz="4"/>
                    <w:right w:val="single" w:color="000000" w:sz="4"/>
                  </w:tcBorders>
                  <w:vAlign w:val="top"/>
                </w:tcPr>
                <w:p>
                  <w:pPr>
                    <w:jc w:val="both"/>
                  </w:pPr>
                  <w:r>
                    <w:rPr>
                      <w:sz w:val="21"/>
                    </w:rPr>
                    <w:t>正常，不存在，禁用</w:t>
                  </w:r>
                </w:p>
              </w:tc>
            </w:tr>
          </w:tbl>
          <w:p>
            <w:pPr>
              <w:ind w:firstLine="400"/>
              <w:jc w:val="both"/>
            </w:pPr>
            <w:r>
              <w:rPr>
                <w:sz w:val="21"/>
              </w:rPr>
              <w:t>对特定的设备，还要求提供特别的状态检测。</w:t>
            </w:r>
          </w:p>
          <w:tbl>
            <w:tblPr>
              <w:tblInd w:type="dxa" w:w="120"/>
              <w:tblBorders>
                <w:top w:val="none" w:color="000000" w:sz="4"/>
                <w:left w:val="none" w:color="000000" w:sz="4"/>
                <w:bottom w:val="none" w:color="000000" w:sz="4"/>
                <w:right w:val="none" w:color="000000" w:sz="4"/>
                <w:insideH w:val="none"/>
                <w:insideV w:val="none"/>
              </w:tblBorders>
            </w:tblPr>
            <w:tblGrid>
              <w:gridCol w:w="2775"/>
              <w:gridCol w:w="2823"/>
            </w:tblGrid>
            <w:tr>
              <w:tc>
                <w:tcPr>
                  <w:tcW w:type="dxa" w:w="2775"/>
                  <w:tcBorders>
                    <w:top w:val="single" w:color="000000" w:sz="4"/>
                    <w:left w:val="single" w:color="000000" w:sz="4"/>
                    <w:bottom w:val="single" w:color="000000" w:sz="4"/>
                    <w:right w:val="single" w:color="000000" w:sz="4"/>
                  </w:tcBorders>
                  <w:vAlign w:val="top"/>
                </w:tcPr>
                <w:p>
                  <w:pPr>
                    <w:jc w:val="both"/>
                  </w:pPr>
                  <w:r>
                    <w:rPr>
                      <w:sz w:val="21"/>
                    </w:rPr>
                    <w:t>外设</w:t>
                  </w:r>
                </w:p>
              </w:tc>
              <w:tc>
                <w:tcPr>
                  <w:tcW w:type="dxa" w:w="2823"/>
                  <w:tcBorders>
                    <w:top w:val="single" w:color="000000" w:sz="4"/>
                    <w:left w:val="none" w:color="000000" w:sz="4"/>
                    <w:bottom w:val="single" w:color="000000" w:sz="4"/>
                    <w:right w:val="single" w:color="000000" w:sz="4"/>
                  </w:tcBorders>
                  <w:vAlign w:val="top"/>
                </w:tcPr>
                <w:p>
                  <w:pPr>
                    <w:jc w:val="both"/>
                  </w:pPr>
                  <w:r>
                    <w:rPr>
                      <w:sz w:val="21"/>
                    </w:rPr>
                    <w:t>状态检测项目</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彩票打印机</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p>
                  <w:pPr>
                    <w:jc w:val="both"/>
                  </w:pPr>
                  <w:r>
                    <w:rPr>
                      <w:sz w:val="21"/>
                    </w:rPr>
                    <w:t>缺纸</w:t>
                  </w:r>
                </w:p>
                <w:p>
                  <w:pPr>
                    <w:jc w:val="both"/>
                  </w:pPr>
                  <w:r>
                    <w:rPr>
                      <w:sz w:val="21"/>
                    </w:rPr>
                    <w:t>少纸</w:t>
                  </w:r>
                </w:p>
                <w:p>
                  <w:pPr>
                    <w:jc w:val="both"/>
                  </w:pPr>
                  <w:r>
                    <w:rPr>
                      <w:sz w:val="21"/>
                    </w:rPr>
                    <w:t>卡纸</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读票机</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p>
                  <w:pPr>
                    <w:jc w:val="both"/>
                  </w:pPr>
                  <w:r>
                    <w:rPr>
                      <w:sz w:val="21"/>
                    </w:rPr>
                    <w:t>卡纸</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条码阅读器</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IC卡阅读器（可选）</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磁卡阅读器（可选）</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备用电源</w:t>
                  </w:r>
                </w:p>
              </w:tc>
              <w:tc>
                <w:tcPr>
                  <w:tcW w:type="dxa" w:w="2823"/>
                  <w:tcBorders>
                    <w:top w:val="none" w:color="000000" w:sz="4"/>
                    <w:left w:val="none" w:color="000000" w:sz="4"/>
                    <w:bottom w:val="single" w:color="000000" w:sz="4"/>
                    <w:right w:val="single" w:color="000000" w:sz="4"/>
                  </w:tcBorders>
                  <w:vAlign w:val="top"/>
                </w:tcPr>
                <w:p>
                  <w:pPr>
                    <w:jc w:val="both"/>
                  </w:pPr>
                  <w:r>
                    <w:rPr>
                      <w:sz w:val="21"/>
                    </w:rPr>
                    <w:t>供电</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网卡及其他通讯适配器</w:t>
                  </w:r>
                </w:p>
              </w:tc>
              <w:tc>
                <w:tcPr>
                  <w:tcW w:type="dxa" w:w="2823"/>
                  <w:tcBorders>
                    <w:top w:val="none" w:color="000000" w:sz="4"/>
                    <w:left w:val="none" w:color="000000" w:sz="4"/>
                    <w:bottom w:val="single" w:color="000000" w:sz="4"/>
                    <w:right w:val="single" w:color="000000" w:sz="4"/>
                  </w:tcBorders>
                  <w:vAlign w:val="top"/>
                </w:tcPr>
                <w:p>
                  <w:pPr>
                    <w:jc w:val="both"/>
                  </w:pPr>
                  <w:r>
                    <w:rPr>
                      <w:sz w:val="21"/>
                    </w:rPr>
                    <w:t>链路断开</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安全控制</w:t>
                  </w:r>
                </w:p>
              </w:tc>
              <w:tc>
                <w:tcPr>
                  <w:tcW w:type="dxa" w:w="2823"/>
                  <w:tcBorders>
                    <w:top w:val="none" w:color="000000" w:sz="4"/>
                    <w:left w:val="none" w:color="000000" w:sz="4"/>
                    <w:bottom w:val="single" w:color="000000" w:sz="4"/>
                    <w:right w:val="single" w:color="000000" w:sz="4"/>
                  </w:tcBorders>
                  <w:vAlign w:val="top"/>
                </w:tcPr>
                <w:p>
                  <w:pPr>
                    <w:jc w:val="both"/>
                  </w:pPr>
                  <w:r>
                    <w:rPr>
                      <w:sz w:val="21"/>
                    </w:rPr>
                    <w:t>设备断开</w:t>
                  </w:r>
                </w:p>
              </w:tc>
            </w:tr>
          </w:tbl>
          <w:p>
            <w:pPr>
              <w:ind w:firstLine="400"/>
              <w:jc w:val="both"/>
            </w:pPr>
            <w:r>
              <w:rPr>
                <w:sz w:val="21"/>
              </w:rPr>
              <w:t>4.彩票业务功能要求</w:t>
            </w:r>
          </w:p>
          <w:p>
            <w:pPr>
              <w:ind w:firstLine="400"/>
              <w:jc w:val="both"/>
            </w:pPr>
            <w:r>
              <w:rPr>
                <w:sz w:val="21"/>
              </w:rPr>
              <w:t>要求提供示例，演示彩票下列功能，演示可以是文本界面或者是图形界面，力求简洁，突出主要功能，不要求包含复杂的错误检查，也不要包含演示以外的其他功能。</w:t>
            </w:r>
          </w:p>
          <w:tbl>
            <w:tblPr>
              <w:tblInd w:type="dxa" w:w="120"/>
              <w:tblBorders>
                <w:top w:val="none" w:color="000000" w:sz="4"/>
                <w:left w:val="none" w:color="000000" w:sz="4"/>
                <w:bottom w:val="none" w:color="000000" w:sz="4"/>
                <w:right w:val="none" w:color="000000" w:sz="4"/>
                <w:insideH w:val="none"/>
                <w:insideV w:val="none"/>
              </w:tblBorders>
            </w:tblPr>
            <w:tblGrid>
              <w:gridCol w:w="1817"/>
              <w:gridCol w:w="3781"/>
            </w:tblGrid>
            <w:tr>
              <w:tc>
                <w:tcPr>
                  <w:tcW w:type="dxa" w:w="1817"/>
                  <w:tcBorders>
                    <w:top w:val="single" w:color="000000" w:sz="4"/>
                    <w:left w:val="single" w:color="000000" w:sz="4"/>
                    <w:bottom w:val="single" w:color="000000" w:sz="4"/>
                    <w:right w:val="single" w:color="000000" w:sz="4"/>
                  </w:tcBorders>
                  <w:vAlign w:val="top"/>
                </w:tcPr>
                <w:p>
                  <w:pPr>
                    <w:jc w:val="both"/>
                  </w:pPr>
                  <w:r>
                    <w:rPr>
                      <w:sz w:val="21"/>
                    </w:rPr>
                    <w:t>彩票业务功能</w:t>
                  </w:r>
                </w:p>
              </w:tc>
              <w:tc>
                <w:tcPr>
                  <w:tcW w:type="dxa" w:w="3781"/>
                  <w:tcBorders>
                    <w:top w:val="single" w:color="000000" w:sz="4"/>
                    <w:left w:val="none" w:color="000000" w:sz="4"/>
                    <w:bottom w:val="single" w:color="000000" w:sz="4"/>
                    <w:right w:val="single" w:color="000000" w:sz="4"/>
                  </w:tcBorders>
                  <w:vAlign w:val="top"/>
                </w:tcPr>
                <w:p>
                  <w:pPr>
                    <w:jc w:val="both"/>
                  </w:pPr>
                  <w:r>
                    <w:rPr>
                      <w:sz w:val="21"/>
                    </w:rPr>
                    <w:t>业务要求</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图像及视频显示</w:t>
                  </w:r>
                </w:p>
              </w:tc>
              <w:tc>
                <w:tcPr>
                  <w:tcW w:type="dxa" w:w="3781"/>
                  <w:tcBorders>
                    <w:top w:val="none" w:color="000000" w:sz="4"/>
                    <w:left w:val="none" w:color="000000" w:sz="4"/>
                    <w:bottom w:val="single" w:color="000000" w:sz="4"/>
                    <w:right w:val="single" w:color="000000" w:sz="4"/>
                  </w:tcBorders>
                  <w:vAlign w:val="top"/>
                </w:tcPr>
                <w:p>
                  <w:pPr>
                    <w:jc w:val="both"/>
                  </w:pPr>
                  <w:r>
                    <w:rPr>
                      <w:sz w:val="21"/>
                    </w:rPr>
                    <w:t>提供的代码要求能显示指定图片和全屏运动图像</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彩票打印</w:t>
                  </w:r>
                </w:p>
              </w:tc>
              <w:tc>
                <w:tcPr>
                  <w:tcW w:type="dxa" w:w="3781"/>
                  <w:tcBorders>
                    <w:top w:val="none" w:color="000000" w:sz="4"/>
                    <w:left w:val="none" w:color="000000" w:sz="4"/>
                    <w:bottom w:val="single" w:color="000000" w:sz="4"/>
                    <w:right w:val="single" w:color="000000" w:sz="4"/>
                  </w:tcBorders>
                  <w:vAlign w:val="top"/>
                </w:tcPr>
                <w:p>
                  <w:pPr>
                    <w:jc w:val="both"/>
                  </w:pPr>
                  <w:r>
                    <w:rPr>
                      <w:sz w:val="21"/>
                    </w:rPr>
                    <w:t>提供的代码要求能按照指定的样票格式打印出彩票，并正确切纸</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辅助投注录入</w:t>
                  </w:r>
                </w:p>
              </w:tc>
              <w:tc>
                <w:tcPr>
                  <w:tcW w:type="dxa" w:w="3781"/>
                  <w:tcBorders>
                    <w:top w:val="none" w:color="000000" w:sz="4"/>
                    <w:left w:val="none" w:color="000000" w:sz="4"/>
                    <w:bottom w:val="single" w:color="000000" w:sz="4"/>
                    <w:right w:val="single" w:color="000000" w:sz="4"/>
                  </w:tcBorders>
                  <w:vAlign w:val="top"/>
                </w:tcPr>
                <w:p>
                  <w:pPr>
                    <w:jc w:val="both"/>
                  </w:pPr>
                  <w:r>
                    <w:rPr>
                      <w:sz w:val="21"/>
                    </w:rPr>
                    <w:t>读票机提供的代码能正确识别投注内容并显示</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兑奖／取消以及标记</w:t>
                  </w:r>
                </w:p>
              </w:tc>
              <w:tc>
                <w:tcPr>
                  <w:tcW w:type="dxa" w:w="3781"/>
                  <w:tcBorders>
                    <w:top w:val="none" w:color="000000" w:sz="4"/>
                    <w:left w:val="none" w:color="000000" w:sz="4"/>
                    <w:bottom w:val="single" w:color="000000" w:sz="4"/>
                    <w:right w:val="single" w:color="000000" w:sz="4"/>
                  </w:tcBorders>
                  <w:vAlign w:val="top"/>
                </w:tcPr>
                <w:p>
                  <w:pPr>
                    <w:jc w:val="both"/>
                  </w:pPr>
                  <w:r>
                    <w:rPr>
                      <w:sz w:val="21"/>
                    </w:rPr>
                    <w:t>能正确识别中奖彩票内容</w:t>
                  </w:r>
                </w:p>
                <w:p>
                  <w:pPr>
                    <w:jc w:val="both"/>
                  </w:pPr>
                  <w:r>
                    <w:rPr>
                      <w:sz w:val="21"/>
                    </w:rPr>
                    <w:t>能打印标记</w:t>
                  </w:r>
                </w:p>
                <w:p>
                  <w:pPr>
                    <w:jc w:val="both"/>
                  </w:pPr>
                  <w:r>
                    <w:rPr>
                      <w:sz w:val="21"/>
                    </w:rPr>
                    <w:t>能识别已经标记过的彩票</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条码阅读器</w:t>
                  </w:r>
                </w:p>
              </w:tc>
              <w:tc>
                <w:tcPr>
                  <w:tcW w:type="dxa" w:w="3781"/>
                  <w:tcBorders>
                    <w:top w:val="none" w:color="000000" w:sz="4"/>
                    <w:left w:val="none" w:color="000000" w:sz="4"/>
                    <w:bottom w:val="single" w:color="000000" w:sz="4"/>
                    <w:right w:val="single" w:color="000000" w:sz="4"/>
                  </w:tcBorders>
                  <w:vAlign w:val="top"/>
                </w:tcPr>
                <w:p>
                  <w:pPr>
                    <w:jc w:val="both"/>
                  </w:pPr>
                  <w:r>
                    <w:rPr>
                      <w:sz w:val="21"/>
                    </w:rPr>
                    <w:t>能正确识别彩票上的二维码内容</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IC卡阅读器（可选）</w:t>
                  </w:r>
                </w:p>
              </w:tc>
              <w:tc>
                <w:tcPr>
                  <w:tcW w:type="dxa" w:w="3781"/>
                  <w:tcBorders>
                    <w:top w:val="none" w:color="000000" w:sz="4"/>
                    <w:left w:val="none" w:color="000000" w:sz="4"/>
                    <w:bottom w:val="single" w:color="000000" w:sz="4"/>
                    <w:right w:val="single" w:color="000000" w:sz="4"/>
                  </w:tcBorders>
                  <w:vAlign w:val="top"/>
                </w:tcPr>
                <w:p>
                  <w:pPr>
                    <w:jc w:val="both"/>
                  </w:pPr>
                  <w:r>
                    <w:rPr>
                      <w:sz w:val="21"/>
                    </w:rPr>
                    <w:t>能正确识别</w:t>
                  </w:r>
                  <w:r>
                    <w:rPr>
                      <w:sz w:val="21"/>
                    </w:rPr>
                    <w:t>IC卡内容</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磁卡阅读器（可选）</w:t>
                  </w:r>
                </w:p>
              </w:tc>
              <w:tc>
                <w:tcPr>
                  <w:tcW w:type="dxa" w:w="3781"/>
                  <w:tcBorders>
                    <w:top w:val="none" w:color="000000" w:sz="4"/>
                    <w:left w:val="none" w:color="000000" w:sz="4"/>
                    <w:bottom w:val="single" w:color="000000" w:sz="4"/>
                    <w:right w:val="single" w:color="000000" w:sz="4"/>
                  </w:tcBorders>
                  <w:vAlign w:val="top"/>
                </w:tcPr>
                <w:p>
                  <w:pPr>
                    <w:jc w:val="both"/>
                  </w:pPr>
                  <w:r>
                    <w:rPr>
                      <w:sz w:val="21"/>
                    </w:rPr>
                    <w:t>能正确识别磁卡内容</w:t>
                  </w:r>
                </w:p>
              </w:tc>
            </w:tr>
          </w:tbl>
          <w:p>
            <w:pPr>
              <w:ind w:firstLine="400"/>
              <w:jc w:val="both"/>
            </w:pPr>
            <w:r>
              <w:rPr>
                <w:sz w:val="21"/>
              </w:rPr>
              <w:t>5.彩票业务性能要求</w:t>
            </w:r>
          </w:p>
          <w:tbl>
            <w:tblPr>
              <w:tblInd w:type="dxa" w:w="120"/>
              <w:tblBorders>
                <w:top w:val="none" w:color="000000" w:sz="4"/>
                <w:left w:val="none" w:color="000000" w:sz="4"/>
                <w:bottom w:val="none" w:color="000000" w:sz="4"/>
                <w:right w:val="none" w:color="000000" w:sz="4"/>
                <w:insideH w:val="none"/>
                <w:insideV w:val="none"/>
              </w:tblBorders>
            </w:tblPr>
            <w:tblGrid>
              <w:gridCol w:w="1482"/>
              <w:gridCol w:w="4116"/>
            </w:tblGrid>
            <w:tr>
              <w:tc>
                <w:tcPr>
                  <w:tcW w:type="dxa" w:w="1482"/>
                  <w:tcBorders>
                    <w:top w:val="single" w:color="000000" w:sz="4"/>
                    <w:left w:val="single" w:color="000000" w:sz="4"/>
                    <w:bottom w:val="single" w:color="000000" w:sz="4"/>
                    <w:right w:val="single" w:color="000000" w:sz="4"/>
                  </w:tcBorders>
                  <w:vAlign w:val="top"/>
                </w:tcPr>
                <w:p>
                  <w:pPr>
                    <w:jc w:val="both"/>
                  </w:pPr>
                  <w:r>
                    <w:rPr>
                      <w:sz w:val="21"/>
                    </w:rPr>
                    <w:t>彩票业务功能</w:t>
                  </w:r>
                </w:p>
              </w:tc>
              <w:tc>
                <w:tcPr>
                  <w:tcW w:type="dxa" w:w="4116"/>
                  <w:tcBorders>
                    <w:top w:val="single" w:color="000000" w:sz="4"/>
                    <w:left w:val="none" w:color="000000" w:sz="4"/>
                    <w:bottom w:val="single" w:color="000000" w:sz="4"/>
                    <w:right w:val="single" w:color="000000" w:sz="4"/>
                  </w:tcBorders>
                  <w:vAlign w:val="top"/>
                </w:tcPr>
                <w:p>
                  <w:pPr>
                    <w:jc w:val="both"/>
                  </w:pPr>
                  <w:r>
                    <w:rPr>
                      <w:sz w:val="21"/>
                    </w:rPr>
                    <w:t>性能要求</w:t>
                  </w:r>
                </w:p>
              </w:tc>
            </w:tr>
            <w:tr>
              <w:tc>
                <w:tcPr>
                  <w:tcW w:type="dxa" w:w="1482"/>
                  <w:tcBorders>
                    <w:top w:val="none" w:color="000000" w:sz="4"/>
                    <w:left w:val="single" w:color="000000" w:sz="4"/>
                    <w:bottom w:val="single" w:color="000000" w:sz="4"/>
                    <w:right w:val="single" w:color="000000" w:sz="4"/>
                  </w:tcBorders>
                  <w:vAlign w:val="top"/>
                </w:tcPr>
                <w:p>
                  <w:pPr>
                    <w:jc w:val="both"/>
                  </w:pPr>
                  <w:r>
                    <w:rPr>
                      <w:sz w:val="21"/>
                    </w:rPr>
                    <w:t>图像及视频显示</w:t>
                  </w:r>
                </w:p>
              </w:tc>
              <w:tc>
                <w:tcPr>
                  <w:tcW w:type="dxa" w:w="4116"/>
                  <w:tcBorders>
                    <w:top w:val="none" w:color="000000" w:sz="4"/>
                    <w:left w:val="none" w:color="000000" w:sz="4"/>
                    <w:bottom w:val="single" w:color="000000" w:sz="4"/>
                    <w:right w:val="single" w:color="000000" w:sz="4"/>
                  </w:tcBorders>
                  <w:vAlign w:val="top"/>
                </w:tcPr>
                <w:p>
                  <w:pPr>
                    <w:jc w:val="both"/>
                  </w:pPr>
                  <w:r>
                    <w:rPr>
                      <w:sz w:val="21"/>
                    </w:rPr>
                    <w:t>支持在</w:t>
                  </w:r>
                  <w:r>
                    <w:rPr>
                      <w:sz w:val="21"/>
                    </w:rPr>
                    <w:t>1280*720、1024*768、800*600模式下实现流畅全屏视频播放</w:t>
                  </w:r>
                </w:p>
              </w:tc>
            </w:tr>
            <w:tr>
              <w:tc>
                <w:tcPr>
                  <w:tcW w:type="dxa" w:w="1482"/>
                  <w:tcBorders>
                    <w:top w:val="none" w:color="000000" w:sz="4"/>
                    <w:left w:val="single" w:color="000000" w:sz="4"/>
                    <w:bottom w:val="single" w:color="000000" w:sz="4"/>
                    <w:right w:val="single" w:color="000000" w:sz="4"/>
                  </w:tcBorders>
                  <w:vAlign w:val="top"/>
                </w:tcPr>
                <w:p>
                  <w:pPr>
                    <w:jc w:val="both"/>
                  </w:pPr>
                  <w:r>
                    <w:rPr>
                      <w:sz w:val="21"/>
                    </w:rPr>
                    <w:t>彩票打印</w:t>
                  </w:r>
                </w:p>
              </w:tc>
              <w:tc>
                <w:tcPr>
                  <w:tcW w:type="dxa" w:w="4116"/>
                  <w:tcBorders>
                    <w:top w:val="none" w:color="000000" w:sz="4"/>
                    <w:left w:val="none" w:color="000000" w:sz="4"/>
                    <w:bottom w:val="single" w:color="000000" w:sz="4"/>
                    <w:right w:val="single" w:color="000000" w:sz="4"/>
                  </w:tcBorders>
                  <w:vAlign w:val="top"/>
                </w:tcPr>
                <w:p>
                  <w:pPr>
                    <w:jc w:val="both"/>
                  </w:pPr>
                  <w:r>
                    <w:rPr>
                      <w:sz w:val="21"/>
                    </w:rPr>
                    <w:t>不低于</w:t>
                  </w:r>
                  <w:r>
                    <w:rPr>
                      <w:sz w:val="21"/>
                    </w:rPr>
                    <w:t>180mm/s</w:t>
                  </w:r>
                </w:p>
              </w:tc>
            </w:tr>
            <w:tr>
              <w:tc>
                <w:tcPr>
                  <w:tcW w:type="dxa" w:w="1482"/>
                  <w:tcBorders>
                    <w:top w:val="none" w:color="000000" w:sz="4"/>
                    <w:left w:val="single" w:color="000000" w:sz="4"/>
                    <w:bottom w:val="single" w:color="000000" w:sz="4"/>
                    <w:right w:val="single" w:color="000000" w:sz="4"/>
                  </w:tcBorders>
                  <w:vAlign w:val="top"/>
                </w:tcPr>
                <w:p>
                  <w:pPr>
                    <w:jc w:val="both"/>
                  </w:pPr>
                  <w:r>
                    <w:rPr>
                      <w:sz w:val="21"/>
                    </w:rPr>
                    <w:t>读票机</w:t>
                  </w:r>
                </w:p>
              </w:tc>
              <w:tc>
                <w:tcPr>
                  <w:tcW w:type="dxa" w:w="4116"/>
                  <w:tcBorders>
                    <w:top w:val="none" w:color="000000" w:sz="4"/>
                    <w:left w:val="none" w:color="000000" w:sz="4"/>
                    <w:bottom w:val="single" w:color="000000" w:sz="4"/>
                    <w:right w:val="single" w:color="000000" w:sz="4"/>
                  </w:tcBorders>
                  <w:vAlign w:val="top"/>
                </w:tcPr>
                <w:p>
                  <w:pPr>
                    <w:jc w:val="both"/>
                  </w:pPr>
                  <w:r>
                    <w:rPr>
                      <w:sz w:val="21"/>
                    </w:rPr>
                    <w:t>扫描速度不低于</w:t>
                  </w:r>
                  <w:r>
                    <w:rPr>
                      <w:sz w:val="21"/>
                    </w:rPr>
                    <w:t>300mm/s</w:t>
                  </w:r>
                </w:p>
              </w:tc>
            </w:tr>
          </w:tbl>
          <w:p>
            <w:pPr>
              <w:ind w:firstLine="400"/>
              <w:jc w:val="both"/>
            </w:pPr>
            <w:r>
              <w:rPr>
                <w:sz w:val="21"/>
              </w:rPr>
              <w:t>6.可靠性要求</w:t>
            </w:r>
          </w:p>
          <w:p>
            <w:pPr>
              <w:ind w:firstLine="400"/>
              <w:jc w:val="both"/>
            </w:pPr>
            <w:r>
              <w:rPr>
                <w:sz w:val="21"/>
              </w:rPr>
              <w:t>6.1整机要防震、防潮、防尘、防静电、耐高温。</w:t>
            </w:r>
          </w:p>
          <w:p>
            <w:pPr>
              <w:ind w:firstLine="400"/>
              <w:jc w:val="both"/>
            </w:pPr>
            <w:r>
              <w:rPr>
                <w:sz w:val="21"/>
              </w:rPr>
              <w:t>6.2工作温度：-5摄氏度至50摄氏度。</w:t>
            </w:r>
          </w:p>
          <w:p>
            <w:pPr>
              <w:ind w:firstLine="400"/>
              <w:jc w:val="both"/>
            </w:pPr>
            <w:r>
              <w:rPr>
                <w:sz w:val="21"/>
              </w:rPr>
              <w:t>6.3存储温度：-30摄氏度至70摄氏度。</w:t>
            </w:r>
          </w:p>
          <w:p>
            <w:pPr>
              <w:ind w:firstLine="400"/>
              <w:jc w:val="both"/>
            </w:pPr>
            <w:r>
              <w:rPr>
                <w:sz w:val="21"/>
              </w:rPr>
              <w:t>6.4工作湿度：相对湿度20%至90%（40摄氏度）。</w:t>
            </w:r>
          </w:p>
          <w:p>
            <w:pPr>
              <w:ind w:firstLine="400"/>
              <w:jc w:val="both"/>
            </w:pPr>
            <w:r>
              <w:rPr>
                <w:sz w:val="21"/>
              </w:rPr>
              <w:t>6.5储存湿度：相对湿度20%至93%（40摄氏度）。</w:t>
            </w:r>
          </w:p>
          <w:p>
            <w:pPr>
              <w:ind w:firstLine="400"/>
              <w:jc w:val="both"/>
            </w:pPr>
            <w:r>
              <w:rPr>
                <w:sz w:val="21"/>
              </w:rPr>
              <w:t>6.</w:t>
            </w:r>
            <w:r>
              <w:rPr>
                <w:sz w:val="21"/>
              </w:rPr>
              <w:t>6</w:t>
            </w:r>
            <w:r>
              <w:rPr>
                <w:sz w:val="21"/>
              </w:rPr>
              <w:t>主机电源要有过压、欠压保护功能。</w:t>
            </w:r>
          </w:p>
          <w:p>
            <w:pPr>
              <w:ind w:firstLine="400"/>
              <w:jc w:val="both"/>
            </w:pPr>
            <w:r>
              <w:rPr>
                <w:sz w:val="21"/>
              </w:rPr>
              <w:t>6.</w:t>
            </w:r>
            <w:r>
              <w:rPr>
                <w:sz w:val="21"/>
              </w:rPr>
              <w:t>7</w:t>
            </w:r>
            <w:r>
              <w:rPr>
                <w:sz w:val="21"/>
              </w:rPr>
              <w:t>▲整机：不低于MTBF15000小时，MTTR不高于15分钟；防火材料外壳。</w:t>
            </w:r>
          </w:p>
          <w:p>
            <w:pPr>
              <w:ind w:firstLine="400"/>
              <w:jc w:val="both"/>
            </w:pPr>
            <w:r>
              <w:rPr>
                <w:sz w:val="21"/>
              </w:rPr>
              <w:t>7.可维护性要求</w:t>
            </w:r>
          </w:p>
          <w:p>
            <w:pPr>
              <w:ind w:firstLine="400"/>
              <w:jc w:val="both"/>
            </w:pPr>
            <w:r>
              <w:rPr>
                <w:sz w:val="21"/>
              </w:rPr>
              <w:t>7.1整机结构设计合理，易于拆卸及安装。</w:t>
            </w:r>
          </w:p>
          <w:p>
            <w:pPr>
              <w:ind w:firstLine="400"/>
              <w:jc w:val="both"/>
            </w:pPr>
            <w:r>
              <w:rPr>
                <w:sz w:val="21"/>
              </w:rPr>
              <w:t>7.2打印机、读票机出现卡票故障易维护。</w:t>
            </w:r>
          </w:p>
          <w:p>
            <w:pPr>
              <w:ind w:firstLine="400"/>
              <w:jc w:val="both"/>
            </w:pPr>
            <w:r>
              <w:rPr>
                <w:sz w:val="21"/>
              </w:rPr>
              <w:t>7.3读票机扫描头易清洗。</w:t>
            </w:r>
          </w:p>
          <w:p>
            <w:pPr>
              <w:ind w:firstLine="400"/>
              <w:jc w:val="both"/>
            </w:pPr>
            <w:r>
              <w:rPr>
                <w:sz w:val="21"/>
              </w:rPr>
              <w:t>7.4打印机应方便安装及更换纸卷。</w:t>
            </w:r>
          </w:p>
          <w:p>
            <w:pPr>
              <w:ind w:firstLine="400"/>
              <w:jc w:val="both"/>
            </w:pPr>
            <w:r>
              <w:rPr>
                <w:sz w:val="21"/>
              </w:rPr>
              <w:t>7.5支持从可移动便携存储设备例如USB启动盘，SD卡启动维护程序和故障诊断程序。</w:t>
            </w:r>
          </w:p>
          <w:p>
            <w:pPr>
              <w:ind w:firstLine="400"/>
              <w:jc w:val="both"/>
            </w:pPr>
            <w:r>
              <w:rPr>
                <w:sz w:val="21"/>
              </w:rPr>
              <w:t>7.6每一台彩票终端机标有唯一设备标识（电子标识或物理标识），能满足资产管理要求。</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采购包2（传统终端机）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自采购人下达供货通知之日起，1个月内完成货物的供货、安装调试、验收等相关服务</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1期：支付比例30%,合同签订后5个工作日内，采购人向中标人支付合同金额的30%。中标人需提供等额的正式发票给采购人，以便采购人及时办理支付手续。</w:t>
            </w:r>
          </w:p>
          <w:p/>
          <w:p>
            <w:r>
              <w:rPr/>
              <w:t>2期：支付比例70%,所有货物交付完成，并经采购人验收合格后15个工作日内，支付合同金额的70%。中标人需提供等额的正式发票给采购人，以便采购人及时办理支付手续。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1期：★1.交付地点：分别送到采购人指定地点并安装验收完毕。 ★2.交付时间：自采购人下达供货通知之日起，1个月内完成货物的供货、安装调试、验收等相关服务；投标人投标时需提交详细的供货计划，安装调试、测试和验收方案。 ★3.开箱检验：所有设备、器材在开箱时必须完好，无破损，数量、配置、质量、技术性能指标等必须与投标文件及投标样机相符。 ★4.文档：本项目的中标人必须提供完整的原厂家随机文档和软件、设计文档、安装配置文档、测试文档等。中标人提供包括但不限于满足货物安装、使用和维护的技术文件。 ★5.抽检：中标人应派出有经验的、高水平的技术人员根据《电脑体育彩票销售终端机到货抽检实施细则（2020）》相关要求协助完成到货设备抽检工作。如果任何被抽检或测试的产品不能满足采购要求的，采购人可以拒绝接受该产品，中标人需承担被采购人终止合同的一切风险和费用。</w:t>
            </w:r>
          </w:p>
        </w:tc>
      </w:tr>
      <w:tr>
        <w:tc>
          <w:tcPr>
            <w:tcW w:type="dxa" w:w="4153"/>
          </w:tcPr>
          <w:p>
            <w:r>
              <w:rPr/>
              <w:t>履约保证金</w:t>
            </w:r>
          </w:p>
        </w:tc>
        <w:tc>
          <w:tcPr>
            <w:tcW w:type="dxa" w:w="4153"/>
          </w:tcPr>
          <w:p/>
          <w:p/>
          <w:p/>
          <w:p/>
          <w:p>
            <w:r>
              <w:rPr/>
              <w:t>收取比例：5%,说明：★1.中标人需在合同签订后15个工作日内向采购人交纳合同总金额5%的履约保证金（以支票、汇票、本票、保函等非现金形式提交），合同履行完成后且采购人在收到中标人的退还申请后30天内不计利息还其履约保证金。 ★2.违约责任：采购人逾期退还履约保证金的，除应当退还履约保证金本金外，还应当每日按合同总价的3‰向中标人偿付违约金，但因中标人自身原因导致无法及时退还的除外。 ★3.不予退还的情形：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tc>
      </w:tr>
      <w:tr>
        <w:tc>
          <w:tcPr>
            <w:tcW w:type="dxa" w:w="4153"/>
          </w:tcPr>
          <w:p>
            <w:r>
              <w:rPr/>
              <w:t>其他</w:t>
            </w:r>
          </w:p>
        </w:tc>
        <w:tc>
          <w:tcPr>
            <w:tcW w:type="dxa" w:w="4153"/>
          </w:tcPr>
          <w:p/>
          <w:p/>
          <w:p>
            <w:r>
              <w:rPr/>
              <w:t>（一）质量保证服务要求，▲1.质量保证服务期限为三年，包括中标人提供的彩票销售终端机（含备机）及配套设备，并且按照供货时间一次性提供不少于5％的备机（包括配套设备）。设备品质保证期自设备安装验收报告签字之日起计算。设备的保修范围包括所有设备硬件故障和损耗。备机于本项目质保期满后30天内，由中标人自行收回，如未在规定时间取回的，采购人有权自行处理，相关费用包含在合同金额内。 2.在质量保证服务期内向采购人提供对设备正常运行的所有服务，包括必要的材料和配套设备，相关费用包含在合同金额内。 3.投标人应在投标文件中，提供详细、可行的项目实施维护方案，方案内容至少包括系统维护、软件升级、安全应急处理、质量保障等内容。 4.定期派工程师到现场进行检查，每次检查及维修后写出详细书面报告，提供给采购人。并负责更换系统正常使用情况下损坏的部件；由于在设计、制造、安装不当所造成的损失，由中标人负责保修，并赔偿给采购人所造成的经济损失。 5.中标人向采购人提供的系统维护手段包括电话支持、远程系统维护、现场系统维护等。 6.在质量保证服务期内，中标供应商承诺中标后在广东省内设立一个设备维修服务中心，且维修服务中心配备充足的设备维修配件，服务时间内不少于1名技术人员在岗，为本项目设备提供维修服务，设备采用寄修方式维修，寄修来回运费包含在本次采购预算中（提供承诺函）。 7.在合同执行期间，中标人必须对采购人在系统扩充、设备升级等方面提供技术支持和服务（包括广东省体育彩票销售系统未来功能扩充所需要的软件及硬件升级），相关费用包含在合同金额内。 8.中标人在合同规定的质量保证服务期内，依据合同条款进行维护管理。质量保证服务期后，采购人可根据项目需要，可以与中标人继续签订质量保证服务合同。中标人须承诺中标设备质保期满后4年内，按全国最低的价格供应充足的维修配件。 9.提供技术支持和培训。 10.采购人不安排、不解决中标人服务人员的住宿问题；</w:t>
            </w:r>
          </w:p>
          <w:p/>
          <w:p>
            <w:r>
              <w:rPr/>
              <w:t>（二）交付及安装要求，1.中标人提供的必须是技术成熟、性能可靠、设计先进的全新设备，并与广东省体育彩票销售系统相匹配。 2.交付地点：分别送到采购人指定地点并安装验收完毕。 3.交付时要随附货物清单。 4.标记 4.1.物包装及标记应按照有关国家标准执行，并符合货物特性要求。 4.2.证货物在长途运输和装卸过程中的安全，货物包装应符合国家或行业标准规定。由于包装不善导致货物锈蚀、失缺或损坏，由中标人承担一切责任。 5.现场保管 5.1.全部货物到安装现场过程中的全部运输，包括运输过程中的中转和货到现场前的库存（如果有的话）。 5.2.负责运输过程中的装卸与货物在现场存放点的就位。存放点由采购人现场圈定。货物在现场的保管由中标人负责，直至全部货物安装、验交完毕。设备外包装箱及设备外壳要有明显的型号标记和唯一产品编号（产品编号为二维码加编号）。 6.安装 6.1安装是合同的一部份，由中标人完成。 6.2中标人应设有安装负责人，负责安装工程的计划、协调、人力调配及工程质量管理等工作，还应设安装现场工程师负责技术指导，质量监督，安装现场测量，安装质量检查认可等。 7.安装工作范围 7.1安装工作包括货物就位、货物安装及调试在内的全部现场作业。 7.2安装调试由中标人工程师主持完成，调试应通知采购人安排人员参加，应准备调试记录卡，并事前10天交一份给买方(空白)。 7.3本次项目安装调试的服务范围：广东省内。投标人可以根据自身情况，提供更优的安装调试服务方案。</w:t>
            </w:r>
          </w:p>
          <w:p/>
          <w:p>
            <w:r>
              <w:rPr/>
              <w:t>（三）投标样机，1.投标人应在本项目提交投标文件截止时间前，将所投型号的传统终端机样机（1台）提交至广东华伦招标有限公司（广州市越秀区广仁路1号广仁大厦6楼，工作人员指定地点），以便在开标后进行现场演示（现场演示的开始时间、顺序由评标委员会根据评审情况而定），每个投标人的现场演示时间不超过15分钟。 2.投标人须在提交投标文件截止时间前完成样机的前期工作（包括组装、调试等工作），投标人应根据自身情况提前到达开标会现场完成样机的前期工作。提交投标文件截止时间到达时，投标人不得再对样机进行任何前期工作。 3.第一中标候选人所提供的样机由采购人保存，作为日后验收货物的标准，但不作为供货数量。第一中标候选人中标后所提供货物的配置、质量与其所提供的投标样机必须相符合，并兑现投标文件中的相关承诺，否则采购人有权随时终止合同，并由中标人赔偿采购人由此而造成的一切损失。 4.其他投标人的样机在本项目结果公告发布之日起7个工作日内凭投标人单位授权书自行到采购代理机构单位取回，逾期不取回的视为投标人放弃取回样机，采购代理机构有权进行处理。</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彩票销售设备</w:t>
            </w:r>
          </w:p>
        </w:tc>
        <w:tc>
          <w:tcPr>
            <w:tcW w:type="dxa" w:w="831"/>
          </w:tcPr>
          <w:p>
            <w:pPr>
              <w:jc w:val="left"/>
            </w:pPr>
            <w:r>
              <w:rPr/>
              <w:t>传统终端机</w:t>
            </w:r>
          </w:p>
        </w:tc>
        <w:tc>
          <w:tcPr>
            <w:tcW w:type="dxa" w:w="831"/>
          </w:tcPr>
          <w:p>
            <w:pPr>
              <w:jc w:val="left"/>
            </w:pPr>
            <w:r>
              <w:rPr/>
              <w:t>台</w:t>
            </w:r>
          </w:p>
        </w:tc>
        <w:tc>
          <w:tcPr>
            <w:tcW w:type="dxa" w:w="831"/>
          </w:tcPr>
          <w:p>
            <w:pPr>
              <w:jc w:val="right"/>
            </w:pPr>
            <w:r>
              <w:rPr/>
              <w:t>2,700.00</w:t>
            </w:r>
          </w:p>
        </w:tc>
        <w:tc>
          <w:tcPr>
            <w:tcW w:type="dxa" w:w="831"/>
          </w:tcPr>
          <w:p>
            <w:pPr>
              <w:jc w:val="right"/>
            </w:pPr>
            <w:r>
              <w:rPr/>
              <w:t>12,700.00</w:t>
            </w:r>
          </w:p>
        </w:tc>
        <w:tc>
          <w:tcPr>
            <w:tcW w:type="dxa" w:w="831"/>
          </w:tcPr>
          <w:p>
            <w:pPr>
              <w:jc w:val="right"/>
            </w:pPr>
            <w:r>
              <w:rPr/>
              <w:t>34,290,000.00</w:t>
            </w:r>
          </w:p>
        </w:tc>
        <w:tc>
          <w:tcPr>
            <w:tcW w:type="dxa" w:w="831"/>
          </w:tcPr>
          <w:p>
            <w:r>
              <w:rPr/>
              <w:t>工业</w:t>
            </w:r>
          </w:p>
        </w:tc>
        <w:tc>
          <w:tcPr>
            <w:tcW w:type="dxa" w:w="831"/>
          </w:tcPr>
          <w:p>
            <w:r>
              <w:rPr/>
              <w:t>详见附表一</w:t>
            </w:r>
          </w:p>
        </w:tc>
      </w:tr>
    </w:tbl>
    <w:p/>
    <w:p>
      <w:r>
        <w:rPr>
          <w:b/>
        </w:rPr>
        <w:t>附表</w:t>
      </w:r>
      <w:r>
        <w:rPr>
          <w:b/>
        </w:rPr>
        <w:t>一</w:t>
      </w:r>
      <w:r>
        <w:rPr>
          <w:b/>
        </w:rPr>
        <w:t>：</w:t>
      </w:r>
      <w:r>
        <w:rPr>
          <w:b/>
        </w:rPr>
        <w:t>传统终端机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所投产品是否为《国家体育总局体育彩票管理中心关于更新体育彩票电脑彩票传统终端机通过测试目录的通知》（体彩字〔</w:t>
            </w:r>
            <w:r>
              <w:rPr>
                <w:sz w:val="21"/>
              </w:rPr>
              <w:t>2022〕295号）文件中通过适配性测试的传统终端机。</w:t>
            </w:r>
            <w:r>
              <w:rPr>
                <w:color w:val="000000"/>
                <w:sz w:val="21"/>
              </w:rPr>
              <w:t>若开标前国家体育总局彩票管理中心发布新的通过测试目录，以最新通过测试目录为准。请投标人在投标文件中提供相关证明材料复印件。</w:t>
            </w:r>
          </w:p>
        </w:tc>
      </w:tr>
      <w:tr>
        <w:tc>
          <w:tcPr>
            <w:tcW w:type="dxa" w:w="2076"/>
          </w:tcPr>
          <w:p/>
        </w:tc>
        <w:tc>
          <w:tcPr>
            <w:tcW w:type="dxa" w:w="415"/>
          </w:tcPr>
          <w:p>
            <w:r>
              <w:rPr/>
              <w:t>2</w:t>
            </w:r>
          </w:p>
        </w:tc>
        <w:tc>
          <w:tcPr>
            <w:tcW w:type="dxa" w:w="5814"/>
          </w:tcPr>
          <w:p>
            <w:pPr>
              <w:jc w:val="both"/>
            </w:pPr>
            <w:r>
              <w:rPr>
                <w:sz w:val="21"/>
              </w:rPr>
              <w:t>终端机的设计要遵循安全、可靠、易用、易维护、可扩展、美观、人性化等原则。产品部件标准化、专业化、模块化，整机质量具有较高工艺水平。</w:t>
            </w:r>
          </w:p>
        </w:tc>
      </w:tr>
      <w:tr>
        <w:tc>
          <w:tcPr>
            <w:tcW w:type="dxa" w:w="2076"/>
          </w:tcPr>
          <w:p/>
        </w:tc>
        <w:tc>
          <w:tcPr>
            <w:tcW w:type="dxa" w:w="415"/>
          </w:tcPr>
          <w:p>
            <w:r>
              <w:rPr/>
              <w:t>3</w:t>
            </w:r>
          </w:p>
        </w:tc>
        <w:tc>
          <w:tcPr>
            <w:tcW w:type="dxa" w:w="5814"/>
          </w:tcPr>
          <w:p>
            <w:pPr>
              <w:jc w:val="both"/>
            </w:pPr>
            <w:r>
              <w:rPr>
                <w:sz w:val="21"/>
              </w:rPr>
              <w:t>具有专用整机检测软件，可对</w:t>
            </w:r>
            <w:r>
              <w:rPr>
                <w:sz w:val="21"/>
              </w:rPr>
              <w:t>BIOS、主存储器、显示器、读票机、打印机、网卡、MODEM、键盘等部件进行自动检测。终端机的硬件信息，按照统一规则编码并固化，仅允许通过制定的接口进行读取</w:t>
            </w:r>
          </w:p>
        </w:tc>
      </w:tr>
      <w:tr>
        <w:tc>
          <w:tcPr>
            <w:tcW w:type="dxa" w:w="2076"/>
          </w:tcPr>
          <w:p/>
        </w:tc>
        <w:tc>
          <w:tcPr>
            <w:tcW w:type="dxa" w:w="415"/>
          </w:tcPr>
          <w:p>
            <w:r>
              <w:rPr/>
              <w:t>4</w:t>
            </w:r>
          </w:p>
        </w:tc>
        <w:tc>
          <w:tcPr>
            <w:tcW w:type="dxa" w:w="5814"/>
          </w:tcPr>
          <w:p>
            <w:pPr>
              <w:jc w:val="both"/>
            </w:pPr>
            <w:r>
              <w:rPr>
                <w:sz w:val="21"/>
              </w:rPr>
              <w:t>频率：</w:t>
            </w:r>
            <w:r>
              <w:rPr>
                <w:sz w:val="21"/>
              </w:rPr>
              <w:t>50Hz~60Hz；电压：110V~240V；额定功率应满足将来扩展外设的要求；电源具有过压、欠压保护功能</w:t>
            </w:r>
          </w:p>
        </w:tc>
      </w:tr>
      <w:tr>
        <w:tc>
          <w:tcPr>
            <w:tcW w:type="dxa" w:w="2076"/>
          </w:tcPr>
          <w:p/>
        </w:tc>
        <w:tc>
          <w:tcPr>
            <w:tcW w:type="dxa" w:w="415"/>
          </w:tcPr>
          <w:p>
            <w:r>
              <w:rPr/>
              <w:t>5</w:t>
            </w:r>
          </w:p>
        </w:tc>
        <w:tc>
          <w:tcPr>
            <w:tcW w:type="dxa" w:w="5814"/>
          </w:tcPr>
          <w:p>
            <w:pPr>
              <w:jc w:val="both"/>
            </w:pPr>
            <w:r>
              <w:rPr>
                <w:sz w:val="21"/>
              </w:rPr>
              <w:t>产品安全要求应符合</w:t>
            </w:r>
            <w:r>
              <w:rPr>
                <w:sz w:val="21"/>
              </w:rPr>
              <w:t>GB 4943.1的有关规定。</w:t>
            </w:r>
          </w:p>
        </w:tc>
      </w:tr>
      <w:tr>
        <w:tc>
          <w:tcPr>
            <w:tcW w:type="dxa" w:w="2076"/>
          </w:tcPr>
          <w:p/>
        </w:tc>
        <w:tc>
          <w:tcPr>
            <w:tcW w:type="dxa" w:w="415"/>
          </w:tcPr>
          <w:p>
            <w:r>
              <w:rPr/>
              <w:t>6</w:t>
            </w:r>
          </w:p>
        </w:tc>
        <w:tc>
          <w:tcPr>
            <w:tcW w:type="dxa" w:w="5814"/>
          </w:tcPr>
          <w:p>
            <w:pPr>
              <w:jc w:val="both"/>
            </w:pPr>
            <w:r>
              <w:rPr>
                <w:sz w:val="21"/>
              </w:rPr>
              <w:t>产品工作时，按</w:t>
            </w:r>
            <w:r>
              <w:rPr>
                <w:sz w:val="21"/>
              </w:rPr>
              <w:t>GB/T 18313规定进行测试的噪声低于65dB.</w:t>
            </w:r>
          </w:p>
        </w:tc>
      </w:tr>
      <w:tr>
        <w:tc>
          <w:tcPr>
            <w:tcW w:type="dxa" w:w="2076"/>
          </w:tcPr>
          <w:p/>
        </w:tc>
        <w:tc>
          <w:tcPr>
            <w:tcW w:type="dxa" w:w="415"/>
          </w:tcPr>
          <w:p>
            <w:r>
              <w:rPr/>
              <w:t>7</w:t>
            </w:r>
          </w:p>
        </w:tc>
        <w:tc>
          <w:tcPr>
            <w:tcW w:type="dxa" w:w="5814"/>
          </w:tcPr>
          <w:p>
            <w:pPr>
              <w:jc w:val="both"/>
            </w:pPr>
            <w:r>
              <w:rPr>
                <w:sz w:val="21"/>
              </w:rPr>
              <w:t>产品无线电骚扰限值应符合</w:t>
            </w:r>
            <w:r>
              <w:rPr>
                <w:sz w:val="21"/>
              </w:rPr>
              <w:t>GB9254规定的B级要求；产品的抗扰度限值应符合GB/T 17618规定的要求。</w:t>
            </w:r>
          </w:p>
        </w:tc>
      </w:tr>
      <w:tr>
        <w:tc>
          <w:tcPr>
            <w:tcW w:type="dxa" w:w="2076"/>
          </w:tcPr>
          <w:p/>
        </w:tc>
        <w:tc>
          <w:tcPr>
            <w:tcW w:type="dxa" w:w="415"/>
          </w:tcPr>
          <w:p>
            <w:r>
              <w:rPr/>
              <w:t>8</w:t>
            </w:r>
          </w:p>
        </w:tc>
        <w:tc>
          <w:tcPr>
            <w:tcW w:type="dxa" w:w="5814"/>
          </w:tcPr>
          <w:p>
            <w:pPr>
              <w:jc w:val="both"/>
            </w:pPr>
            <w:r>
              <w:rPr>
                <w:sz w:val="21"/>
              </w:rPr>
              <w:t>投标终端机能适应广东省范围内电脑体育彩票销售业务及使用环境的要求。</w:t>
            </w:r>
          </w:p>
        </w:tc>
      </w:tr>
      <w:tr>
        <w:tc>
          <w:tcPr>
            <w:tcW w:type="dxa" w:w="2076"/>
          </w:tcPr>
          <w:p/>
        </w:tc>
        <w:tc>
          <w:tcPr>
            <w:tcW w:type="dxa" w:w="415"/>
          </w:tcPr>
          <w:p>
            <w:r>
              <w:rPr/>
              <w:t>9</w:t>
            </w:r>
          </w:p>
        </w:tc>
        <w:tc>
          <w:tcPr>
            <w:tcW w:type="dxa" w:w="5814"/>
          </w:tcPr>
          <w:p>
            <w:pPr>
              <w:jc w:val="both"/>
            </w:pPr>
            <w:r>
              <w:rPr>
                <w:sz w:val="21"/>
              </w:rPr>
              <w:t>体育彩票销售终端机在验收合格后第一季度内，正常使用完好率须达到</w:t>
            </w:r>
            <w:r>
              <w:rPr>
                <w:sz w:val="21"/>
              </w:rPr>
              <w:t>99％</w:t>
            </w:r>
          </w:p>
        </w:tc>
      </w:tr>
      <w:tr>
        <w:tc>
          <w:tcPr>
            <w:tcW w:type="dxa" w:w="2076"/>
          </w:tcPr>
          <w:p/>
        </w:tc>
        <w:tc>
          <w:tcPr>
            <w:tcW w:type="dxa" w:w="415"/>
          </w:tcPr>
          <w:p>
            <w:r>
              <w:rPr/>
              <w:t>10</w:t>
            </w:r>
          </w:p>
        </w:tc>
        <w:tc>
          <w:tcPr>
            <w:tcW w:type="dxa" w:w="5814"/>
          </w:tcPr>
          <w:p>
            <w:pPr>
              <w:jc w:val="both"/>
            </w:pPr>
            <w:r>
              <w:rPr>
                <w:b/>
                <w:sz w:val="21"/>
              </w:rPr>
              <w:t>终端机系统硬件要求</w:t>
            </w:r>
          </w:p>
          <w:p>
            <w:pPr>
              <w:ind w:firstLine="420"/>
              <w:jc w:val="both"/>
            </w:pPr>
            <w:r>
              <w:rPr>
                <w:sz w:val="21"/>
              </w:rPr>
              <w:t>1.中标人须承诺所提供的终端机机型符合国家体育总局体育彩票管理中心制定的最新版本的《体育彩票电脑彩票销售终端机技术要求》的要求。</w:t>
            </w:r>
          </w:p>
          <w:p>
            <w:pPr>
              <w:ind w:firstLine="400"/>
              <w:jc w:val="both"/>
            </w:pPr>
            <w:r>
              <w:rPr>
                <w:sz w:val="21"/>
              </w:rPr>
              <w:t>2.彩票销售专用终端机要求规格表：</w:t>
            </w:r>
          </w:p>
          <w:p>
            <w:pPr>
              <w:jc w:val="both"/>
            </w:pPr>
            <w:r>
              <w:rPr>
                <w:b/>
                <w:sz w:val="21"/>
              </w:rPr>
              <w:t>（彩票销售专用终端机要求规格表详见本项目招标文件</w:t>
            </w:r>
            <w:r>
              <w:rPr>
                <w:b/>
                <w:sz w:val="21"/>
              </w:rPr>
              <w:t>“第二章 采购需求”中“项目概况”附表“1.彩票销售专用终端机要求规格表”）</w:t>
            </w:r>
          </w:p>
          <w:p>
            <w:pPr>
              <w:ind w:firstLine="402"/>
              <w:jc w:val="both"/>
            </w:pPr>
            <w:r>
              <w:rPr>
                <w:b/>
                <w:sz w:val="21"/>
              </w:rPr>
              <w:t>备注：以上</w:t>
            </w:r>
            <w:r>
              <w:rPr>
                <w:b/>
                <w:sz w:val="21"/>
              </w:rPr>
              <w:t>“外设”中磁卡阅读器（可选）、IC卡阅读器（可选）为投标人所投标终端机的可选外设配置项，投标人可根据所投设备情况进行选择配置（可全选，或二选一，或全不选）。如投标人选择了该外设配置项，则须按要求进行配置及交付。</w:t>
            </w:r>
          </w:p>
          <w:p>
            <w:pPr>
              <w:ind w:firstLine="400"/>
              <w:jc w:val="both"/>
            </w:pPr>
            <w:r>
              <w:rPr>
                <w:sz w:val="21"/>
              </w:rPr>
              <w:t>3.外设兼容性要求</w:t>
            </w:r>
          </w:p>
          <w:p>
            <w:pPr>
              <w:ind w:firstLine="400"/>
              <w:jc w:val="both"/>
            </w:pPr>
            <w:r>
              <w:rPr>
                <w:sz w:val="21"/>
              </w:rPr>
              <w:t>终端机要求提供外设的安装配置文档，驱动程序，设备检测工具。</w:t>
            </w:r>
          </w:p>
          <w:p>
            <w:pPr>
              <w:ind w:firstLine="400"/>
              <w:jc w:val="both"/>
            </w:pPr>
            <w:r>
              <w:rPr>
                <w:sz w:val="21"/>
              </w:rPr>
              <w:t>3.1文档要求</w:t>
            </w:r>
          </w:p>
          <w:p>
            <w:pPr>
              <w:ind w:firstLine="400"/>
              <w:jc w:val="both"/>
            </w:pPr>
            <w:r>
              <w:rPr>
                <w:sz w:val="21"/>
              </w:rPr>
              <w:t>文档提供的参数要求与提供的设备一致，不同型号的设备独立提供配套文档，所有文档均要求提供简体中文印刷出版物和电子文档两种格式，提供的文档要求覆盖以下内容：</w:t>
            </w:r>
          </w:p>
          <w:p>
            <w:pPr>
              <w:ind w:firstLine="400"/>
              <w:jc w:val="both"/>
            </w:pPr>
            <w:r>
              <w:rPr>
                <w:sz w:val="21"/>
              </w:rPr>
              <w:t>设备型号规格及参数</w:t>
            </w:r>
          </w:p>
          <w:p>
            <w:pPr>
              <w:ind w:firstLine="400"/>
              <w:jc w:val="both"/>
            </w:pPr>
            <w:r>
              <w:rPr>
                <w:sz w:val="21"/>
              </w:rPr>
              <w:t>安装／拆卸说明</w:t>
            </w:r>
          </w:p>
          <w:p>
            <w:pPr>
              <w:ind w:firstLine="400"/>
              <w:jc w:val="both"/>
            </w:pPr>
            <w:r>
              <w:rPr>
                <w:sz w:val="21"/>
              </w:rPr>
              <w:t>驱动程序安装及配置说明。</w:t>
            </w:r>
          </w:p>
          <w:p>
            <w:pPr>
              <w:ind w:firstLine="400"/>
              <w:jc w:val="both"/>
            </w:pPr>
            <w:r>
              <w:rPr>
                <w:sz w:val="21"/>
              </w:rPr>
              <w:t>3.2驱动程序要求</w:t>
            </w:r>
          </w:p>
          <w:p>
            <w:pPr>
              <w:ind w:firstLine="400"/>
              <w:jc w:val="both"/>
            </w:pPr>
            <w:r>
              <w:rPr>
                <w:sz w:val="21"/>
              </w:rPr>
              <w:t>要求提供外设的驱动程序，驱动程序必须与提供的型号一致，不同型号的外设分别提供驱动程序。</w:t>
            </w:r>
          </w:p>
          <w:p>
            <w:pPr>
              <w:ind w:firstLine="400"/>
              <w:jc w:val="both"/>
            </w:pPr>
            <w:r>
              <w:rPr>
                <w:sz w:val="21"/>
              </w:rPr>
              <w:t>3.3设备状态检测工具</w:t>
            </w:r>
          </w:p>
          <w:p>
            <w:pPr>
              <w:ind w:firstLine="400"/>
              <w:jc w:val="both"/>
            </w:pPr>
            <w:r>
              <w:rPr>
                <w:sz w:val="21"/>
              </w:rPr>
              <w:t>提供外设的状态检测工具及其源代码，检测工具可以是文本界面或者是图形界面，通过检测工具，要求能显示外设的下列特性，对</w:t>
            </w:r>
            <w:r>
              <w:rPr>
                <w:sz w:val="21"/>
              </w:rPr>
              <w:t>PNP设备，还要求检测设备的插入和拔除。</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vAlign w:val="top"/>
                </w:tcPr>
                <w:p>
                  <w:pPr>
                    <w:jc w:val="both"/>
                  </w:pPr>
                  <w:r>
                    <w:rPr>
                      <w:sz w:val="21"/>
                    </w:rPr>
                    <w:t>检测项目</w:t>
                  </w:r>
                </w:p>
              </w:tc>
              <w:tc>
                <w:tcPr>
                  <w:tcW w:type="dxa" w:w="2799"/>
                  <w:tcBorders>
                    <w:top w:val="single" w:color="000000" w:sz="4"/>
                    <w:left w:val="none" w:color="000000" w:sz="4"/>
                    <w:bottom w:val="single" w:color="000000" w:sz="4"/>
                    <w:right w:val="single" w:color="000000" w:sz="4"/>
                  </w:tcBorders>
                  <w:vAlign w:val="top"/>
                </w:tcPr>
                <w:p>
                  <w:pPr>
                    <w:jc w:val="both"/>
                  </w:pPr>
                  <w:r>
                    <w:rPr>
                      <w:sz w:val="21"/>
                    </w:rPr>
                    <w:t>说明</w:t>
                  </w:r>
                </w:p>
              </w:tc>
            </w:tr>
            <w:tr>
              <w:tc>
                <w:tcPr>
                  <w:tcW w:type="dxa" w:w="2799"/>
                  <w:tcBorders>
                    <w:top w:val="none" w:color="000000" w:sz="4"/>
                    <w:left w:val="single" w:color="000000" w:sz="4"/>
                    <w:bottom w:val="single" w:color="000000" w:sz="4"/>
                    <w:right w:val="single" w:color="000000" w:sz="4"/>
                  </w:tcBorders>
                  <w:vAlign w:val="top"/>
                </w:tcPr>
                <w:p>
                  <w:pPr>
                    <w:jc w:val="both"/>
                  </w:pPr>
                  <w:r>
                    <w:rPr>
                      <w:sz w:val="21"/>
                    </w:rPr>
                    <w:t>硬件版本号及修订号</w:t>
                  </w:r>
                </w:p>
              </w:tc>
              <w:tc>
                <w:tcPr>
                  <w:tcW w:type="dxa" w:w="2799"/>
                  <w:tcBorders>
                    <w:top w:val="none" w:color="000000" w:sz="4"/>
                    <w:left w:val="none" w:color="000000" w:sz="4"/>
                    <w:bottom w:val="single" w:color="000000" w:sz="4"/>
                    <w:right w:val="single" w:color="000000" w:sz="4"/>
                  </w:tcBorders>
                  <w:vAlign w:val="top"/>
                </w:tcPr>
                <w:p>
                  <w:pPr>
                    <w:jc w:val="both"/>
                  </w:pPr>
                </w:p>
              </w:tc>
            </w:tr>
            <w:tr>
              <w:tc>
                <w:tcPr>
                  <w:tcW w:type="dxa" w:w="2799"/>
                  <w:tcBorders>
                    <w:top w:val="none" w:color="000000" w:sz="4"/>
                    <w:left w:val="single" w:color="000000" w:sz="4"/>
                    <w:bottom w:val="single" w:color="000000" w:sz="4"/>
                    <w:right w:val="single" w:color="000000" w:sz="4"/>
                  </w:tcBorders>
                  <w:vAlign w:val="top"/>
                </w:tcPr>
                <w:p>
                  <w:pPr>
                    <w:jc w:val="both"/>
                  </w:pPr>
                  <w:r>
                    <w:rPr>
                      <w:sz w:val="21"/>
                    </w:rPr>
                    <w:t>驱动程序版本号</w:t>
                  </w:r>
                </w:p>
              </w:tc>
              <w:tc>
                <w:tcPr>
                  <w:tcW w:type="dxa" w:w="2799"/>
                  <w:tcBorders>
                    <w:top w:val="none" w:color="000000" w:sz="4"/>
                    <w:left w:val="none" w:color="000000" w:sz="4"/>
                    <w:bottom w:val="single" w:color="000000" w:sz="4"/>
                    <w:right w:val="single" w:color="000000" w:sz="4"/>
                  </w:tcBorders>
                  <w:vAlign w:val="top"/>
                </w:tcPr>
                <w:p>
                  <w:pPr>
                    <w:jc w:val="both"/>
                  </w:pPr>
                </w:p>
              </w:tc>
            </w:tr>
            <w:tr>
              <w:tc>
                <w:tcPr>
                  <w:tcW w:type="dxa" w:w="2799"/>
                  <w:tcBorders>
                    <w:top w:val="none" w:color="000000" w:sz="4"/>
                    <w:left w:val="single" w:color="000000" w:sz="4"/>
                    <w:bottom w:val="single" w:color="000000" w:sz="4"/>
                    <w:right w:val="single" w:color="000000" w:sz="4"/>
                  </w:tcBorders>
                  <w:vAlign w:val="top"/>
                </w:tcPr>
                <w:p>
                  <w:pPr>
                    <w:jc w:val="both"/>
                  </w:pPr>
                  <w:r>
                    <w:rPr>
                      <w:sz w:val="21"/>
                    </w:rPr>
                    <w:t>使用的驱动程序文件</w:t>
                  </w:r>
                </w:p>
              </w:tc>
              <w:tc>
                <w:tcPr>
                  <w:tcW w:type="dxa" w:w="2799"/>
                  <w:tcBorders>
                    <w:top w:val="none" w:color="000000" w:sz="4"/>
                    <w:left w:val="none" w:color="000000" w:sz="4"/>
                    <w:bottom w:val="single" w:color="000000" w:sz="4"/>
                    <w:right w:val="single" w:color="000000" w:sz="4"/>
                  </w:tcBorders>
                  <w:vAlign w:val="top"/>
                </w:tcPr>
                <w:p>
                  <w:pPr>
                    <w:jc w:val="both"/>
                  </w:pPr>
                </w:p>
              </w:tc>
            </w:tr>
            <w:tr>
              <w:tc>
                <w:tcPr>
                  <w:tcW w:type="dxa" w:w="2799"/>
                  <w:tcBorders>
                    <w:top w:val="none" w:color="000000" w:sz="4"/>
                    <w:left w:val="single" w:color="000000" w:sz="4"/>
                    <w:bottom w:val="single" w:color="000000" w:sz="4"/>
                    <w:right w:val="single" w:color="000000" w:sz="4"/>
                  </w:tcBorders>
                  <w:vAlign w:val="top"/>
                </w:tcPr>
                <w:p>
                  <w:pPr>
                    <w:jc w:val="both"/>
                  </w:pPr>
                  <w:r>
                    <w:rPr>
                      <w:sz w:val="21"/>
                    </w:rPr>
                    <w:t>设备状态</w:t>
                  </w:r>
                </w:p>
              </w:tc>
              <w:tc>
                <w:tcPr>
                  <w:tcW w:type="dxa" w:w="2799"/>
                  <w:tcBorders>
                    <w:top w:val="none" w:color="000000" w:sz="4"/>
                    <w:left w:val="none" w:color="000000" w:sz="4"/>
                    <w:bottom w:val="single" w:color="000000" w:sz="4"/>
                    <w:right w:val="single" w:color="000000" w:sz="4"/>
                  </w:tcBorders>
                  <w:vAlign w:val="top"/>
                </w:tcPr>
                <w:p>
                  <w:pPr>
                    <w:jc w:val="both"/>
                  </w:pPr>
                  <w:r>
                    <w:rPr>
                      <w:sz w:val="21"/>
                    </w:rPr>
                    <w:t>正常，不存在，禁用</w:t>
                  </w:r>
                </w:p>
              </w:tc>
            </w:tr>
          </w:tbl>
          <w:p>
            <w:pPr>
              <w:ind w:firstLine="400"/>
              <w:jc w:val="both"/>
            </w:pPr>
            <w:r>
              <w:rPr>
                <w:sz w:val="21"/>
              </w:rPr>
              <w:t>对特定的设备，还要求提供特别的状态检测。</w:t>
            </w:r>
          </w:p>
          <w:tbl>
            <w:tblPr>
              <w:tblInd w:type="dxa" w:w="120"/>
              <w:tblBorders>
                <w:top w:val="none" w:color="000000" w:sz="4"/>
                <w:left w:val="none" w:color="000000" w:sz="4"/>
                <w:bottom w:val="none" w:color="000000" w:sz="4"/>
                <w:right w:val="none" w:color="000000" w:sz="4"/>
                <w:insideH w:val="none"/>
                <w:insideV w:val="none"/>
              </w:tblBorders>
            </w:tblPr>
            <w:tblGrid>
              <w:gridCol w:w="2775"/>
              <w:gridCol w:w="2823"/>
            </w:tblGrid>
            <w:tr>
              <w:tc>
                <w:tcPr>
                  <w:tcW w:type="dxa" w:w="2775"/>
                  <w:tcBorders>
                    <w:top w:val="single" w:color="000000" w:sz="4"/>
                    <w:left w:val="single" w:color="000000" w:sz="4"/>
                    <w:bottom w:val="single" w:color="000000" w:sz="4"/>
                    <w:right w:val="single" w:color="000000" w:sz="4"/>
                  </w:tcBorders>
                  <w:vAlign w:val="top"/>
                </w:tcPr>
                <w:p>
                  <w:pPr>
                    <w:jc w:val="both"/>
                  </w:pPr>
                  <w:r>
                    <w:rPr>
                      <w:sz w:val="21"/>
                    </w:rPr>
                    <w:t>外设</w:t>
                  </w:r>
                </w:p>
              </w:tc>
              <w:tc>
                <w:tcPr>
                  <w:tcW w:type="dxa" w:w="2823"/>
                  <w:tcBorders>
                    <w:top w:val="single" w:color="000000" w:sz="4"/>
                    <w:left w:val="none" w:color="000000" w:sz="4"/>
                    <w:bottom w:val="single" w:color="000000" w:sz="4"/>
                    <w:right w:val="single" w:color="000000" w:sz="4"/>
                  </w:tcBorders>
                  <w:vAlign w:val="top"/>
                </w:tcPr>
                <w:p>
                  <w:pPr>
                    <w:jc w:val="both"/>
                  </w:pPr>
                  <w:r>
                    <w:rPr>
                      <w:sz w:val="21"/>
                    </w:rPr>
                    <w:t>状态检测项目</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彩票打印机</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p>
                  <w:pPr>
                    <w:jc w:val="both"/>
                  </w:pPr>
                  <w:r>
                    <w:rPr>
                      <w:sz w:val="21"/>
                    </w:rPr>
                    <w:t>缺纸</w:t>
                  </w:r>
                </w:p>
                <w:p>
                  <w:pPr>
                    <w:jc w:val="both"/>
                  </w:pPr>
                  <w:r>
                    <w:rPr>
                      <w:sz w:val="21"/>
                    </w:rPr>
                    <w:t>少纸</w:t>
                  </w:r>
                </w:p>
                <w:p>
                  <w:pPr>
                    <w:jc w:val="both"/>
                  </w:pPr>
                  <w:r>
                    <w:rPr>
                      <w:sz w:val="21"/>
                    </w:rPr>
                    <w:t>卡纸</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读票机</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p>
                  <w:pPr>
                    <w:jc w:val="both"/>
                  </w:pPr>
                  <w:r>
                    <w:rPr>
                      <w:sz w:val="21"/>
                    </w:rPr>
                    <w:t>卡纸</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条码阅读器</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IC卡阅读器（可选）</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磁卡阅读器（可选）</w:t>
                  </w:r>
                </w:p>
              </w:tc>
              <w:tc>
                <w:tcPr>
                  <w:tcW w:type="dxa" w:w="2823"/>
                  <w:tcBorders>
                    <w:top w:val="none" w:color="000000" w:sz="4"/>
                    <w:left w:val="none" w:color="000000" w:sz="4"/>
                    <w:bottom w:val="single" w:color="000000" w:sz="4"/>
                    <w:right w:val="single" w:color="000000" w:sz="4"/>
                  </w:tcBorders>
                  <w:vAlign w:val="top"/>
                </w:tcPr>
                <w:p>
                  <w:pPr>
                    <w:jc w:val="both"/>
                  </w:pPr>
                  <w:r>
                    <w:rPr>
                      <w:sz w:val="21"/>
                    </w:rPr>
                    <w:t>连接断开</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备用电源</w:t>
                  </w:r>
                </w:p>
              </w:tc>
              <w:tc>
                <w:tcPr>
                  <w:tcW w:type="dxa" w:w="2823"/>
                  <w:tcBorders>
                    <w:top w:val="none" w:color="000000" w:sz="4"/>
                    <w:left w:val="none" w:color="000000" w:sz="4"/>
                    <w:bottom w:val="single" w:color="000000" w:sz="4"/>
                    <w:right w:val="single" w:color="000000" w:sz="4"/>
                  </w:tcBorders>
                  <w:vAlign w:val="top"/>
                </w:tcPr>
                <w:p>
                  <w:pPr>
                    <w:jc w:val="both"/>
                  </w:pPr>
                  <w:r>
                    <w:rPr>
                      <w:sz w:val="21"/>
                    </w:rPr>
                    <w:t>供电</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网卡及其他通讯适配器</w:t>
                  </w:r>
                </w:p>
              </w:tc>
              <w:tc>
                <w:tcPr>
                  <w:tcW w:type="dxa" w:w="2823"/>
                  <w:tcBorders>
                    <w:top w:val="none" w:color="000000" w:sz="4"/>
                    <w:left w:val="none" w:color="000000" w:sz="4"/>
                    <w:bottom w:val="single" w:color="000000" w:sz="4"/>
                    <w:right w:val="single" w:color="000000" w:sz="4"/>
                  </w:tcBorders>
                  <w:vAlign w:val="top"/>
                </w:tcPr>
                <w:p>
                  <w:pPr>
                    <w:jc w:val="both"/>
                  </w:pPr>
                  <w:r>
                    <w:rPr>
                      <w:sz w:val="21"/>
                    </w:rPr>
                    <w:t>链路断开</w:t>
                  </w:r>
                </w:p>
              </w:tc>
            </w:tr>
            <w:tr>
              <w:tc>
                <w:tcPr>
                  <w:tcW w:type="dxa" w:w="2775"/>
                  <w:tcBorders>
                    <w:top w:val="none" w:color="000000" w:sz="4"/>
                    <w:left w:val="single" w:color="000000" w:sz="4"/>
                    <w:bottom w:val="single" w:color="000000" w:sz="4"/>
                    <w:right w:val="single" w:color="000000" w:sz="4"/>
                  </w:tcBorders>
                  <w:vAlign w:val="top"/>
                </w:tcPr>
                <w:p>
                  <w:pPr>
                    <w:jc w:val="both"/>
                  </w:pPr>
                  <w:r>
                    <w:rPr>
                      <w:sz w:val="21"/>
                    </w:rPr>
                    <w:t>安全控制</w:t>
                  </w:r>
                </w:p>
              </w:tc>
              <w:tc>
                <w:tcPr>
                  <w:tcW w:type="dxa" w:w="2823"/>
                  <w:tcBorders>
                    <w:top w:val="none" w:color="000000" w:sz="4"/>
                    <w:left w:val="none" w:color="000000" w:sz="4"/>
                    <w:bottom w:val="single" w:color="000000" w:sz="4"/>
                    <w:right w:val="single" w:color="000000" w:sz="4"/>
                  </w:tcBorders>
                  <w:vAlign w:val="top"/>
                </w:tcPr>
                <w:p>
                  <w:pPr>
                    <w:jc w:val="both"/>
                  </w:pPr>
                  <w:r>
                    <w:rPr>
                      <w:sz w:val="21"/>
                    </w:rPr>
                    <w:t>设备断开</w:t>
                  </w:r>
                </w:p>
              </w:tc>
            </w:tr>
          </w:tbl>
          <w:p>
            <w:pPr>
              <w:ind w:firstLine="400"/>
              <w:jc w:val="both"/>
            </w:pPr>
            <w:r>
              <w:rPr>
                <w:sz w:val="21"/>
              </w:rPr>
              <w:t>4.彩票业务功能要求</w:t>
            </w:r>
          </w:p>
          <w:p>
            <w:pPr>
              <w:ind w:firstLine="400"/>
              <w:jc w:val="both"/>
            </w:pPr>
            <w:r>
              <w:rPr>
                <w:sz w:val="21"/>
              </w:rPr>
              <w:t>要求提供示例代，演示彩票下列功能，演示可以是文本界面或者是图形界面，力求简洁，突出主要功能，不要求包含复杂的错误检查，也不要包含演示以外的其他功能。</w:t>
            </w:r>
          </w:p>
          <w:tbl>
            <w:tblPr>
              <w:tblInd w:type="dxa" w:w="120"/>
              <w:tblBorders>
                <w:top w:val="none" w:color="000000" w:sz="4"/>
                <w:left w:val="none" w:color="000000" w:sz="4"/>
                <w:bottom w:val="none" w:color="000000" w:sz="4"/>
                <w:right w:val="none" w:color="000000" w:sz="4"/>
                <w:insideH w:val="none"/>
                <w:insideV w:val="none"/>
              </w:tblBorders>
            </w:tblPr>
            <w:tblGrid>
              <w:gridCol w:w="1817"/>
              <w:gridCol w:w="3781"/>
            </w:tblGrid>
            <w:tr>
              <w:tc>
                <w:tcPr>
                  <w:tcW w:type="dxa" w:w="1817"/>
                  <w:tcBorders>
                    <w:top w:val="single" w:color="000000" w:sz="4"/>
                    <w:left w:val="single" w:color="000000" w:sz="4"/>
                    <w:bottom w:val="single" w:color="000000" w:sz="4"/>
                    <w:right w:val="single" w:color="000000" w:sz="4"/>
                  </w:tcBorders>
                  <w:vAlign w:val="top"/>
                </w:tcPr>
                <w:p>
                  <w:pPr>
                    <w:jc w:val="both"/>
                  </w:pPr>
                  <w:r>
                    <w:rPr>
                      <w:sz w:val="21"/>
                    </w:rPr>
                    <w:t>彩票业务功能</w:t>
                  </w:r>
                </w:p>
              </w:tc>
              <w:tc>
                <w:tcPr>
                  <w:tcW w:type="dxa" w:w="3781"/>
                  <w:tcBorders>
                    <w:top w:val="single" w:color="000000" w:sz="4"/>
                    <w:left w:val="none" w:color="000000" w:sz="4"/>
                    <w:bottom w:val="single" w:color="000000" w:sz="4"/>
                    <w:right w:val="single" w:color="000000" w:sz="4"/>
                  </w:tcBorders>
                  <w:vAlign w:val="top"/>
                </w:tcPr>
                <w:p>
                  <w:pPr>
                    <w:jc w:val="both"/>
                  </w:pPr>
                  <w:r>
                    <w:rPr>
                      <w:sz w:val="21"/>
                    </w:rPr>
                    <w:t>业务要求</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图像及视频显示</w:t>
                  </w:r>
                </w:p>
              </w:tc>
              <w:tc>
                <w:tcPr>
                  <w:tcW w:type="dxa" w:w="3781"/>
                  <w:tcBorders>
                    <w:top w:val="none" w:color="000000" w:sz="4"/>
                    <w:left w:val="none" w:color="000000" w:sz="4"/>
                    <w:bottom w:val="single" w:color="000000" w:sz="4"/>
                    <w:right w:val="single" w:color="000000" w:sz="4"/>
                  </w:tcBorders>
                  <w:vAlign w:val="top"/>
                </w:tcPr>
                <w:p>
                  <w:pPr>
                    <w:jc w:val="both"/>
                  </w:pPr>
                  <w:r>
                    <w:rPr>
                      <w:sz w:val="21"/>
                    </w:rPr>
                    <w:t>提供的代码要求能显示指定图片和全屏运动图像</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彩票打印</w:t>
                  </w:r>
                </w:p>
              </w:tc>
              <w:tc>
                <w:tcPr>
                  <w:tcW w:type="dxa" w:w="3781"/>
                  <w:tcBorders>
                    <w:top w:val="none" w:color="000000" w:sz="4"/>
                    <w:left w:val="none" w:color="000000" w:sz="4"/>
                    <w:bottom w:val="single" w:color="000000" w:sz="4"/>
                    <w:right w:val="single" w:color="000000" w:sz="4"/>
                  </w:tcBorders>
                  <w:vAlign w:val="top"/>
                </w:tcPr>
                <w:p>
                  <w:pPr>
                    <w:jc w:val="both"/>
                  </w:pPr>
                  <w:r>
                    <w:rPr>
                      <w:sz w:val="21"/>
                    </w:rPr>
                    <w:t>提供的代码要求能按照指定的样票格式打印出彩票，并正确切纸</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辅助投注录入</w:t>
                  </w:r>
                </w:p>
              </w:tc>
              <w:tc>
                <w:tcPr>
                  <w:tcW w:type="dxa" w:w="3781"/>
                  <w:tcBorders>
                    <w:top w:val="none" w:color="000000" w:sz="4"/>
                    <w:left w:val="none" w:color="000000" w:sz="4"/>
                    <w:bottom w:val="single" w:color="000000" w:sz="4"/>
                    <w:right w:val="single" w:color="000000" w:sz="4"/>
                  </w:tcBorders>
                  <w:vAlign w:val="top"/>
                </w:tcPr>
                <w:p>
                  <w:pPr>
                    <w:jc w:val="both"/>
                  </w:pPr>
                  <w:r>
                    <w:rPr>
                      <w:sz w:val="21"/>
                    </w:rPr>
                    <w:t>读票机提供的代码能正确识别投注内容并显示</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兑奖／取消以及标记</w:t>
                  </w:r>
                </w:p>
              </w:tc>
              <w:tc>
                <w:tcPr>
                  <w:tcW w:type="dxa" w:w="3781"/>
                  <w:tcBorders>
                    <w:top w:val="none" w:color="000000" w:sz="4"/>
                    <w:left w:val="none" w:color="000000" w:sz="4"/>
                    <w:bottom w:val="single" w:color="000000" w:sz="4"/>
                    <w:right w:val="single" w:color="000000" w:sz="4"/>
                  </w:tcBorders>
                  <w:vAlign w:val="top"/>
                </w:tcPr>
                <w:p>
                  <w:pPr>
                    <w:jc w:val="both"/>
                  </w:pPr>
                  <w:r>
                    <w:rPr>
                      <w:sz w:val="21"/>
                    </w:rPr>
                    <w:t>能正确识别中奖彩票内容</w:t>
                  </w:r>
                </w:p>
                <w:p>
                  <w:pPr>
                    <w:jc w:val="both"/>
                  </w:pPr>
                  <w:r>
                    <w:rPr>
                      <w:sz w:val="21"/>
                    </w:rPr>
                    <w:t>能打印标记</w:t>
                  </w:r>
                </w:p>
                <w:p>
                  <w:pPr>
                    <w:jc w:val="both"/>
                  </w:pPr>
                  <w:r>
                    <w:rPr>
                      <w:sz w:val="21"/>
                    </w:rPr>
                    <w:t>能识别已经标记过的彩票</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条码阅读器</w:t>
                  </w:r>
                </w:p>
              </w:tc>
              <w:tc>
                <w:tcPr>
                  <w:tcW w:type="dxa" w:w="3781"/>
                  <w:tcBorders>
                    <w:top w:val="none" w:color="000000" w:sz="4"/>
                    <w:left w:val="none" w:color="000000" w:sz="4"/>
                    <w:bottom w:val="single" w:color="000000" w:sz="4"/>
                    <w:right w:val="single" w:color="000000" w:sz="4"/>
                  </w:tcBorders>
                  <w:vAlign w:val="top"/>
                </w:tcPr>
                <w:p>
                  <w:pPr>
                    <w:jc w:val="both"/>
                  </w:pPr>
                  <w:r>
                    <w:rPr>
                      <w:sz w:val="21"/>
                    </w:rPr>
                    <w:t>能正确识别彩票上的二维码内容</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IC卡阅读器（可选）</w:t>
                  </w:r>
                </w:p>
              </w:tc>
              <w:tc>
                <w:tcPr>
                  <w:tcW w:type="dxa" w:w="3781"/>
                  <w:tcBorders>
                    <w:top w:val="none" w:color="000000" w:sz="4"/>
                    <w:left w:val="none" w:color="000000" w:sz="4"/>
                    <w:bottom w:val="single" w:color="000000" w:sz="4"/>
                    <w:right w:val="single" w:color="000000" w:sz="4"/>
                  </w:tcBorders>
                  <w:vAlign w:val="top"/>
                </w:tcPr>
                <w:p>
                  <w:pPr>
                    <w:jc w:val="both"/>
                  </w:pPr>
                  <w:r>
                    <w:rPr>
                      <w:sz w:val="21"/>
                    </w:rPr>
                    <w:t>能正确识别</w:t>
                  </w:r>
                  <w:r>
                    <w:rPr>
                      <w:sz w:val="21"/>
                    </w:rPr>
                    <w:t>IC卡内容</w:t>
                  </w:r>
                </w:p>
              </w:tc>
            </w:tr>
            <w:tr>
              <w:tc>
                <w:tcPr>
                  <w:tcW w:type="dxa" w:w="1817"/>
                  <w:tcBorders>
                    <w:top w:val="none" w:color="000000" w:sz="4"/>
                    <w:left w:val="single" w:color="000000" w:sz="4"/>
                    <w:bottom w:val="single" w:color="000000" w:sz="4"/>
                    <w:right w:val="single" w:color="000000" w:sz="4"/>
                  </w:tcBorders>
                  <w:vAlign w:val="top"/>
                </w:tcPr>
                <w:p>
                  <w:pPr>
                    <w:jc w:val="both"/>
                  </w:pPr>
                  <w:r>
                    <w:rPr>
                      <w:sz w:val="21"/>
                    </w:rPr>
                    <w:t>磁卡阅读器（可选）</w:t>
                  </w:r>
                </w:p>
              </w:tc>
              <w:tc>
                <w:tcPr>
                  <w:tcW w:type="dxa" w:w="3781"/>
                  <w:tcBorders>
                    <w:top w:val="none" w:color="000000" w:sz="4"/>
                    <w:left w:val="none" w:color="000000" w:sz="4"/>
                    <w:bottom w:val="single" w:color="000000" w:sz="4"/>
                    <w:right w:val="single" w:color="000000" w:sz="4"/>
                  </w:tcBorders>
                  <w:vAlign w:val="top"/>
                </w:tcPr>
                <w:p>
                  <w:pPr>
                    <w:jc w:val="both"/>
                  </w:pPr>
                  <w:r>
                    <w:rPr>
                      <w:sz w:val="21"/>
                    </w:rPr>
                    <w:t>能正确识别磁卡内容</w:t>
                  </w:r>
                </w:p>
              </w:tc>
            </w:tr>
          </w:tbl>
          <w:p>
            <w:pPr>
              <w:ind w:firstLine="400"/>
              <w:jc w:val="both"/>
            </w:pPr>
            <w:r>
              <w:rPr>
                <w:sz w:val="21"/>
              </w:rPr>
              <w:t>5.彩票业务性能要求</w:t>
            </w:r>
          </w:p>
          <w:tbl>
            <w:tblPr>
              <w:tblInd w:type="dxa" w:w="120"/>
              <w:tblBorders>
                <w:top w:val="none" w:color="000000" w:sz="4"/>
                <w:left w:val="none" w:color="000000" w:sz="4"/>
                <w:bottom w:val="none" w:color="000000" w:sz="4"/>
                <w:right w:val="none" w:color="000000" w:sz="4"/>
                <w:insideH w:val="none"/>
                <w:insideV w:val="none"/>
              </w:tblBorders>
            </w:tblPr>
            <w:tblGrid>
              <w:gridCol w:w="1482"/>
              <w:gridCol w:w="4116"/>
            </w:tblGrid>
            <w:tr>
              <w:tc>
                <w:tcPr>
                  <w:tcW w:type="dxa" w:w="1482"/>
                  <w:tcBorders>
                    <w:top w:val="single" w:color="000000" w:sz="4"/>
                    <w:left w:val="single" w:color="000000" w:sz="4"/>
                    <w:bottom w:val="single" w:color="000000" w:sz="4"/>
                    <w:right w:val="single" w:color="000000" w:sz="4"/>
                  </w:tcBorders>
                  <w:vAlign w:val="top"/>
                </w:tcPr>
                <w:p>
                  <w:pPr>
                    <w:jc w:val="both"/>
                  </w:pPr>
                  <w:r>
                    <w:rPr>
                      <w:sz w:val="21"/>
                    </w:rPr>
                    <w:t>彩票业务功能</w:t>
                  </w:r>
                </w:p>
              </w:tc>
              <w:tc>
                <w:tcPr>
                  <w:tcW w:type="dxa" w:w="4116"/>
                  <w:tcBorders>
                    <w:top w:val="single" w:color="000000" w:sz="4"/>
                    <w:left w:val="none" w:color="000000" w:sz="4"/>
                    <w:bottom w:val="single" w:color="000000" w:sz="4"/>
                    <w:right w:val="single" w:color="000000" w:sz="4"/>
                  </w:tcBorders>
                  <w:vAlign w:val="top"/>
                </w:tcPr>
                <w:p>
                  <w:pPr>
                    <w:jc w:val="both"/>
                  </w:pPr>
                  <w:r>
                    <w:rPr>
                      <w:sz w:val="21"/>
                    </w:rPr>
                    <w:t>性能要求</w:t>
                  </w:r>
                </w:p>
              </w:tc>
            </w:tr>
            <w:tr>
              <w:tc>
                <w:tcPr>
                  <w:tcW w:type="dxa" w:w="1482"/>
                  <w:tcBorders>
                    <w:top w:val="none" w:color="000000" w:sz="4"/>
                    <w:left w:val="single" w:color="000000" w:sz="4"/>
                    <w:bottom w:val="single" w:color="000000" w:sz="4"/>
                    <w:right w:val="single" w:color="000000" w:sz="4"/>
                  </w:tcBorders>
                  <w:vAlign w:val="top"/>
                </w:tcPr>
                <w:p>
                  <w:pPr>
                    <w:jc w:val="both"/>
                  </w:pPr>
                  <w:r>
                    <w:rPr>
                      <w:sz w:val="21"/>
                    </w:rPr>
                    <w:t>图像及视频显示</w:t>
                  </w:r>
                </w:p>
              </w:tc>
              <w:tc>
                <w:tcPr>
                  <w:tcW w:type="dxa" w:w="4116"/>
                  <w:tcBorders>
                    <w:top w:val="none" w:color="000000" w:sz="4"/>
                    <w:left w:val="none" w:color="000000" w:sz="4"/>
                    <w:bottom w:val="single" w:color="000000" w:sz="4"/>
                    <w:right w:val="single" w:color="000000" w:sz="4"/>
                  </w:tcBorders>
                  <w:vAlign w:val="top"/>
                </w:tcPr>
                <w:p>
                  <w:pPr>
                    <w:jc w:val="both"/>
                  </w:pPr>
                  <w:r>
                    <w:rPr>
                      <w:sz w:val="21"/>
                    </w:rPr>
                    <w:t>支持在</w:t>
                  </w:r>
                  <w:r>
                    <w:rPr>
                      <w:sz w:val="21"/>
                    </w:rPr>
                    <w:t>1280*720、1024*768、800*600模式下实现流畅全屏视频播放</w:t>
                  </w:r>
                </w:p>
              </w:tc>
            </w:tr>
            <w:tr>
              <w:tc>
                <w:tcPr>
                  <w:tcW w:type="dxa" w:w="1482"/>
                  <w:tcBorders>
                    <w:top w:val="none" w:color="000000" w:sz="4"/>
                    <w:left w:val="single" w:color="000000" w:sz="4"/>
                    <w:bottom w:val="single" w:color="000000" w:sz="4"/>
                    <w:right w:val="single" w:color="000000" w:sz="4"/>
                  </w:tcBorders>
                  <w:vAlign w:val="top"/>
                </w:tcPr>
                <w:p>
                  <w:pPr>
                    <w:jc w:val="both"/>
                  </w:pPr>
                  <w:r>
                    <w:rPr>
                      <w:sz w:val="21"/>
                    </w:rPr>
                    <w:t>彩票打印</w:t>
                  </w:r>
                </w:p>
              </w:tc>
              <w:tc>
                <w:tcPr>
                  <w:tcW w:type="dxa" w:w="4116"/>
                  <w:tcBorders>
                    <w:top w:val="none" w:color="000000" w:sz="4"/>
                    <w:left w:val="none" w:color="000000" w:sz="4"/>
                    <w:bottom w:val="single" w:color="000000" w:sz="4"/>
                    <w:right w:val="single" w:color="000000" w:sz="4"/>
                  </w:tcBorders>
                  <w:vAlign w:val="top"/>
                </w:tcPr>
                <w:p>
                  <w:pPr>
                    <w:jc w:val="both"/>
                  </w:pPr>
                  <w:r>
                    <w:rPr>
                      <w:sz w:val="21"/>
                    </w:rPr>
                    <w:t>不低于</w:t>
                  </w:r>
                  <w:r>
                    <w:rPr>
                      <w:sz w:val="21"/>
                    </w:rPr>
                    <w:t>180mm/s</w:t>
                  </w:r>
                </w:p>
              </w:tc>
            </w:tr>
            <w:tr>
              <w:tc>
                <w:tcPr>
                  <w:tcW w:type="dxa" w:w="1482"/>
                  <w:tcBorders>
                    <w:top w:val="none" w:color="000000" w:sz="4"/>
                    <w:left w:val="single" w:color="000000" w:sz="4"/>
                    <w:bottom w:val="single" w:color="000000" w:sz="4"/>
                    <w:right w:val="single" w:color="000000" w:sz="4"/>
                  </w:tcBorders>
                  <w:vAlign w:val="top"/>
                </w:tcPr>
                <w:p>
                  <w:pPr>
                    <w:jc w:val="both"/>
                  </w:pPr>
                  <w:r>
                    <w:rPr>
                      <w:sz w:val="21"/>
                    </w:rPr>
                    <w:t>读票机</w:t>
                  </w:r>
                </w:p>
              </w:tc>
              <w:tc>
                <w:tcPr>
                  <w:tcW w:type="dxa" w:w="4116"/>
                  <w:tcBorders>
                    <w:top w:val="none" w:color="000000" w:sz="4"/>
                    <w:left w:val="none" w:color="000000" w:sz="4"/>
                    <w:bottom w:val="single" w:color="000000" w:sz="4"/>
                    <w:right w:val="single" w:color="000000" w:sz="4"/>
                  </w:tcBorders>
                  <w:vAlign w:val="top"/>
                </w:tcPr>
                <w:p>
                  <w:pPr>
                    <w:jc w:val="both"/>
                  </w:pPr>
                  <w:r>
                    <w:rPr>
                      <w:sz w:val="21"/>
                    </w:rPr>
                    <w:t>扫描速度不低于</w:t>
                  </w:r>
                  <w:r>
                    <w:rPr>
                      <w:sz w:val="21"/>
                    </w:rPr>
                    <w:t>300mm/s</w:t>
                  </w:r>
                </w:p>
              </w:tc>
            </w:tr>
          </w:tbl>
          <w:p>
            <w:pPr>
              <w:ind w:firstLine="400"/>
              <w:jc w:val="both"/>
            </w:pPr>
            <w:r>
              <w:rPr>
                <w:sz w:val="21"/>
              </w:rPr>
              <w:t>6.可靠性要求</w:t>
            </w:r>
          </w:p>
          <w:p>
            <w:pPr>
              <w:ind w:firstLine="400"/>
              <w:jc w:val="both"/>
            </w:pPr>
            <w:r>
              <w:rPr>
                <w:sz w:val="21"/>
              </w:rPr>
              <w:t>6.1整机要防震、防潮、防尘、防静电、耐高温。</w:t>
            </w:r>
          </w:p>
          <w:p>
            <w:pPr>
              <w:ind w:firstLine="400"/>
              <w:jc w:val="both"/>
            </w:pPr>
            <w:r>
              <w:rPr>
                <w:sz w:val="21"/>
              </w:rPr>
              <w:t>6.2工作温度：-5摄氏度至50摄氏度。</w:t>
            </w:r>
          </w:p>
          <w:p>
            <w:pPr>
              <w:ind w:firstLine="400"/>
              <w:jc w:val="both"/>
            </w:pPr>
            <w:r>
              <w:rPr>
                <w:sz w:val="21"/>
              </w:rPr>
              <w:t>6.3存储温度：-30摄氏度至70摄氏度。</w:t>
            </w:r>
          </w:p>
          <w:p>
            <w:pPr>
              <w:ind w:firstLine="400"/>
              <w:jc w:val="both"/>
            </w:pPr>
            <w:r>
              <w:rPr>
                <w:sz w:val="21"/>
              </w:rPr>
              <w:t>6.4工作湿度：相对湿度20%至90%（40摄氏度）。</w:t>
            </w:r>
          </w:p>
          <w:p>
            <w:pPr>
              <w:ind w:firstLine="400"/>
              <w:jc w:val="both"/>
            </w:pPr>
            <w:r>
              <w:rPr>
                <w:sz w:val="21"/>
              </w:rPr>
              <w:t>6.5储存湿度：相对湿度20%至93%（40摄氏度）。</w:t>
            </w:r>
          </w:p>
          <w:p>
            <w:pPr>
              <w:ind w:firstLine="400"/>
              <w:jc w:val="both"/>
            </w:pPr>
            <w:r>
              <w:rPr>
                <w:sz w:val="21"/>
              </w:rPr>
              <w:t>6.</w:t>
            </w:r>
            <w:r>
              <w:rPr>
                <w:sz w:val="21"/>
              </w:rPr>
              <w:t>6</w:t>
            </w:r>
            <w:r>
              <w:rPr>
                <w:sz w:val="21"/>
              </w:rPr>
              <w:t>主机电源要有过压、欠压保护功能。</w:t>
            </w:r>
          </w:p>
          <w:p>
            <w:pPr>
              <w:ind w:firstLine="400"/>
              <w:jc w:val="both"/>
            </w:pPr>
            <w:r>
              <w:rPr>
                <w:sz w:val="21"/>
              </w:rPr>
              <w:t>6.</w:t>
            </w:r>
            <w:r>
              <w:rPr>
                <w:sz w:val="21"/>
              </w:rPr>
              <w:t>7</w:t>
            </w:r>
            <w:r>
              <w:rPr>
                <w:sz w:val="21"/>
              </w:rPr>
              <w:t>▲整机：不低于MTBF15000小时，MTTR不高于15分钟；防火材料外壳。</w:t>
            </w:r>
          </w:p>
          <w:p>
            <w:pPr>
              <w:ind w:firstLine="400"/>
              <w:jc w:val="both"/>
            </w:pPr>
            <w:r>
              <w:rPr>
                <w:sz w:val="21"/>
              </w:rPr>
              <w:t>7.可维护性要求</w:t>
            </w:r>
          </w:p>
          <w:p>
            <w:pPr>
              <w:ind w:firstLine="400"/>
              <w:jc w:val="both"/>
            </w:pPr>
            <w:r>
              <w:rPr>
                <w:sz w:val="21"/>
              </w:rPr>
              <w:t>7.1整机结构设计合理，易于拆卸及安装。</w:t>
            </w:r>
          </w:p>
          <w:p>
            <w:pPr>
              <w:ind w:firstLine="400"/>
              <w:jc w:val="both"/>
            </w:pPr>
            <w:r>
              <w:rPr>
                <w:sz w:val="21"/>
              </w:rPr>
              <w:t>7.2打印机、读票机出现卡票故障易维护。</w:t>
            </w:r>
          </w:p>
          <w:p>
            <w:pPr>
              <w:ind w:firstLine="400"/>
              <w:jc w:val="both"/>
            </w:pPr>
            <w:r>
              <w:rPr>
                <w:sz w:val="21"/>
              </w:rPr>
              <w:t>7.3读票机扫描头易清洗。</w:t>
            </w:r>
          </w:p>
          <w:p>
            <w:pPr>
              <w:ind w:firstLine="400"/>
              <w:jc w:val="both"/>
            </w:pPr>
            <w:r>
              <w:rPr>
                <w:sz w:val="21"/>
              </w:rPr>
              <w:t>7.4打印机应方便安装及更换纸卷。</w:t>
            </w:r>
          </w:p>
          <w:p>
            <w:pPr>
              <w:ind w:firstLine="400"/>
              <w:jc w:val="both"/>
            </w:pPr>
            <w:r>
              <w:rPr>
                <w:sz w:val="21"/>
              </w:rPr>
              <w:t>7.5支持从可移动便携存储设备例如USB启动盘，SD卡启动维护程序和故障诊断程序。</w:t>
            </w:r>
          </w:p>
          <w:p>
            <w:pPr>
              <w:ind w:firstLine="400"/>
              <w:jc w:val="both"/>
            </w:pPr>
            <w:r>
              <w:rPr>
                <w:sz w:val="21"/>
              </w:rPr>
              <w:t>7.6每一台彩票终端机标有唯一设备标识（电子标识或物理标识），能满足资产管理要求。</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广东省体育彩票中心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采购包1：保证金人民币：50,001.00元整。</w:t>
            </w:r>
            <w:r>
              <w:rPr/>
              <w:t>采购包2：保证金人民币：50,002.00元整。</w:t>
            </w:r>
          </w:p>
          <w:p>
            <w:r>
              <w:rPr/>
              <w:t>开户单位：</w:t>
            </w:r>
            <w:r>
              <w:rPr/>
              <w:t>广东华伦招标有限公司</w:t>
            </w:r>
          </w:p>
          <w:p>
            <w:r>
              <w:rPr/>
              <w:t>开户账号：</w:t>
            </w:r>
            <w:r>
              <w:rPr/>
              <w:t>15000103073565</w:t>
            </w:r>
          </w:p>
          <w:p>
            <w:r>
              <w:rPr/>
              <w:t>开户银行：</w:t>
            </w:r>
            <w:r>
              <w:rPr/>
              <w:t>平安银行广州珠江新城支行</w:t>
            </w:r>
          </w:p>
          <w:p>
            <w:r>
              <w:rPr/>
              <w:t>支票提交方式：</w:t>
            </w:r>
            <w:r>
              <w:rPr/>
              <w:t>须在递交投标文件截止时间前完成交纳</w:t>
            </w:r>
          </w:p>
          <w:p>
            <w:r>
              <w:rPr/>
              <w:t>汇票、本票提交方式：</w:t>
            </w:r>
            <w:r>
              <w:rPr/>
              <w:t>须在递交投标文件截止时间前完成交纳</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7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1）本项目共2个采购包，投标人可就任何采购包或全部采购包进行投标，但同一采购包不得分拆，允许兼投但不可以兼中。评标委员会按本项目的采购包号顺序（采购包1、2）进行评审，投标人已成为其中一个采购包的第一中标候选人，则不再推荐为其他采购包的中标候选人；若采购包的中标候选人不足2名的，该采购包作废标处理。（2）若出现某采购包的第一中标候选人或中标人放弃中标或被依法认定中标无效等情形，如果替补上来的中标候选人已成为其他采购包的第一中标候选人或中标人，则该包组作废标处理。（3）投标人对于本项目各采购包的投标价格不能超过对应采购包的预算金额（含分项预算单价），否则视为无效投标。</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计委《招标代理服务收费管理暂行办法》（计价格[2002]1980号）、国家发改委的发改办价格[2003]857号及发改价格[2011]534号文件中规定“货物类”的计算方法和计费标准下浮46.5%执行，以中标（成交）金额为计费基数，按差额定率累进法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中国人民银行广州分行关于开展省级政府采购合同融资工作的通知》（粤财采购〔2020〕6号）等。 2.本项目纸质版投标文件必须是通过智慧云平台投标客户端软件生成的加了系统水印的投标文件打印的纸质版，否则可能被视为无效纸质投标文件。纸质投标文件须在投标截止时间前递交至开标地点，逾期递交的，代理机构将不再接收，但不造成投标无效。如允许同一个供应商参加多个采购包的投标时，其纸质投标文件应按每个采购包分别独立编制、装订和封装。同一个采购包的纸质投标文件统一封装在一个封包，外包装封面标注：采购项目（采购包）编号、名称+供应商名称。 3.本项目为现场电子开标，需现场开标解密；投标人需携带并使用加密该投标文件的CA数字证书及存储有非加密投标文件的U盘前往开标现场进行签到、解密。 4.递交投标资料的法定代表人或授权代表须凭身份证原件（大厦一楼大厅物业管理处要求登记后方可进入）到达开标现场递交投标文件及样机，否则由此产生的后果由投标人自行承担。</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广东华伦招标有限公司（http://www.gdhualun.com.cn/）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广东华伦招标有限公司（http://www.gdhualun.com.cn/）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020-83172290</w:t>
      </w:r>
    </w:p>
    <w:p>
      <w:pPr>
        <w:ind w:firstLine="480"/>
      </w:pPr>
      <w:r>
        <w:rPr/>
        <w:t>邮箱：</w:t>
      </w:r>
      <w:r>
        <w:rPr/>
        <w:t>hualuneb@163.com</w:t>
      </w:r>
    </w:p>
    <w:p>
      <w:pPr>
        <w:ind w:firstLine="480"/>
      </w:pPr>
      <w:r>
        <w:rPr/>
        <w:t>地址：</w:t>
      </w:r>
      <w:r>
        <w:rPr/>
        <w:t>广州市越秀区广仁路一号广仁大厦七楼</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采购包1(传统终端机)：综合评分法,是指投标文件满足招标文件全部实质性要求，且按照评审因素的量化指标评审得分最高的投标人为中标候选人的评标方法。（最低报价不是中标的唯一依据。）</w:t>
      </w:r>
    </w:p>
    <w:p/>
    <w:p>
      <w:r>
        <w:rPr/>
        <w:t>采购包2(传统终端机)：综合评分法,是指投标文件满足招标文件全部实质性要求，且按照评审因素的量化指标评审得分最高的投标人为中标候选人的评标方法。（最低报价不是中标的唯一依据。）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采购包1（传统终端机）：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采购包2（传统终端机）：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采购包1（传统终端机）：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最近一期财务报表（适用在上一年度或本财务年度成立的法人或其他组织），或人民银行出具的个人信用报告（适用于自然人），或提供《投标函》。（如投标人已对接“粤省事”“粤商通”等系统且能通过系统查询到相关内容，则无须提供该项证明文件）</w:t>
            </w:r>
          </w:p>
        </w:tc>
      </w:tr>
      <w:tr>
        <w:tc>
          <w:tcPr>
            <w:tcW w:type="dxa" w:w="890"/>
          </w:tcPr>
          <w:p>
            <w:r>
              <w:rPr/>
              <w:t>4</w:t>
            </w:r>
          </w:p>
        </w:tc>
        <w:tc>
          <w:tcPr>
            <w:tcW w:type="dxa" w:w="3178"/>
          </w:tcPr>
          <w:p>
            <w:r>
              <w:rPr/>
              <w:t>履行合同所必需的设备和专业技术能力</w:t>
            </w:r>
          </w:p>
        </w:tc>
        <w:tc>
          <w:tcPr>
            <w:tcW w:type="dxa" w:w="4238"/>
          </w:tcPr>
          <w:p>
            <w:r>
              <w:rPr/>
              <w:t>提供承诺函原件或填报设备及专业技术能力情况。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中国执行信息公开网”（zxgk.court.gov.cn）“记录失信被执行人”名单、“信用中国”网站(www.creditchina.gov.cn)“重大税收违法失信主体或政府采购严重违法失信行为”记录名单；不处于中国政府采购网(www.ccgp.gov.cn)“政府采购严重违法失信行为信息记录”中的禁止参加政府采购活动期间。（以资格审查人员于投标（响应）截止时间当天在“中国执行信息公开网”（zxgk.court.gov.cn）、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关于联合体投标</w:t>
            </w:r>
          </w:p>
        </w:tc>
        <w:tc>
          <w:tcPr>
            <w:tcW w:type="dxa" w:w="4238"/>
          </w:tcPr>
          <w:p>
            <w:r>
              <w:rPr/>
              <w:t>本采购包不接受联合体投标。</w:t>
            </w:r>
          </w:p>
        </w:tc>
      </w:tr>
      <w:tr>
        <w:tc>
          <w:tcPr>
            <w:tcW w:type="dxa" w:w="890"/>
          </w:tcPr>
          <w:p>
            <w:r>
              <w:rPr/>
              <w:t>9</w:t>
            </w:r>
          </w:p>
        </w:tc>
        <w:tc>
          <w:tcPr>
            <w:tcW w:type="dxa" w:w="3178"/>
          </w:tcPr>
          <w:p>
            <w:r>
              <w:rPr/>
              <w:t>本采购包专门面向中小企业采购</w:t>
            </w:r>
          </w:p>
        </w:tc>
        <w:tc>
          <w:tcPr>
            <w:tcW w:type="dxa" w:w="4238"/>
          </w:tcPr>
          <w:p>
            <w:r>
              <w:rPr/>
              <w:t>采购包整体专门面向中小企业。要求投标供应商提供的货物须全部由中小企业生产且使用该中小企业商号或注册商标。如果投标供应商提供的全部货物的制造商同时包含中型企业和小微企业的，则投标供应商须以分包形式将采购包的一定比例（70%以上）的货物分包给一家或者多家小微企业制造。提供投标供应商出具的《分包意向协议书》、《中小企业声明函（货物）》，若货物制造商为残疾人福利性单位或监狱企业的，还须提供相应的《残疾人福利性单位声明函》或属于监狱企业的证明文件。格式见投标文件格式（其中《分包意向协议书》见采购公告附件）（注：①接受分包合同的小微企业与投标供应商（即分包方）之间不得存在直接控股、管理关系；②接受分包合同的任何一方不得再以自己名义单独或接受其他投标供应商的分包参加同一采购包的投标，否则相关方的投标将被拒绝；③如果投标供应商提供的全部货物的制造商均为小微企业，无需再向其他小微企业分包。）</w:t>
            </w:r>
          </w:p>
        </w:tc>
      </w:tr>
    </w:tbl>
    <w:p/>
    <w:p>
      <w:r>
        <w:rPr/>
        <w:t>采购包2（传统终端机）：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最近一期财务报表（适用在上一年度或本财务年度成立的法人或其他组织），或人民银行出具的个人信用报告（适用于自然人），或提供《投标函》。（如投标人已对接“粤省事”“粤商通”等系统且能通过系统查询到相关内容，则无须提供该项证明文件）</w:t>
            </w:r>
          </w:p>
        </w:tc>
      </w:tr>
      <w:tr>
        <w:tc>
          <w:tcPr>
            <w:tcW w:type="dxa" w:w="890"/>
          </w:tcPr>
          <w:p>
            <w:r>
              <w:rPr/>
              <w:t>4</w:t>
            </w:r>
          </w:p>
        </w:tc>
        <w:tc>
          <w:tcPr>
            <w:tcW w:type="dxa" w:w="3178"/>
          </w:tcPr>
          <w:p>
            <w:r>
              <w:rPr/>
              <w:t>履行合同所必需的设备和专业技术能力</w:t>
            </w:r>
          </w:p>
        </w:tc>
        <w:tc>
          <w:tcPr>
            <w:tcW w:type="dxa" w:w="4238"/>
          </w:tcPr>
          <w:p>
            <w:r>
              <w:rPr/>
              <w:t>提供承诺函原件或填报设备及专业技术能力情况。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中国执行信息公开网”（zxgk.court.gov.cn）“记录失信被执行人”名单、“信用中国”网站(www.creditchina.gov.cn)“重大税收违法失信主体或政府采购严重违法失信行为”记录名单；不处于中国政府采购网(www.ccgp.gov.cn)“政府采购严重违法失信行为信息记录”中的禁止参加政府采购活动期间。（以资格审查人员于投标（响应）截止时间当天在“中国执行信息公开网”（zxgk.court.gov.cn）、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关于联合体投标</w:t>
            </w:r>
          </w:p>
        </w:tc>
        <w:tc>
          <w:tcPr>
            <w:tcW w:type="dxa" w:w="4238"/>
          </w:tcPr>
          <w:p>
            <w:r>
              <w:rPr/>
              <w:t>本采购包不接受联合体投标。</w:t>
            </w:r>
          </w:p>
        </w:tc>
      </w:tr>
      <w:tr>
        <w:tc>
          <w:tcPr>
            <w:tcW w:type="dxa" w:w="890"/>
          </w:tcPr>
          <w:p>
            <w:r>
              <w:rPr/>
              <w:t>9</w:t>
            </w:r>
          </w:p>
        </w:tc>
        <w:tc>
          <w:tcPr>
            <w:tcW w:type="dxa" w:w="3178"/>
          </w:tcPr>
          <w:p>
            <w:r>
              <w:rPr/>
              <w:t>本采购包专门面向中小企业采购</w:t>
            </w:r>
          </w:p>
        </w:tc>
        <w:tc>
          <w:tcPr>
            <w:tcW w:type="dxa" w:w="4238"/>
          </w:tcPr>
          <w:p>
            <w:r>
              <w:rPr/>
              <w:t>采购包整体专门面向中小企业。要求投标供应商提供的货物须全部由中小企业生产且使用该中小企业商号或注册商标。如果投标供应商提供的全部货物的制造商同时包含中型企业和小微企业的，则投标供应商须以分包形式将采购包的一定比例（70%以上）的货物分包给一家或者多家小微企业制造。提供投标供应商出具的《分包意向协议书》、《中小企业声明函（货物）》，若货物制造商为残疾人福利性单位或监狱企业的，还须提供相应的《残疾人福利性单位声明函》或属于监狱企业的证明文件。格式见投标文件格式（其中《分包意向协议书》见采购公告附件）（注：①接受分包合同的小微企业与投标供应商（即分包方）之间不得存在直接控股、管理关系；②接受分包合同的任何一方不得再以自己名义单独或接受其他投标供应商的分包参加同一采购包的投标，否则相关方的投标将被拒绝；③如果投标供应商提供的全部货物的制造商均为小微企业，无需再向其他小微企业分包。）</w:t>
            </w:r>
          </w:p>
        </w:tc>
      </w:tr>
    </w:tbl>
    <w:p/>
    <w:p>
      <w:pPr>
        <w:ind w:firstLine="480"/>
      </w:pPr>
      <w:r>
        <w:rPr/>
        <w:t>表二符合性审查表：</w:t>
      </w:r>
    </w:p>
    <w:p>
      <w:pPr>
        <w:ind w:firstLine="480"/>
      </w:pPr>
    </w:p>
    <w:p/>
    <w:p>
      <w:r>
        <w:rPr/>
        <w:t>采购包1（传统终端机）：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投标文件内容、签字、盖章</w:t>
            </w:r>
          </w:p>
        </w:tc>
        <w:tc>
          <w:tcPr>
            <w:tcW w:type="dxa" w:w="4238"/>
          </w:tcPr>
          <w:p>
            <w:r>
              <w:rPr/>
              <w:t>投标文件内容完整，无重大错漏，并已按招标文件要求签字、盖章。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投标保证金</w:t>
            </w:r>
          </w:p>
        </w:tc>
        <w:tc>
          <w:tcPr>
            <w:tcW w:type="dxa" w:w="4238"/>
          </w:tcPr>
          <w:p>
            <w:r>
              <w:rPr/>
              <w:t>已按招标文件要求交纳足额投标保证金，采用投标保函（或《政府采购投标担保函》）形式交纳的，投标保函（或《政府采购投标担保函》）有效期符合招标文件规定。</w:t>
            </w:r>
          </w:p>
        </w:tc>
      </w:tr>
      <w:tr>
        <w:tc>
          <w:tcPr>
            <w:tcW w:type="dxa" w:w="890"/>
          </w:tcPr>
          <w:p>
            <w:r>
              <w:rPr/>
              <w:t>8</w:t>
            </w:r>
          </w:p>
        </w:tc>
        <w:tc>
          <w:tcPr>
            <w:tcW w:type="dxa" w:w="3178"/>
          </w:tcPr>
          <w:p>
            <w:r>
              <w:rPr/>
              <w:t>投标报价</w:t>
            </w:r>
          </w:p>
        </w:tc>
        <w:tc>
          <w:tcPr>
            <w:tcW w:type="dxa" w:w="4238"/>
          </w:tcPr>
          <w:p>
            <w:r>
              <w:rPr/>
              <w:t>投标报价（含单项报价，如有要求）未超过招标文件中规定相应的预算金额或者最高限价；如果评标委员会认为投标人的报价明显低于其他通过符合性审查投标人的报价，有可能影响产 品质量或者不能诚信履约的，将要求其在评标现场合理的时间内提供书面说明，必要时提交相关证明材料；投标人应能证明其报价合理性。</w:t>
            </w:r>
          </w:p>
        </w:tc>
      </w:tr>
      <w:tr>
        <w:tc>
          <w:tcPr>
            <w:tcW w:type="dxa" w:w="890"/>
          </w:tcPr>
          <w:p>
            <w:r>
              <w:rPr/>
              <w:t>9</w:t>
            </w:r>
          </w:p>
        </w:tc>
        <w:tc>
          <w:tcPr>
            <w:tcW w:type="dxa" w:w="3178"/>
          </w:tcPr>
          <w:p>
            <w:r>
              <w:rPr/>
              <w:t>附加条件</w:t>
            </w:r>
          </w:p>
        </w:tc>
        <w:tc>
          <w:tcPr>
            <w:tcW w:type="dxa" w:w="4238"/>
          </w:tcPr>
          <w:p>
            <w:r>
              <w:rPr/>
              <w:t>投标文件未含有采购人不能接受的附加条件。</w:t>
            </w:r>
          </w:p>
        </w:tc>
      </w:tr>
      <w:tr>
        <w:tc>
          <w:tcPr>
            <w:tcW w:type="dxa" w:w="890"/>
          </w:tcPr>
          <w:p>
            <w:r>
              <w:rPr/>
              <w:t>10</w:t>
            </w:r>
          </w:p>
        </w:tc>
        <w:tc>
          <w:tcPr>
            <w:tcW w:type="dxa" w:w="3178"/>
          </w:tcPr>
          <w:p>
            <w:r>
              <w:rPr/>
              <w:t>串通投标</w:t>
            </w:r>
          </w:p>
        </w:tc>
        <w:tc>
          <w:tcPr>
            <w:tcW w:type="dxa" w:w="4238"/>
          </w:tcPr>
          <w:p>
            <w:r>
              <w:rPr/>
              <w:t>未出现招标文件所列的视为串通投标的情形。</w:t>
            </w:r>
          </w:p>
        </w:tc>
      </w:tr>
      <w:tr>
        <w:tc>
          <w:tcPr>
            <w:tcW w:type="dxa" w:w="890"/>
          </w:tcPr>
          <w:p>
            <w:r>
              <w:rPr/>
              <w:t>11</w:t>
            </w:r>
          </w:p>
        </w:tc>
        <w:tc>
          <w:tcPr>
            <w:tcW w:type="dxa" w:w="3178"/>
          </w:tcPr>
          <w:p>
            <w:r>
              <w:rPr/>
              <w:t>无效情形</w:t>
            </w:r>
          </w:p>
        </w:tc>
        <w:tc>
          <w:tcPr>
            <w:tcW w:type="dxa" w:w="4238"/>
          </w:tcPr>
          <w:p>
            <w:r>
              <w:rPr/>
              <w:t>投标文件中未有法律、法规和招标文件规定的其他无效情形。</w:t>
            </w:r>
          </w:p>
        </w:tc>
      </w:tr>
    </w:tbl>
    <w:p/>
    <w:p>
      <w:r>
        <w:rPr/>
        <w:t>采购包2（传统终端机）：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投标文件内容、签字、盖章</w:t>
            </w:r>
          </w:p>
        </w:tc>
        <w:tc>
          <w:tcPr>
            <w:tcW w:type="dxa" w:w="4238"/>
          </w:tcPr>
          <w:p>
            <w:r>
              <w:rPr/>
              <w:t>投标文件内容完整，无重大错漏，并已按招标文件要求签字、盖章。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投标保证金</w:t>
            </w:r>
          </w:p>
        </w:tc>
        <w:tc>
          <w:tcPr>
            <w:tcW w:type="dxa" w:w="4238"/>
          </w:tcPr>
          <w:p>
            <w:r>
              <w:rPr/>
              <w:t>已按招标文件要求交纳足额投标保证金，采用投标保函（或《政府采购投标担保函》）形式交纳的，投标保函（或《政府采购投标担保函》）有效期符合招标文件规定。</w:t>
            </w:r>
          </w:p>
        </w:tc>
      </w:tr>
      <w:tr>
        <w:tc>
          <w:tcPr>
            <w:tcW w:type="dxa" w:w="890"/>
          </w:tcPr>
          <w:p>
            <w:r>
              <w:rPr/>
              <w:t>8</w:t>
            </w:r>
          </w:p>
        </w:tc>
        <w:tc>
          <w:tcPr>
            <w:tcW w:type="dxa" w:w="3178"/>
          </w:tcPr>
          <w:p>
            <w:r>
              <w:rPr/>
              <w:t>投标报价</w:t>
            </w:r>
          </w:p>
        </w:tc>
        <w:tc>
          <w:tcPr>
            <w:tcW w:type="dxa" w:w="4238"/>
          </w:tcPr>
          <w:p>
            <w:r>
              <w:rPr/>
              <w:t>投标报价（含单项报价，如有要求）未超过招标文件中规定相应的预算金额或者最高限价；如果评标委员会认为投标人的报价明显低于其他通过符合性审查投标人的报价，有可能影响产 品质量或者不能诚信履约的，将要求其在评标现场合理的时间内提供书面说明，必要时提交相关证明材料；投标人应能证明其报价合理性。</w:t>
            </w:r>
          </w:p>
        </w:tc>
      </w:tr>
      <w:tr>
        <w:tc>
          <w:tcPr>
            <w:tcW w:type="dxa" w:w="890"/>
          </w:tcPr>
          <w:p>
            <w:r>
              <w:rPr/>
              <w:t>9</w:t>
            </w:r>
          </w:p>
        </w:tc>
        <w:tc>
          <w:tcPr>
            <w:tcW w:type="dxa" w:w="3178"/>
          </w:tcPr>
          <w:p>
            <w:r>
              <w:rPr/>
              <w:t>附加条件</w:t>
            </w:r>
          </w:p>
        </w:tc>
        <w:tc>
          <w:tcPr>
            <w:tcW w:type="dxa" w:w="4238"/>
          </w:tcPr>
          <w:p>
            <w:r>
              <w:rPr/>
              <w:t>投标文件未含有采购人不能接受的附加条件。</w:t>
            </w:r>
          </w:p>
        </w:tc>
      </w:tr>
      <w:tr>
        <w:tc>
          <w:tcPr>
            <w:tcW w:type="dxa" w:w="890"/>
          </w:tcPr>
          <w:p>
            <w:r>
              <w:rPr/>
              <w:t>10</w:t>
            </w:r>
          </w:p>
        </w:tc>
        <w:tc>
          <w:tcPr>
            <w:tcW w:type="dxa" w:w="3178"/>
          </w:tcPr>
          <w:p>
            <w:r>
              <w:rPr/>
              <w:t>串通投标</w:t>
            </w:r>
          </w:p>
        </w:tc>
        <w:tc>
          <w:tcPr>
            <w:tcW w:type="dxa" w:w="4238"/>
          </w:tcPr>
          <w:p>
            <w:r>
              <w:rPr/>
              <w:t>未出现招标文件所列的视为串通投标的情形。</w:t>
            </w:r>
          </w:p>
        </w:tc>
      </w:tr>
      <w:tr>
        <w:tc>
          <w:tcPr>
            <w:tcW w:type="dxa" w:w="890"/>
          </w:tcPr>
          <w:p>
            <w:r>
              <w:rPr/>
              <w:t>11</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采购包1(传统终端机):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商务部分18.0分</w:t>
            </w:r>
          </w:p>
          <w:p>
            <w:r>
              <w:rPr/>
              <w:t>技术部分42.0分</w:t>
            </w:r>
          </w:p>
          <w:p>
            <w:r>
              <w:rPr/>
              <w:t>报价得分40.0分</w:t>
            </w:r>
          </w:p>
        </w:tc>
      </w:tr>
      <w:tr>
        <w:tc>
          <w:tcPr>
            <w:tcW w:type="dxa" w:w="922"/>
            <w:gridSpan w:val="2"/>
            <w:vMerge w:val="restart"/>
          </w:tcPr>
          <w:p>
            <w:pPr>
              <w:jc w:val="center"/>
            </w:pPr>
            <w:r>
              <w:rPr/>
              <w:t>技术部分</w:t>
            </w:r>
          </w:p>
        </w:tc>
        <w:tc>
          <w:tcPr>
            <w:tcW w:type="dxa" w:w="2307"/>
          </w:tcPr>
          <w:p>
            <w:pPr>
              <w:jc w:val="left"/>
            </w:pPr>
            <w:r>
              <w:rPr/>
              <w:t>采购需求响应 (5.0分)</w:t>
            </w:r>
          </w:p>
        </w:tc>
        <w:tc>
          <w:tcPr>
            <w:tcW w:type="dxa" w:w="5076"/>
          </w:tcPr>
          <w:p>
            <w:pPr>
              <w:jc w:val="left"/>
            </w:pPr>
            <w:r>
              <w:rPr/>
              <w:t>根据投标人所投产品对《第二章 采购需求》“技术标准与要求”的附表中“具体技术（参数）要求”非带“★”符号或“▲”符号的技术条款（共37项）的响应情况进行评审【以技术标准与要求中最末的序号（如6与6.1之间，6.1为最末序号）作为一项参数】： 本小项共5分，投标人本小项得分=投标人响应的一般技术参数项数/一般技术参数项数×5分。 注：采购需求中有要求提供证明材料的，以采购需求中的要求提供；采购需求中未要求提供证明材料的以投标人提供投标产品通过国家体育总局体育彩票管理中心适配性测试相关证明材料复印件、货物制造商公开发布的印刷资料或货物制造商对技术参数的确认函作为技术支持资料；技术支持资料与投标人响应情况不一致的，以技术支持资料的内容为准。如相关资料为外文版的，请同时提供中文版。得分保留小数点后两位数，小数点后第三位四舍五入。</w:t>
            </w:r>
          </w:p>
        </w:tc>
      </w:tr>
      <w:tr>
        <w:tc>
          <w:tcPr>
            <w:tcW w:type="dxa" w:w="922"/>
            <w:gridSpan w:val="2"/>
            <w:vMerge/>
          </w:tcPr>
          <w:p/>
        </w:tc>
        <w:tc>
          <w:tcPr>
            <w:tcW w:type="dxa" w:w="2307"/>
          </w:tcPr>
          <w:p>
            <w:pPr>
              <w:jc w:val="left"/>
            </w:pPr>
            <w:r>
              <w:rPr/>
              <w:t>技术先进程度 (24.0分)</w:t>
            </w:r>
          </w:p>
        </w:tc>
        <w:tc>
          <w:tcPr>
            <w:tcW w:type="dxa" w:w="5076"/>
          </w:tcPr>
          <w:p>
            <w:pPr>
              <w:jc w:val="left"/>
            </w:pPr>
            <w:r>
              <w:rPr/>
              <w:t>标有“▲”符号的技术参数的响应情况： 1.CPU性能（最高得4分）： X86架构工业级CPU，主频不低于2.0GHz，二级缓存不低于1MB，完全满足或优于要求的，得4分；否则不得分； 2.内存性能（最高得4分）： ①大于2G小于等于4G得2分； ②大于4G得4分。 3.存储器容量（最高得3分）： ①大于等于32G小于64G得1分； ②大于等于64G小于128G得2分； ③大于等于128G得3分； 4.主显示器（最高得2分）： 有效显示范围大于12.1寸，且分辨率支持不低于1024*768、800*600像素，垂直视角不小于- 45 ~ + 45度，水平视角不小于- 45 ~ + 45度，完全满足或优于要求的,得2分；否则不得分； 5.读票机性能（最高得2分）： ①寿命不少于200万张，卡纸率&lt;0.1%,支持A4幅面读票，完全满足或优于要求的，得1分；否则不得分； ②误读率不大于0.1%，支持状态检测，支持标记打印（可打印西文、中文、图像），支持标记内容可编辑，支持现有体育彩票黑标（大、小黑标）类型，支持读取一维条码（UPC、EAN、39码、128码），支持读取二维码（PDF417），支持票样插入识别，支持票样读取和弹出控制，支持票样运送状态-完成/失败/卡纸，支持票样读取数据，完全满足或优于要求的,得1分；否则不得分； 6.打印机性能（最高得2分）： ①打印纸宽度支持79mm-82.5mm，支持一维、二维条形码（PDF417）打印，支持中文字符（GB2312或GB18030）、图像、LOGO打印功能，支持状态检测，支持黑标切纸和非黑标切纸模式，打印纸安装过程为一次导入，纸舱盖关闭状态下上电及初始化时打印纸自动定位至工作位置，且打印速率大于等于250mm/s的，完全满足或优于要求的得1分； 打印纸宽度支持79mm-82.5mm，支持一维、二维条形码（PDF417）打印，支持中文字符（GB2312或GB18030）、图像、LOGO打印功能，支持状态检测，支持黑标切纸和非黑标切纸模式，打印纸安装过程为一次导入，纸舱盖关闭状态下上电及初始化时打印纸自动定位至工作位置，打印速率小于250mm/s的，完全满足或优于要求的得0.5分； ②打印头寿命大于等于120Km、裁纸刀使用寿命大于等于100万次，得1分，其余0.5分。 7.以太网接口（最高得2分）： 两个及以上10/100M自适应网络接口：满足得2分，不满足得0分。 8.显示输出接口（最高得2分）： 显卡带3D加速,或支持双通道独立输出，显卡支持1280*720、1024*768、800*600像素；支持3路（除主屏幕以外，提供1路同步2路异步视频接口）显示功能，数字视频带宽&gt;150M，完全满足或优于要求的，得2分；否则不得分。 9.整机（最高得3分）： 防火材料外壳；无故障时长：15000小时≤整机MTBF，且MTTR≤15分钟，得3分； 防火材料外壳；无故障时长：整机MTBF＜15000小时，或MTTR&gt;15分钟，得1分； 无提供或其他情况得0分。 （以通过第三方机构的测试并出具的测试报告为依据） 注：采购需求中有要求提供证明材料的，以采购需求中的要求提供；采购需求中未要求提供证明材料的以投标人提供投标产品通过国家体育总局体育彩票管理中心适配性测试相关证明材料复印件、货物制造商公开发布的印刷资料或货物制造商对技术参数的确认函作为技术支持资料；技术支持资料与投标人响应情况不一致的，以技术支持资料的内容为准。如相关资料为外文版的，请同时提供中文版。</w:t>
            </w:r>
          </w:p>
        </w:tc>
      </w:tr>
      <w:tr>
        <w:tc>
          <w:tcPr>
            <w:tcW w:type="dxa" w:w="922"/>
            <w:gridSpan w:val="2"/>
            <w:vMerge/>
          </w:tcPr>
          <w:p/>
        </w:tc>
        <w:tc>
          <w:tcPr>
            <w:tcW w:type="dxa" w:w="2307"/>
          </w:tcPr>
          <w:p>
            <w:pPr>
              <w:jc w:val="left"/>
            </w:pPr>
            <w:r>
              <w:rPr/>
              <w:t>整机安全性 (1.0分)</w:t>
            </w:r>
            <w:r>
              <w:rPr/>
              <w:t>，（等次分值选择：</w:t>
            </w:r>
            <w:r>
              <w:rPr/>
              <w:t>0.0;</w:t>
            </w:r>
            <w:r>
              <w:rPr/>
              <w:t>1.0;</w:t>
            </w:r>
            <w:r>
              <w:rPr/>
              <w:t>）</w:t>
            </w:r>
          </w:p>
        </w:tc>
        <w:tc>
          <w:tcPr>
            <w:tcW w:type="dxa" w:w="5076"/>
          </w:tcPr>
          <w:p>
            <w:pPr>
              <w:jc w:val="left"/>
            </w:pPr>
            <w:r>
              <w:rPr/>
              <w:t>管理员登录控制：提供2级BIOS密码，可设置管理员密码，禁止普通用户更改BIOS设置得1分，否则不得分。</w:t>
            </w:r>
          </w:p>
        </w:tc>
      </w:tr>
      <w:tr>
        <w:tc>
          <w:tcPr>
            <w:tcW w:type="dxa" w:w="922"/>
            <w:gridSpan w:val="2"/>
            <w:vMerge/>
          </w:tcPr>
          <w:p/>
        </w:tc>
        <w:tc>
          <w:tcPr>
            <w:tcW w:type="dxa" w:w="2307"/>
          </w:tcPr>
          <w:p>
            <w:pPr>
              <w:jc w:val="left"/>
            </w:pPr>
            <w:r>
              <w:rPr/>
              <w:t>其他选配配件 (2.0分)</w:t>
            </w:r>
            <w:r>
              <w:rPr/>
              <w:t>，（等次分值选择：</w:t>
            </w:r>
            <w:r>
              <w:rPr/>
              <w:t>0.0;</w:t>
            </w:r>
            <w:r>
              <w:rPr/>
              <w:t>2.0;</w:t>
            </w:r>
            <w:r>
              <w:rPr/>
              <w:t>）</w:t>
            </w:r>
          </w:p>
        </w:tc>
        <w:tc>
          <w:tcPr>
            <w:tcW w:type="dxa" w:w="5076"/>
          </w:tcPr>
          <w:p>
            <w:pPr>
              <w:jc w:val="left"/>
            </w:pPr>
            <w:r>
              <w:rPr/>
              <w:t>如在投标价格内包含有选配配件或其它可与终端机配套使用的配件的得2分，提供承诺函。</w:t>
            </w:r>
          </w:p>
        </w:tc>
      </w:tr>
      <w:tr>
        <w:tc>
          <w:tcPr>
            <w:tcW w:type="dxa" w:w="922"/>
            <w:gridSpan w:val="2"/>
            <w:vMerge/>
          </w:tcPr>
          <w:p/>
        </w:tc>
        <w:tc>
          <w:tcPr>
            <w:tcW w:type="dxa" w:w="2307"/>
          </w:tcPr>
          <w:p>
            <w:pPr>
              <w:jc w:val="left"/>
            </w:pPr>
            <w:r>
              <w:rPr/>
              <w:t>现场演示 (4.0分)</w:t>
            </w:r>
            <w:r>
              <w:rPr/>
              <w:t>，（等次分值选择：</w:t>
            </w:r>
            <w:r>
              <w:rPr/>
              <w:t>0.0;</w:t>
            </w:r>
            <w:r>
              <w:rPr/>
              <w:t>1.0;</w:t>
            </w:r>
            <w:r>
              <w:rPr/>
              <w:t>2.0;</w:t>
            </w:r>
            <w:r>
              <w:rPr/>
              <w:t>3.0;</w:t>
            </w:r>
            <w:r>
              <w:rPr/>
              <w:t>4.0;</w:t>
            </w:r>
            <w:r>
              <w:rPr/>
              <w:t>）</w:t>
            </w:r>
          </w:p>
        </w:tc>
        <w:tc>
          <w:tcPr>
            <w:tcW w:type="dxa" w:w="5076"/>
          </w:tcPr>
          <w:p>
            <w:pPr>
              <w:jc w:val="left"/>
            </w:pPr>
            <w:r>
              <w:rPr/>
              <w:t>1.演示功能全面、流畅性高、技术先进、智能化程度高，得3分； 演示功能有一定全面、流畅性良好、有一定技术先进、有一定的智能化，得2分； 演示功能不全面或流畅性差或智能化程度低，得1分。 2.打印彩票出票时面对销售员正向显示，且连续出票不遮挡键盘：满足得1分，否则不得分。 3.不演示，不得分。</w:t>
            </w:r>
          </w:p>
        </w:tc>
      </w:tr>
      <w:tr>
        <w:tc>
          <w:tcPr>
            <w:tcW w:type="dxa" w:w="922"/>
            <w:gridSpan w:val="2"/>
            <w:vMerge/>
          </w:tcPr>
          <w:p/>
        </w:tc>
        <w:tc>
          <w:tcPr>
            <w:tcW w:type="dxa" w:w="2307"/>
          </w:tcPr>
          <w:p>
            <w:pPr>
              <w:jc w:val="left"/>
            </w:pPr>
            <w:r>
              <w:rPr/>
              <w:t>整机易维护性 (4.0分)</w:t>
            </w:r>
            <w:r>
              <w:rPr/>
              <w:t>，（等次分值选择：</w:t>
            </w:r>
            <w:r>
              <w:rPr/>
              <w:t>0.0;</w:t>
            </w:r>
            <w:r>
              <w:rPr/>
              <w:t>1.0;</w:t>
            </w:r>
            <w:r>
              <w:rPr/>
              <w:t>2.0;</w:t>
            </w:r>
            <w:r>
              <w:rPr/>
              <w:t>3.0;</w:t>
            </w:r>
            <w:r>
              <w:rPr/>
              <w:t>4.0;</w:t>
            </w:r>
            <w:r>
              <w:rPr/>
              <w:t>）</w:t>
            </w:r>
          </w:p>
        </w:tc>
        <w:tc>
          <w:tcPr>
            <w:tcW w:type="dxa" w:w="5076"/>
          </w:tcPr>
          <w:p>
            <w:pPr>
              <w:jc w:val="left"/>
            </w:pPr>
            <w:r>
              <w:rPr/>
              <w:t>1.读票机打印头便于维护容易清洗，得2分，读票机打印头不易清洗，得1分，其它不得分。 2.打印头方便安装、打印纸更换方便以及打印头维护方便得2分，打印头安装复杂、打印纸不便更换以及打印头维护不便，得1分，其它不得分。</w:t>
            </w:r>
          </w:p>
        </w:tc>
      </w:tr>
      <w:tr>
        <w:tc>
          <w:tcPr>
            <w:tcW w:type="dxa" w:w="922"/>
            <w:gridSpan w:val="2"/>
            <w:vMerge/>
          </w:tcPr>
          <w:p/>
        </w:tc>
        <w:tc>
          <w:tcPr>
            <w:tcW w:type="dxa" w:w="2307"/>
          </w:tcPr>
          <w:p>
            <w:pPr>
              <w:jc w:val="left"/>
            </w:pPr>
            <w:r>
              <w:rPr/>
              <w:t>产品认证 (2.0分)</w:t>
            </w:r>
            <w:r>
              <w:rPr/>
              <w:t>，（等次分值选择：</w:t>
            </w:r>
            <w:r>
              <w:rPr/>
              <w:t>0.0;</w:t>
            </w:r>
            <w:r>
              <w:rPr/>
              <w:t>1.0;</w:t>
            </w:r>
            <w:r>
              <w:rPr/>
              <w:t>2.0;</w:t>
            </w:r>
            <w:r>
              <w:rPr/>
              <w:t>）</w:t>
            </w:r>
          </w:p>
        </w:tc>
        <w:tc>
          <w:tcPr>
            <w:tcW w:type="dxa" w:w="5076"/>
          </w:tcPr>
          <w:p>
            <w:pPr>
              <w:jc w:val="left"/>
            </w:pPr>
            <w:r>
              <w:rPr/>
              <w:t>投标人所投产品为节能产品或提供节能检测报告的，所投产品为环境标志产品或具有绿色环保认证的，每提供一类证明材料得1分，最高得2分。 注：提供上述证书（或检测报告）的复印件及国家认可认证监督管理委员会网站（http://www.cnca.gov.cn/）查询结果截图并加盖投标人公章，无提供或评委无法认定的不得分。</w:t>
            </w:r>
          </w:p>
        </w:tc>
      </w:tr>
      <w:tr>
        <w:tc>
          <w:tcPr>
            <w:tcW w:type="dxa" w:w="922"/>
            <w:gridSpan w:val="2"/>
            <w:vMerge w:val="restart"/>
          </w:tcPr>
          <w:p>
            <w:pPr>
              <w:jc w:val="center"/>
            </w:pPr>
            <w:r>
              <w:rPr/>
              <w:t>商务部分</w:t>
            </w:r>
          </w:p>
        </w:tc>
        <w:tc>
          <w:tcPr>
            <w:tcW w:type="dxa" w:w="2307"/>
          </w:tcPr>
          <w:p>
            <w:pPr>
              <w:jc w:val="left"/>
            </w:pPr>
            <w:r>
              <w:rPr/>
              <w:t>企业认证 (8.0分)</w:t>
            </w:r>
            <w:r>
              <w:rPr/>
              <w:t>，（等次分值选择：</w:t>
            </w:r>
            <w:r>
              <w:rPr/>
              <w:t>0.0;</w:t>
            </w:r>
            <w:r>
              <w:rPr/>
              <w:t>2.0;</w:t>
            </w:r>
            <w:r>
              <w:rPr/>
              <w:t>4.0;</w:t>
            </w:r>
            <w:r>
              <w:rPr/>
              <w:t>6.0;</w:t>
            </w:r>
            <w:r>
              <w:rPr/>
              <w:t>8.0;</w:t>
            </w:r>
            <w:r>
              <w:rPr/>
              <w:t>）</w:t>
            </w:r>
          </w:p>
        </w:tc>
        <w:tc>
          <w:tcPr>
            <w:tcW w:type="dxa" w:w="5076"/>
          </w:tcPr>
          <w:p>
            <w:pPr>
              <w:jc w:val="left"/>
            </w:pPr>
            <w:r>
              <w:rPr/>
              <w:t>投标人获得有效的质量管理体系认证、环境管理体系认证、信息安全管理认证、职业健康与安全管理体系认证，每获得一类证书得2分，最高得8分。 注：提供上述有效证书复印件及国家认可认证监督管理委员会网站（http://www.cnca.gov.cn/）查询结果截图并加盖投标人公章，无提供或评委无法认定的不得分。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投标人提供2020年1月1日至今（以合同签订日期为准），同类设备销售业绩，每提供一份业绩得1分，最高得5分，无提供或专家无法认定的不得分。 注：以中标（成交）通知书和合同的复印件为依据(合同涉密条款可遮挡)，业绩中的中标（成交）机型必须为通过国家体育总局体育彩票管理中心适配性测试的彩票终端机。</w:t>
            </w:r>
          </w:p>
        </w:tc>
      </w:tr>
      <w:tr>
        <w:tc>
          <w:tcPr>
            <w:tcW w:type="dxa" w:w="922"/>
            <w:gridSpan w:val="2"/>
            <w:vMerge/>
          </w:tcPr>
          <w:p/>
        </w:tc>
        <w:tc>
          <w:tcPr>
            <w:tcW w:type="dxa" w:w="2307"/>
          </w:tcPr>
          <w:p>
            <w:pPr>
              <w:jc w:val="left"/>
            </w:pPr>
            <w:r>
              <w:rPr/>
              <w:t>服务评价 (5.0分)</w:t>
            </w:r>
            <w:r>
              <w:rPr/>
              <w:t>，（等次分值选择：</w:t>
            </w:r>
            <w:r>
              <w:rPr/>
              <w:t>0.0;</w:t>
            </w:r>
            <w:r>
              <w:rPr/>
              <w:t>1.0;</w:t>
            </w:r>
            <w:r>
              <w:rPr/>
              <w:t>2.0;</w:t>
            </w:r>
            <w:r>
              <w:rPr/>
              <w:t>3.0;</w:t>
            </w:r>
            <w:r>
              <w:rPr/>
              <w:t>4.0;</w:t>
            </w:r>
            <w:r>
              <w:rPr/>
              <w:t>5.0;</w:t>
            </w:r>
            <w:r>
              <w:rPr/>
              <w:t>）</w:t>
            </w:r>
          </w:p>
        </w:tc>
        <w:tc>
          <w:tcPr>
            <w:tcW w:type="dxa" w:w="5076"/>
          </w:tcPr>
          <w:p>
            <w:pPr>
              <w:jc w:val="left"/>
            </w:pPr>
            <w:r>
              <w:rPr/>
              <w:t>投标人提供与上述“同类项目业绩”对应的用户正面评价资料，评价情况至少为“满意或好评或相同含义的”方可计分，每份得1分，本项最高得5分，无提供或专家无法认定的不得分。 备注：（1）提供由用户出具并加盖用户公章的满意度评价表等证明材料复印件； （2）同一用户或同一项目提供多项用户满意度评价的，按一项计算。</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采购包2(传统终端机):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商务部分18.0分</w:t>
            </w:r>
          </w:p>
          <w:p>
            <w:r>
              <w:rPr/>
              <w:t>技术部分42.0分</w:t>
            </w:r>
          </w:p>
          <w:p>
            <w:r>
              <w:rPr/>
              <w:t>报价得分40.0分</w:t>
            </w:r>
          </w:p>
        </w:tc>
      </w:tr>
      <w:tr>
        <w:tc>
          <w:tcPr>
            <w:tcW w:type="dxa" w:w="922"/>
            <w:gridSpan w:val="2"/>
            <w:vMerge w:val="restart"/>
          </w:tcPr>
          <w:p>
            <w:pPr>
              <w:jc w:val="center"/>
            </w:pPr>
            <w:r>
              <w:rPr/>
              <w:t>技术部分</w:t>
            </w:r>
          </w:p>
        </w:tc>
        <w:tc>
          <w:tcPr>
            <w:tcW w:type="dxa" w:w="2307"/>
          </w:tcPr>
          <w:p>
            <w:pPr>
              <w:jc w:val="left"/>
            </w:pPr>
            <w:r>
              <w:rPr/>
              <w:t>采购需求响应 (5.0分)</w:t>
            </w:r>
          </w:p>
        </w:tc>
        <w:tc>
          <w:tcPr>
            <w:tcW w:type="dxa" w:w="5076"/>
          </w:tcPr>
          <w:p>
            <w:pPr>
              <w:jc w:val="left"/>
            </w:pPr>
            <w:r>
              <w:rPr/>
              <w:t>根据投标人所投产品对《第二章 采购需求》“技术标准与要求”的附表中“具体技术（参数）要求”非带“★”符号或“▲”符号的技术条款（共37项）的响应情况进行评审【以技术标准与要求中最末的序号（如6与6.1之间，6.1为最末序号）作为一项参数】： 本小项共5分，投标人本小项得分=投标人响应的一般技术参数项数/一般技术参数项数×5分。 注：采购需求中有要求提供证明材料的，以采购需求中的要求提供；采购需求中未要求提供证明材料的以投标人提供投标产品通过国家体育总局体育彩票管理中心适配性测试相关证明材料复印件、货物制造商公开发布的印刷资料或货物制造商对技术参数的确认函作为技术支持资料；技术支持资料与投标人响应情况不一致的，以技术支持资料的内容为准。如相关资料为外文版的，请同时提供中文版。得分保留小数点后两位数，小数点后第三位四舍五入。</w:t>
            </w:r>
          </w:p>
        </w:tc>
      </w:tr>
      <w:tr>
        <w:tc>
          <w:tcPr>
            <w:tcW w:type="dxa" w:w="922"/>
            <w:gridSpan w:val="2"/>
            <w:vMerge/>
          </w:tcPr>
          <w:p/>
        </w:tc>
        <w:tc>
          <w:tcPr>
            <w:tcW w:type="dxa" w:w="2307"/>
          </w:tcPr>
          <w:p>
            <w:pPr>
              <w:jc w:val="left"/>
            </w:pPr>
            <w:r>
              <w:rPr/>
              <w:t>技术先进程度 (24.0分)</w:t>
            </w:r>
          </w:p>
        </w:tc>
        <w:tc>
          <w:tcPr>
            <w:tcW w:type="dxa" w:w="5076"/>
          </w:tcPr>
          <w:p>
            <w:pPr>
              <w:jc w:val="left"/>
            </w:pPr>
            <w:r>
              <w:rPr/>
              <w:t>标有“▲”符号的技术参数的响应情况： 1.CPU性能（最高得4分）： X86架构工业级CPU，主频不低于2.0GHz，二级缓存不低于1MB，完全满足或优于要求的，得4分；否则不得分； 2.内存性能（最高得4分）： ①大于2G小于等于4G得2分； ②大于4G得4分。 3.存储器容量（最高得3分）： ①大于等于32G小于64G得1分； ②大于等于64G小于128G得2分； ③大于等于128G得3分； 4.主显示器（最高得2分）： 有效显示范围大于12.1寸，且分辨率支持不低于1024*768、800*600像素，垂直视角不小于- 45 ~ + 45度，水平视角不小于- 45 ~ + 45度，完全满足或优于要求的,得2分；否则不得分； 5.读票机性能（最高得2分）： ①寿命不少于200万张，卡纸率&lt;0.1%,支持A4幅面读票，完全满足或优于要求的，得1分；否则不得分； ②误读率不大于0.1%，支持状态检测，支持标记打印（可打印西文、中文、图像），支持标记内容可编辑，支持现有体育彩票黑标（大、小黑标）类型，支持读取一维条码（UPC、EAN、39码、128码），支持读取二维码（PDF417），支持票样插入识别，支持票样读取和弹出控制，支持票样运送状态-完成/失败/卡纸，支持票样读取数据，完全满足或优于要求的,得1分；否则不得分； 6.打印机性能（最高得2分）： ①打印纸宽度支持79mm-82.5mm，支持一维、二维条形码（PDF417）打印，支持中文字符（GB2312或GB18030）、图像、LOGO打印功能，支持状态检测，支持黑标切纸和非黑标切纸模式，打印纸安装过程为一次导入，纸舱盖关闭状态下上电及初始化时打印纸自动定位至工作位置，且打印速率大于等于250mm/s的，完全满足或优于要求的得1分； 打印纸宽度支持79mm-82.5mm，支持一维、二维条形码（PDF417）打印，支持中文字符（GB2312或GB18030）、图像、LOGO打印功能，支持状态检测，支持黑标切纸和非黑标切纸模式，打印纸安装过程为一次导入，纸舱盖关闭状态下上电及初始化时打印纸自动定位至工作位置，打印速率小于250mm/s的，完全满足或优于要求的得0.5分； ②打印头寿命大于等于120Km、裁纸刀使用寿命大于等于100万次，得1分，其余0.5分。 7.以太网接口（最高得2分）： 两个及以上10/100M自适应网络接口：满足得2分，不满足得0分。 8.显示输出接口（最高得2分）： 显卡带3D加速,或支持双通道独立输出，显卡支持1280*720、1024*768、800*600像素；支持3路（除主屏幕以外，提供1路同步2路异步视频接口）显示功能，数字视频带宽&gt;150M，完全满足或优于要求的，得2分；否则不得分。 9.整机（最高得3分）： 防火材料外壳；无故障时长：15000小时≤整机MTBF，且MTTR≤15分钟，得3分； 防火材料外壳；无故障时长：整机MTBF＜15000小时，或MTTR&gt;15分钟，得1分； 无提供或其他情况得0分。 （以通过第三方机构的测试并出具的测试报告为依据） 注：采购需求中有要求提供证明材料的，以采购需求中的要求提供；采购需求中未要求提供证明材料的以投标人提供投标产品通过国家体育总局体育彩票管理中心适配性测试相关证明材料复印件、货物制造商公开发布的印刷资料或货物制造商对技术参数的确认函作为技术支持资料；技术支持资料与投标人响应情况不一致的，以技术支持资料的内容为准。如相关资料为外文版的，请同时提供中文版。</w:t>
            </w:r>
          </w:p>
        </w:tc>
      </w:tr>
      <w:tr>
        <w:tc>
          <w:tcPr>
            <w:tcW w:type="dxa" w:w="922"/>
            <w:gridSpan w:val="2"/>
            <w:vMerge/>
          </w:tcPr>
          <w:p/>
        </w:tc>
        <w:tc>
          <w:tcPr>
            <w:tcW w:type="dxa" w:w="2307"/>
          </w:tcPr>
          <w:p>
            <w:pPr>
              <w:jc w:val="left"/>
            </w:pPr>
            <w:r>
              <w:rPr/>
              <w:t>整机安全性 (1.0分)</w:t>
            </w:r>
            <w:r>
              <w:rPr/>
              <w:t>，（等次分值选择：</w:t>
            </w:r>
            <w:r>
              <w:rPr/>
              <w:t>0.0;</w:t>
            </w:r>
            <w:r>
              <w:rPr/>
              <w:t>1.0;</w:t>
            </w:r>
            <w:r>
              <w:rPr/>
              <w:t>）</w:t>
            </w:r>
          </w:p>
        </w:tc>
        <w:tc>
          <w:tcPr>
            <w:tcW w:type="dxa" w:w="5076"/>
          </w:tcPr>
          <w:p>
            <w:pPr>
              <w:jc w:val="left"/>
            </w:pPr>
            <w:r>
              <w:rPr/>
              <w:t>管理员登录控制：提供2级BIOS密码，可设置管理员密码，禁止普通用户更改BIOS设置得1分，否则不得分。</w:t>
            </w:r>
          </w:p>
        </w:tc>
      </w:tr>
      <w:tr>
        <w:tc>
          <w:tcPr>
            <w:tcW w:type="dxa" w:w="922"/>
            <w:gridSpan w:val="2"/>
            <w:vMerge/>
          </w:tcPr>
          <w:p/>
        </w:tc>
        <w:tc>
          <w:tcPr>
            <w:tcW w:type="dxa" w:w="2307"/>
          </w:tcPr>
          <w:p>
            <w:pPr>
              <w:jc w:val="left"/>
            </w:pPr>
            <w:r>
              <w:rPr/>
              <w:t>其他选配配件 (2.0分)</w:t>
            </w:r>
            <w:r>
              <w:rPr/>
              <w:t>，（等次分值选择：</w:t>
            </w:r>
            <w:r>
              <w:rPr/>
              <w:t>0.0;</w:t>
            </w:r>
            <w:r>
              <w:rPr/>
              <w:t>2.0;</w:t>
            </w:r>
            <w:r>
              <w:rPr/>
              <w:t>）</w:t>
            </w:r>
          </w:p>
        </w:tc>
        <w:tc>
          <w:tcPr>
            <w:tcW w:type="dxa" w:w="5076"/>
          </w:tcPr>
          <w:p>
            <w:pPr>
              <w:jc w:val="left"/>
            </w:pPr>
            <w:r>
              <w:rPr/>
              <w:t>如在投标价格内包含有选配配件或其它可与终端机配套使用的配件的得2分，提供承诺函。</w:t>
            </w:r>
          </w:p>
        </w:tc>
      </w:tr>
      <w:tr>
        <w:tc>
          <w:tcPr>
            <w:tcW w:type="dxa" w:w="922"/>
            <w:gridSpan w:val="2"/>
            <w:vMerge/>
          </w:tcPr>
          <w:p/>
        </w:tc>
        <w:tc>
          <w:tcPr>
            <w:tcW w:type="dxa" w:w="2307"/>
          </w:tcPr>
          <w:p>
            <w:pPr>
              <w:jc w:val="left"/>
            </w:pPr>
            <w:r>
              <w:rPr/>
              <w:t>现场演示 (4.0分)</w:t>
            </w:r>
            <w:r>
              <w:rPr/>
              <w:t>，（等次分值选择：</w:t>
            </w:r>
            <w:r>
              <w:rPr/>
              <w:t>0.0;</w:t>
            </w:r>
            <w:r>
              <w:rPr/>
              <w:t>1.0;</w:t>
            </w:r>
            <w:r>
              <w:rPr/>
              <w:t>2.0;</w:t>
            </w:r>
            <w:r>
              <w:rPr/>
              <w:t>3.0;</w:t>
            </w:r>
            <w:r>
              <w:rPr/>
              <w:t>4.0;</w:t>
            </w:r>
            <w:r>
              <w:rPr/>
              <w:t>）</w:t>
            </w:r>
          </w:p>
        </w:tc>
        <w:tc>
          <w:tcPr>
            <w:tcW w:type="dxa" w:w="5076"/>
          </w:tcPr>
          <w:p>
            <w:pPr>
              <w:jc w:val="left"/>
            </w:pPr>
            <w:r>
              <w:rPr/>
              <w:t>1.演示功能全面、流畅性高、技术先进、智能化程度高，得3分； 演示功能有一定全面、流畅性良好、有一定技术先进、有一定的智能化，得2分； 演示功能不全面或流畅性差或智能化程度低，得1分。 2.打印彩票出票时面对销售员正向显示，且连续出票不遮挡键盘：满足得1分，否则不得分。 3.不演示，不得分。</w:t>
            </w:r>
          </w:p>
        </w:tc>
      </w:tr>
      <w:tr>
        <w:tc>
          <w:tcPr>
            <w:tcW w:type="dxa" w:w="922"/>
            <w:gridSpan w:val="2"/>
            <w:vMerge/>
          </w:tcPr>
          <w:p/>
        </w:tc>
        <w:tc>
          <w:tcPr>
            <w:tcW w:type="dxa" w:w="2307"/>
          </w:tcPr>
          <w:p>
            <w:pPr>
              <w:jc w:val="left"/>
            </w:pPr>
            <w:r>
              <w:rPr/>
              <w:t>整机易维护性 (4.0分)</w:t>
            </w:r>
            <w:r>
              <w:rPr/>
              <w:t>，（等次分值选择：</w:t>
            </w:r>
            <w:r>
              <w:rPr/>
              <w:t>0.0;</w:t>
            </w:r>
            <w:r>
              <w:rPr/>
              <w:t>1.0;</w:t>
            </w:r>
            <w:r>
              <w:rPr/>
              <w:t>2.0;</w:t>
            </w:r>
            <w:r>
              <w:rPr/>
              <w:t>3.0;</w:t>
            </w:r>
            <w:r>
              <w:rPr/>
              <w:t>4.0;</w:t>
            </w:r>
            <w:r>
              <w:rPr/>
              <w:t>）</w:t>
            </w:r>
          </w:p>
        </w:tc>
        <w:tc>
          <w:tcPr>
            <w:tcW w:type="dxa" w:w="5076"/>
          </w:tcPr>
          <w:p>
            <w:pPr>
              <w:jc w:val="left"/>
            </w:pPr>
            <w:r>
              <w:rPr/>
              <w:t>1.读票机打印头便于维护容易清洗，得2分，读票机打印头不易清洗，得1分，其它不得分。 2.打印头方便安装、打印纸更换方便以及打印头维护方便得2分，打印头安装复杂、打印纸不便更换以及打印头维护不便，得1分，其它不得分。</w:t>
            </w:r>
          </w:p>
        </w:tc>
      </w:tr>
      <w:tr>
        <w:tc>
          <w:tcPr>
            <w:tcW w:type="dxa" w:w="922"/>
            <w:gridSpan w:val="2"/>
            <w:vMerge/>
          </w:tcPr>
          <w:p/>
        </w:tc>
        <w:tc>
          <w:tcPr>
            <w:tcW w:type="dxa" w:w="2307"/>
          </w:tcPr>
          <w:p>
            <w:pPr>
              <w:jc w:val="left"/>
            </w:pPr>
            <w:r>
              <w:rPr/>
              <w:t>产品认证 (2.0分)</w:t>
            </w:r>
            <w:r>
              <w:rPr/>
              <w:t>，（等次分值选择：</w:t>
            </w:r>
            <w:r>
              <w:rPr/>
              <w:t>0.0;</w:t>
            </w:r>
            <w:r>
              <w:rPr/>
              <w:t>1.0;</w:t>
            </w:r>
            <w:r>
              <w:rPr/>
              <w:t>2.0;</w:t>
            </w:r>
            <w:r>
              <w:rPr/>
              <w:t>）</w:t>
            </w:r>
          </w:p>
        </w:tc>
        <w:tc>
          <w:tcPr>
            <w:tcW w:type="dxa" w:w="5076"/>
          </w:tcPr>
          <w:p>
            <w:pPr>
              <w:jc w:val="left"/>
            </w:pPr>
            <w:r>
              <w:rPr/>
              <w:t>投标人所投产品为节能产品或提供节能检测报告的，所投产品为环境标志产品或具有绿色环保认证的，每提供一类证明材料得1分，最高得2分。 注：提供上述证书（或检测报告）的复印件及国家认可认证监督管理委员会网站（http://www.cnca.gov.cn/）查询结果截图并加盖投标人公章，无提供或评委无法认定的不得分。</w:t>
            </w:r>
          </w:p>
        </w:tc>
      </w:tr>
      <w:tr>
        <w:tc>
          <w:tcPr>
            <w:tcW w:type="dxa" w:w="922"/>
            <w:gridSpan w:val="2"/>
            <w:vMerge w:val="restart"/>
          </w:tcPr>
          <w:p>
            <w:pPr>
              <w:jc w:val="center"/>
            </w:pPr>
            <w:r>
              <w:rPr/>
              <w:t>商务部分</w:t>
            </w:r>
          </w:p>
        </w:tc>
        <w:tc>
          <w:tcPr>
            <w:tcW w:type="dxa" w:w="2307"/>
          </w:tcPr>
          <w:p>
            <w:pPr>
              <w:jc w:val="left"/>
            </w:pPr>
            <w:r>
              <w:rPr/>
              <w:t>企业认证 (8.0分)</w:t>
            </w:r>
            <w:r>
              <w:rPr/>
              <w:t>，（等次分值选择：</w:t>
            </w:r>
            <w:r>
              <w:rPr/>
              <w:t>0.0;</w:t>
            </w:r>
            <w:r>
              <w:rPr/>
              <w:t>2.0;</w:t>
            </w:r>
            <w:r>
              <w:rPr/>
              <w:t>4.0;</w:t>
            </w:r>
            <w:r>
              <w:rPr/>
              <w:t>6.0;</w:t>
            </w:r>
            <w:r>
              <w:rPr/>
              <w:t>8.0;</w:t>
            </w:r>
            <w:r>
              <w:rPr/>
              <w:t>）</w:t>
            </w:r>
          </w:p>
        </w:tc>
        <w:tc>
          <w:tcPr>
            <w:tcW w:type="dxa" w:w="5076"/>
          </w:tcPr>
          <w:p>
            <w:pPr>
              <w:jc w:val="left"/>
            </w:pPr>
            <w:r>
              <w:rPr/>
              <w:t>投标人获得有效的质量管理体系认证、环境管理体系认证、信息安全管理认证、职业健康与安全管理体系认证，每获得一类证书得2分，最高得8分。 注：提供上述有效证书复印件及国家认可认证监督管理委员会网站（http://www.cnca.gov.cn/）查询结果截图并加盖投标人公章，无提供或评委无法认定的不得分。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投标人提供2020年1月1日至今（以合同签订日期为准），同类设备销售业绩，每提供一份业绩得1分，最高得5分，无提供或专家无法认定的不得分。 注：以中标（成交）通知书和合同的复印件为依据(合同涉密条款可遮挡)，业绩中的中标（成交）机型必须为通过国家体育总局体育彩票管理中心适配性测试的彩票终端机。</w:t>
            </w:r>
          </w:p>
        </w:tc>
      </w:tr>
      <w:tr>
        <w:tc>
          <w:tcPr>
            <w:tcW w:type="dxa" w:w="922"/>
            <w:gridSpan w:val="2"/>
            <w:vMerge/>
          </w:tcPr>
          <w:p/>
        </w:tc>
        <w:tc>
          <w:tcPr>
            <w:tcW w:type="dxa" w:w="2307"/>
          </w:tcPr>
          <w:p>
            <w:pPr>
              <w:jc w:val="left"/>
            </w:pPr>
            <w:r>
              <w:rPr/>
              <w:t>服务评价 (5.0分)</w:t>
            </w:r>
            <w:r>
              <w:rPr/>
              <w:t>，（等次分值选择：</w:t>
            </w:r>
            <w:r>
              <w:rPr/>
              <w:t>0.0;</w:t>
            </w:r>
            <w:r>
              <w:rPr/>
              <w:t>1.0;</w:t>
            </w:r>
            <w:r>
              <w:rPr/>
              <w:t>2.0;</w:t>
            </w:r>
            <w:r>
              <w:rPr/>
              <w:t>3.0;</w:t>
            </w:r>
            <w:r>
              <w:rPr/>
              <w:t>4.0;</w:t>
            </w:r>
            <w:r>
              <w:rPr/>
              <w:t>5.0;</w:t>
            </w:r>
            <w:r>
              <w:rPr/>
              <w:t>）</w:t>
            </w:r>
          </w:p>
        </w:tc>
        <w:tc>
          <w:tcPr>
            <w:tcW w:type="dxa" w:w="5076"/>
          </w:tcPr>
          <w:p>
            <w:pPr>
              <w:jc w:val="left"/>
            </w:pPr>
            <w:r>
              <w:rPr/>
              <w:t>投标人提供与上述“同类项目业绩”对应的用户正面评价资料，评价情况至少为“满意或好评或相同含义的”方可计分，每份得1分，本项最高得5分，无提供或专家无法认定的不得分。 备注：（1）提供由用户出具并加盖用户公章的满意度评价表等证明材料复印件； （2）同一用户或同一项目提供多项用户满意度评价的，按一项计算。</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r>
        <w:rPr>
          <w:sz w:val="36"/>
        </w:rPr>
        <w:t xml:space="preserve"> </w:t>
      </w:r>
    </w:p>
    <w:p>
      <w:r>
        <w:rPr>
          <w:sz w:val="36"/>
        </w:rPr>
        <w:t xml:space="preserve"> </w:t>
      </w:r>
    </w:p>
    <w:p>
      <w:r>
        <w:rPr>
          <w:sz w:val="36"/>
        </w:rPr>
        <w:t xml:space="preserve"> </w:t>
      </w:r>
    </w:p>
    <w:p>
      <w:r>
        <w:rPr>
          <w:sz w:val="36"/>
        </w:rPr>
        <w:t xml:space="preserve"> </w:t>
      </w:r>
    </w:p>
    <w:p>
      <w:r>
        <w:rPr>
          <w:sz w:val="36"/>
        </w:rPr>
        <w:t xml:space="preserve"> </w:t>
      </w:r>
    </w:p>
    <w:p>
      <w:r>
        <w:rPr>
          <w:sz w:val="36"/>
        </w:rPr>
        <w:t xml:space="preserve"> </w:t>
      </w:r>
    </w:p>
    <w:p>
      <w:r>
        <w:rPr>
          <w:sz w:val="36"/>
        </w:rPr>
        <w:t xml:space="preserve"> </w:t>
      </w:r>
    </w:p>
    <w:p>
      <w:r>
        <w:rPr>
          <w:sz w:val="36"/>
        </w:rPr>
        <w:t xml:space="preserve"> </w:t>
      </w:r>
    </w:p>
    <w:p>
      <w:r>
        <w:rPr>
          <w:sz w:val="36"/>
        </w:rPr>
        <w:t xml:space="preserve"> </w:t>
      </w:r>
    </w:p>
    <w:p>
      <w:pPr>
        <w:jc w:val="both"/>
      </w:pPr>
      <w:r>
        <w:rPr>
          <w:sz w:val="21"/>
        </w:rPr>
        <w:t>（适用于所有采购包）</w:t>
      </w:r>
    </w:p>
    <w:p>
      <w:pPr>
        <w:jc w:val="both"/>
      </w:pPr>
    </w:p>
    <w:p>
      <w:pPr>
        <w:jc w:val="both"/>
      </w:pPr>
      <w:r>
        <w:rPr>
          <w:sz w:val="21"/>
        </w:rPr>
        <w:t>甲方：</w:t>
      </w:r>
      <w:r>
        <w:rPr>
          <w:sz w:val="21"/>
          <w:u w:val="single"/>
        </w:rPr>
        <w:t xml:space="preserve">                                 </w:t>
      </w:r>
    </w:p>
    <w:p>
      <w:pPr>
        <w:jc w:val="both"/>
      </w:pPr>
      <w:r>
        <w:rPr>
          <w:sz w:val="21"/>
        </w:rPr>
        <w:t>电话：</w:t>
      </w:r>
      <w:r>
        <w:rPr>
          <w:sz w:val="21"/>
          <w:u w:val="single"/>
        </w:rPr>
        <w:t xml:space="preserve">             </w:t>
      </w:r>
      <w:r>
        <w:rPr>
          <w:sz w:val="21"/>
        </w:rPr>
        <w:t xml:space="preserve">  </w:t>
      </w:r>
      <w:r>
        <w:rPr>
          <w:sz w:val="21"/>
        </w:rPr>
        <w:t>传真：</w:t>
      </w:r>
      <w:r>
        <w:rPr>
          <w:sz w:val="21"/>
          <w:u w:val="single"/>
        </w:rPr>
        <w:t xml:space="preserve">            </w:t>
      </w:r>
    </w:p>
    <w:p>
      <w:pPr>
        <w:jc w:val="both"/>
      </w:pPr>
      <w:r>
        <w:rPr>
          <w:sz w:val="21"/>
        </w:rPr>
        <w:t>地址：</w:t>
      </w:r>
      <w:r>
        <w:rPr>
          <w:sz w:val="21"/>
          <w:u w:val="single"/>
        </w:rPr>
        <w:t xml:space="preserve">                                 </w:t>
      </w:r>
    </w:p>
    <w:p>
      <w:pPr>
        <w:jc w:val="both"/>
      </w:pPr>
    </w:p>
    <w:p>
      <w:pPr>
        <w:jc w:val="both"/>
      </w:pPr>
      <w:r>
        <w:rPr>
          <w:sz w:val="21"/>
        </w:rPr>
        <w:t>乙方：</w:t>
      </w:r>
      <w:r>
        <w:rPr>
          <w:sz w:val="21"/>
          <w:u w:val="single"/>
        </w:rPr>
        <w:t xml:space="preserve">                                 </w:t>
      </w:r>
    </w:p>
    <w:p>
      <w:pPr>
        <w:jc w:val="both"/>
      </w:pPr>
      <w:r>
        <w:rPr>
          <w:sz w:val="21"/>
        </w:rPr>
        <w:t>电话：</w:t>
      </w:r>
      <w:r>
        <w:rPr>
          <w:sz w:val="21"/>
          <w:u w:val="single"/>
        </w:rPr>
        <w:t xml:space="preserve">             </w:t>
      </w:r>
      <w:r>
        <w:rPr>
          <w:sz w:val="21"/>
        </w:rPr>
        <w:t xml:space="preserve">  </w:t>
      </w:r>
      <w:r>
        <w:rPr>
          <w:sz w:val="21"/>
        </w:rPr>
        <w:t>传真：</w:t>
      </w:r>
      <w:r>
        <w:rPr>
          <w:sz w:val="21"/>
          <w:u w:val="single"/>
        </w:rPr>
        <w:t xml:space="preserve">            </w:t>
      </w:r>
    </w:p>
    <w:p>
      <w:pPr>
        <w:jc w:val="both"/>
      </w:pPr>
      <w:r>
        <w:rPr>
          <w:sz w:val="21"/>
        </w:rPr>
        <w:t>地址：</w:t>
      </w:r>
      <w:r>
        <w:rPr>
          <w:sz w:val="21"/>
          <w:u w:val="single"/>
        </w:rPr>
        <w:t xml:space="preserve">                                 </w:t>
      </w:r>
    </w:p>
    <w:p>
      <w:pPr>
        <w:ind w:firstLine="393"/>
        <w:jc w:val="both"/>
      </w:pPr>
    </w:p>
    <w:p>
      <w:pPr>
        <w:ind w:firstLine="393"/>
        <w:jc w:val="both"/>
      </w:pPr>
      <w:r>
        <w:rPr>
          <w:sz w:val="21"/>
        </w:rPr>
        <w:t>根据项目的采购结果，按照《中华人民共和国政府采购法》、《中华人民共和国民法典》的规定，经双方协商，本着平等互利和诚实信用的原则，一致同意签订本合同如下。</w:t>
      </w:r>
    </w:p>
    <w:p>
      <w:pPr>
        <w:ind w:firstLine="395"/>
        <w:jc w:val="both"/>
      </w:pPr>
      <w:r>
        <w:rPr>
          <w:b/>
          <w:sz w:val="21"/>
        </w:rPr>
        <w:t>一、货物内容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69"/>
        <w:gridCol w:w="3006"/>
        <w:gridCol w:w="755"/>
        <w:gridCol w:w="699"/>
        <w:gridCol w:w="866"/>
        <w:gridCol w:w="1076"/>
        <w:gridCol w:w="1090"/>
      </w:tblGrid>
      <w:tr>
        <w:tc>
          <w:tcPr>
            <w:tcW w:type="dxa" w:w="769"/>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3006"/>
            <w:tcBorders>
              <w:top w:val="single" w:color="000000" w:sz="4"/>
              <w:left w:val="none" w:color="000000" w:sz="4"/>
              <w:bottom w:val="single" w:color="000000" w:sz="4"/>
              <w:right w:val="single" w:color="000000" w:sz="4"/>
            </w:tcBorders>
            <w:vAlign w:val="top"/>
          </w:tcPr>
          <w:p>
            <w:pPr>
              <w:jc w:val="center"/>
            </w:pPr>
            <w:r>
              <w:rPr>
                <w:b/>
                <w:sz w:val="21"/>
              </w:rPr>
              <w:t>品牌、规格、标准</w:t>
            </w:r>
            <w:r>
              <w:rPr>
                <w:b/>
                <w:sz w:val="21"/>
              </w:rPr>
              <w:t>/主要服务内容</w:t>
            </w:r>
          </w:p>
        </w:tc>
        <w:tc>
          <w:tcPr>
            <w:tcW w:type="dxa" w:w="755"/>
            <w:tcBorders>
              <w:top w:val="single" w:color="000000" w:sz="4"/>
              <w:left w:val="none" w:color="000000" w:sz="4"/>
              <w:bottom w:val="single" w:color="000000" w:sz="4"/>
              <w:right w:val="single" w:color="000000" w:sz="4"/>
            </w:tcBorders>
            <w:vAlign w:val="top"/>
          </w:tcPr>
          <w:p>
            <w:pPr>
              <w:jc w:val="center"/>
            </w:pPr>
            <w:r>
              <w:rPr>
                <w:b/>
                <w:sz w:val="21"/>
              </w:rPr>
              <w:t>产地</w:t>
            </w:r>
          </w:p>
        </w:tc>
        <w:tc>
          <w:tcPr>
            <w:tcW w:type="dxa" w:w="699"/>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866"/>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1076"/>
            <w:tcBorders>
              <w:top w:val="single" w:color="000000" w:sz="4"/>
              <w:left w:val="none" w:color="000000" w:sz="4"/>
              <w:bottom w:val="single" w:color="000000" w:sz="4"/>
              <w:right w:val="single" w:color="000000" w:sz="4"/>
            </w:tcBorders>
            <w:vAlign w:val="top"/>
          </w:tcPr>
          <w:p>
            <w:pPr>
              <w:jc w:val="center"/>
            </w:pPr>
            <w:r>
              <w:rPr>
                <w:b/>
                <w:sz w:val="21"/>
              </w:rPr>
              <w:t>单价（元）</w:t>
            </w:r>
          </w:p>
        </w:tc>
        <w:tc>
          <w:tcPr>
            <w:tcW w:type="dxa" w:w="1090"/>
            <w:tcBorders>
              <w:top w:val="single" w:color="000000" w:sz="4"/>
              <w:left w:val="none" w:color="000000" w:sz="4"/>
              <w:bottom w:val="single" w:color="000000" w:sz="4"/>
              <w:right w:val="single" w:color="000000" w:sz="4"/>
            </w:tcBorders>
            <w:vAlign w:val="top"/>
          </w:tcPr>
          <w:p>
            <w:pPr>
              <w:jc w:val="center"/>
            </w:pPr>
            <w:r>
              <w:rPr>
                <w:b/>
                <w:sz w:val="21"/>
              </w:rPr>
              <w:t>金额（元）</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w:t>
            </w:r>
          </w:p>
        </w:tc>
        <w:tc>
          <w:tcPr>
            <w:tcW w:type="dxa" w:w="3006"/>
            <w:tcBorders>
              <w:top w:val="none" w:color="000000" w:sz="4"/>
              <w:left w:val="none" w:color="000000" w:sz="4"/>
              <w:bottom w:val="single" w:color="000000" w:sz="4"/>
              <w:right w:val="single" w:color="000000" w:sz="4"/>
            </w:tcBorders>
            <w:vAlign w:val="top"/>
          </w:tcPr>
          <w:p>
            <w:pPr>
              <w:jc w:val="center"/>
            </w:pPr>
            <w:r>
              <w:rPr>
                <w:sz w:val="21"/>
              </w:rPr>
              <w:t>**</w:t>
            </w:r>
          </w:p>
        </w:tc>
        <w:tc>
          <w:tcPr>
            <w:tcW w:type="dxa" w:w="755"/>
            <w:tcBorders>
              <w:top w:val="none" w:color="000000" w:sz="4"/>
              <w:left w:val="none" w:color="000000" w:sz="4"/>
              <w:bottom w:val="single" w:color="000000" w:sz="4"/>
              <w:right w:val="single" w:color="000000" w:sz="4"/>
            </w:tcBorders>
            <w:vAlign w:val="top"/>
          </w:tcPr>
          <w:p>
            <w:pPr>
              <w:jc w:val="center"/>
            </w:pPr>
            <w:r>
              <w:rPr>
                <w:sz w:val="21"/>
              </w:rPr>
              <w:t>**</w:t>
            </w:r>
          </w:p>
        </w:tc>
        <w:tc>
          <w:tcPr>
            <w:tcW w:type="dxa" w:w="699"/>
            <w:tcBorders>
              <w:top w:val="none" w:color="000000" w:sz="4"/>
              <w:left w:val="none" w:color="000000" w:sz="4"/>
              <w:bottom w:val="single" w:color="000000" w:sz="4"/>
              <w:right w:val="single" w:color="000000" w:sz="4"/>
            </w:tcBorders>
            <w:vAlign w:val="top"/>
          </w:tcPr>
          <w:p>
            <w:pPr>
              <w:jc w:val="center"/>
            </w:pPr>
            <w:r>
              <w:rPr>
                <w:sz w:val="21"/>
              </w:rPr>
              <w:t>**</w:t>
            </w:r>
          </w:p>
        </w:tc>
        <w:tc>
          <w:tcPr>
            <w:tcW w:type="dxa" w:w="866"/>
            <w:tcBorders>
              <w:top w:val="none" w:color="000000" w:sz="4"/>
              <w:left w:val="none" w:color="000000" w:sz="4"/>
              <w:bottom w:val="single" w:color="000000" w:sz="4"/>
              <w:right w:val="single" w:color="000000" w:sz="4"/>
            </w:tcBorders>
            <w:vAlign w:val="top"/>
          </w:tcPr>
          <w:p>
            <w:pPr>
              <w:jc w:val="center"/>
            </w:pPr>
            <w:r>
              <w:rPr>
                <w:sz w:val="21"/>
              </w:rPr>
              <w:t>**</w:t>
            </w:r>
          </w:p>
        </w:tc>
        <w:tc>
          <w:tcPr>
            <w:tcW w:type="dxa" w:w="1076"/>
            <w:tcBorders>
              <w:top w:val="none" w:color="000000" w:sz="4"/>
              <w:left w:val="none" w:color="000000" w:sz="4"/>
              <w:bottom w:val="single" w:color="000000" w:sz="4"/>
              <w:right w:val="single" w:color="000000" w:sz="4"/>
            </w:tcBorders>
            <w:vAlign w:val="top"/>
          </w:tcPr>
          <w:p>
            <w:pPr>
              <w:jc w:val="center"/>
            </w:pPr>
            <w:r>
              <w:rPr>
                <w:sz w:val="21"/>
              </w:rPr>
              <w:t>**</w:t>
            </w:r>
          </w:p>
        </w:tc>
        <w:tc>
          <w:tcPr>
            <w:tcW w:type="dxa" w:w="1090"/>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7171"/>
            <w:gridSpan w:val="6"/>
            <w:tcBorders>
              <w:top w:val="none" w:color="000000" w:sz="4"/>
              <w:left w:val="single" w:color="000000" w:sz="4"/>
              <w:bottom w:val="single" w:color="000000" w:sz="4"/>
              <w:right w:val="single" w:color="000000" w:sz="4"/>
            </w:tcBorders>
            <w:vAlign w:val="top"/>
          </w:tcPr>
          <w:p>
            <w:pPr>
              <w:jc w:val="both"/>
            </w:pPr>
            <w:r>
              <w:rPr>
                <w:sz w:val="21"/>
              </w:rPr>
              <w:t>合计：人民币大写：</w:t>
            </w:r>
            <w:r>
              <w:rPr>
                <w:sz w:val="21"/>
              </w:rPr>
              <w:t>**元整</w:t>
            </w:r>
          </w:p>
        </w:tc>
        <w:tc>
          <w:tcPr>
            <w:tcW w:type="dxa" w:w="1090"/>
            <w:tcBorders>
              <w:top w:val="none" w:color="000000" w:sz="4"/>
              <w:left w:val="none" w:color="000000" w:sz="4"/>
              <w:bottom w:val="single" w:color="000000" w:sz="4"/>
              <w:right w:val="single" w:color="000000" w:sz="4"/>
            </w:tcBorders>
            <w:vAlign w:val="top"/>
          </w:tcPr>
          <w:p>
            <w:pPr>
              <w:jc w:val="center"/>
            </w:pPr>
            <w:r>
              <w:rPr>
                <w:sz w:val="21"/>
              </w:rPr>
              <w:t>￥：</w:t>
            </w:r>
            <w:r>
              <w:rPr>
                <w:sz w:val="21"/>
              </w:rPr>
              <w:t>**</w:t>
            </w:r>
          </w:p>
        </w:tc>
      </w:tr>
    </w:tbl>
    <w:p>
      <w:pPr>
        <w:ind w:firstLine="393"/>
        <w:jc w:val="both"/>
      </w:pPr>
      <w:r>
        <w:rPr>
          <w:sz w:val="21"/>
        </w:rPr>
        <w:t>合同金额包括乙方设计、安装、随机零配件、标配工具、运输保险、调试、培训、质保期服务、各项税费及合同实施过程中不可预见费用等。</w:t>
      </w:r>
    </w:p>
    <w:p>
      <w:pPr>
        <w:ind w:firstLine="393"/>
        <w:jc w:val="both"/>
      </w:pPr>
      <w:r>
        <w:rPr>
          <w:sz w:val="21"/>
        </w:rPr>
        <w:t>注：货物名称内容必须与投标文件中货物名称内容一致。</w:t>
      </w:r>
    </w:p>
    <w:p>
      <w:pPr>
        <w:ind w:firstLine="395"/>
        <w:jc w:val="both"/>
      </w:pPr>
      <w:r>
        <w:rPr>
          <w:b/>
          <w:sz w:val="21"/>
        </w:rPr>
        <w:t>二、合同金额</w:t>
      </w:r>
    </w:p>
    <w:p>
      <w:pPr>
        <w:ind w:firstLine="393"/>
        <w:jc w:val="both"/>
      </w:pPr>
      <w:r>
        <w:rPr>
          <w:sz w:val="21"/>
        </w:rPr>
        <w:t>合同金额为（大写）：</w:t>
      </w:r>
      <w:r>
        <w:rPr>
          <w:sz w:val="21"/>
          <w:u w:val="single"/>
        </w:rPr>
        <w:t xml:space="preserve">         </w:t>
      </w:r>
      <w:r>
        <w:rPr>
          <w:sz w:val="21"/>
        </w:rPr>
        <w:t>元（￥</w:t>
      </w:r>
      <w:r>
        <w:rPr>
          <w:sz w:val="21"/>
          <w:u w:val="single"/>
        </w:rPr>
        <w:t xml:space="preserve">         </w:t>
      </w:r>
      <w:r>
        <w:rPr>
          <w:sz w:val="21"/>
        </w:rPr>
        <w:t>元）人民币。</w:t>
      </w:r>
    </w:p>
    <w:p>
      <w:pPr>
        <w:ind w:firstLine="395"/>
        <w:jc w:val="both"/>
      </w:pPr>
      <w:r>
        <w:rPr>
          <w:b/>
          <w:sz w:val="21"/>
        </w:rPr>
        <w:t>三、设备要求</w:t>
      </w:r>
    </w:p>
    <w:p>
      <w:pPr>
        <w:ind w:firstLine="393"/>
        <w:jc w:val="both"/>
      </w:pPr>
      <w:r>
        <w:rPr>
          <w:sz w:val="21"/>
        </w:rPr>
        <w:t>1、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ind w:firstLine="393"/>
        <w:jc w:val="both"/>
      </w:pPr>
      <w:r>
        <w:rPr>
          <w:sz w:val="21"/>
        </w:rPr>
        <w:t>2、货物为原厂商未启封全新包装，具有出厂合格证，序列号、包装箱号与出厂批号一致，并可追索查阅。</w:t>
      </w:r>
    </w:p>
    <w:p>
      <w:pPr>
        <w:ind w:firstLine="393"/>
        <w:jc w:val="both"/>
      </w:pPr>
      <w:r>
        <w:rPr>
          <w:sz w:val="21"/>
        </w:rPr>
        <w:t>3、乙方应将关键主机设备的用户手册、保修手册、有关单证资料及配备件、随机工具等交付给甲方，使用操作及安全须知等重要资料应附有中文说明。</w:t>
      </w:r>
    </w:p>
    <w:p>
      <w:pPr>
        <w:ind w:firstLine="393"/>
        <w:jc w:val="both"/>
      </w:pPr>
      <w:r>
        <w:rPr>
          <w:sz w:val="21"/>
        </w:rPr>
        <w:t>4、如果发现货物的质量和规格与合同规定不符或货物在质量保证期内被证明有缺陷，包括内在缺陷或使用不适当原材料，甲方将有权要求有关部门进行检验，并依据检验证书向乙方索赔。</w:t>
      </w:r>
    </w:p>
    <w:p>
      <w:pPr>
        <w:ind w:firstLine="395"/>
        <w:jc w:val="both"/>
      </w:pPr>
      <w:r>
        <w:rPr>
          <w:b/>
          <w:sz w:val="21"/>
        </w:rPr>
        <w:t>四、交货期及交货地点</w:t>
      </w:r>
    </w:p>
    <w:p>
      <w:pPr>
        <w:ind w:firstLine="393"/>
        <w:jc w:val="both"/>
      </w:pPr>
      <w:r>
        <w:rPr>
          <w:sz w:val="21"/>
        </w:rPr>
        <w:t>1、交货期：自甲方下达供货通知之日起，1个月内完成货物的供货、安装调试、验收等相关服务。</w:t>
      </w:r>
    </w:p>
    <w:p>
      <w:pPr>
        <w:ind w:firstLine="393"/>
        <w:jc w:val="both"/>
      </w:pPr>
      <w:r>
        <w:rPr>
          <w:sz w:val="21"/>
        </w:rPr>
        <w:t>2、交货地点：甲方指定地点</w:t>
      </w:r>
    </w:p>
    <w:p>
      <w:pPr>
        <w:ind w:firstLine="395"/>
        <w:jc w:val="both"/>
      </w:pPr>
      <w:r>
        <w:rPr>
          <w:b/>
          <w:sz w:val="21"/>
        </w:rPr>
        <w:t>五、付款方式</w:t>
      </w:r>
    </w:p>
    <w:p>
      <w:pPr>
        <w:ind w:firstLine="393"/>
        <w:jc w:val="both"/>
      </w:pPr>
      <w:r>
        <w:rPr>
          <w:sz w:val="21"/>
        </w:rPr>
        <w:t>分两期支付</w:t>
      </w:r>
    </w:p>
    <w:p>
      <w:pPr>
        <w:ind w:firstLine="393"/>
        <w:jc w:val="both"/>
      </w:pPr>
      <w:r>
        <w:rPr>
          <w:sz w:val="21"/>
        </w:rPr>
        <w:t>1期：支付比例：30%。合同签订后5个工作日内，甲方向乙方支付合同金额的30%。乙方需提供等额的正式发票给甲方，以便甲方及时办理支付手续。</w:t>
      </w:r>
    </w:p>
    <w:p>
      <w:pPr>
        <w:ind w:firstLine="393"/>
        <w:jc w:val="both"/>
      </w:pPr>
      <w:r>
        <w:rPr>
          <w:sz w:val="21"/>
        </w:rPr>
        <w:t>2期：支付比例：70%。所有货物交付完成，并经甲方验收合格后15天内，支付合同金额的70%。乙方需提供等额的正式发票给甲方，以便甲方及时办理支付手续。</w:t>
      </w:r>
    </w:p>
    <w:p>
      <w:pPr>
        <w:ind w:firstLine="393"/>
        <w:jc w:val="both"/>
      </w:pPr>
      <w:r>
        <w:rPr>
          <w:sz w:val="21"/>
        </w:rPr>
        <w:t>注：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395"/>
        <w:jc w:val="both"/>
      </w:pPr>
      <w:r>
        <w:rPr>
          <w:b/>
          <w:sz w:val="21"/>
        </w:rPr>
        <w:t>六、验收要求</w:t>
      </w:r>
    </w:p>
    <w:p>
      <w:pPr>
        <w:ind w:firstLine="393"/>
        <w:jc w:val="both"/>
      </w:pPr>
      <w:r>
        <w:rPr>
          <w:sz w:val="21"/>
        </w:rPr>
        <w:t>1.交付地点：分别送到甲方指定地点并安装验收完毕。</w:t>
      </w:r>
    </w:p>
    <w:p>
      <w:pPr>
        <w:ind w:firstLine="393"/>
        <w:jc w:val="both"/>
      </w:pPr>
      <w:r>
        <w:rPr>
          <w:sz w:val="21"/>
        </w:rPr>
        <w:t>2.交付时间：自甲方下达供货通知之日起，1个月内完成货物的供货、安装调试、验收等相关服务。</w:t>
      </w:r>
    </w:p>
    <w:p>
      <w:pPr>
        <w:ind w:firstLine="393"/>
        <w:jc w:val="both"/>
      </w:pPr>
      <w:r>
        <w:rPr>
          <w:sz w:val="21"/>
        </w:rPr>
        <w:t>3.开箱检验：所有设备、器材在开箱时必须完好，无破损，数量、配置、质量、技术性能指标等必须与投标文件及投标样机相符。</w:t>
      </w:r>
    </w:p>
    <w:p>
      <w:pPr>
        <w:ind w:firstLine="393"/>
        <w:jc w:val="both"/>
      </w:pPr>
      <w:r>
        <w:rPr>
          <w:sz w:val="21"/>
        </w:rPr>
        <w:t>4.文档：乙方必须提供完整的原厂家随机文档和软件、设计文档、安装配置文档、测试文档等。乙方提供包括但不限于满足货物安装、使用和维护的技术文件。</w:t>
      </w:r>
    </w:p>
    <w:p>
      <w:pPr>
        <w:ind w:firstLine="393"/>
        <w:jc w:val="both"/>
      </w:pPr>
      <w:r>
        <w:rPr>
          <w:sz w:val="21"/>
        </w:rPr>
        <w:t>5.抽检：乙方应派出有经验的、高水平的技术人员根据《电脑体育彩票销售终端机到货抽检实施细则（2020）》相关要求协助完成到货设备抽检工作。如果任何被抽检或测试的产品不能满足采购要求的，甲方可以拒绝接受该产品，乙方需承担被甲方终止合同的一切风险和费用。</w:t>
      </w:r>
    </w:p>
    <w:p>
      <w:pPr>
        <w:ind w:firstLine="395"/>
        <w:jc w:val="both"/>
      </w:pPr>
      <w:r>
        <w:rPr>
          <w:b/>
          <w:sz w:val="21"/>
        </w:rPr>
        <w:t>七、履约保证金</w:t>
      </w:r>
    </w:p>
    <w:p>
      <w:pPr>
        <w:ind w:firstLine="393"/>
        <w:jc w:val="both"/>
      </w:pPr>
      <w:r>
        <w:rPr>
          <w:sz w:val="21"/>
        </w:rPr>
        <w:t>收取比例：</w:t>
      </w:r>
      <w:r>
        <w:rPr>
          <w:sz w:val="21"/>
        </w:rPr>
        <w:t>5%,即人民币         元。</w:t>
      </w:r>
    </w:p>
    <w:p>
      <w:pPr>
        <w:ind w:firstLine="393"/>
        <w:jc w:val="both"/>
      </w:pPr>
      <w:r>
        <w:rPr>
          <w:sz w:val="21"/>
        </w:rPr>
        <w:t>1.乙方需在合同签订后15个工作日内向甲方交纳合同总金额5%的履约保证金（以支票、汇票、本票、保函等非现金形式提交），合同履行完成后且甲方在收到乙方的退还申请后30天内不计利息还其履约保证金。</w:t>
      </w:r>
    </w:p>
    <w:p>
      <w:pPr>
        <w:ind w:firstLine="393"/>
        <w:jc w:val="both"/>
      </w:pPr>
      <w:r>
        <w:rPr>
          <w:sz w:val="21"/>
        </w:rPr>
        <w:t>2.不予退还的情形：</w:t>
      </w:r>
    </w:p>
    <w:p>
      <w:pPr>
        <w:ind w:firstLine="393"/>
        <w:jc w:val="both"/>
      </w:pPr>
      <w:r>
        <w:rPr>
          <w:sz w:val="21"/>
        </w:rPr>
        <w:t>（</w:t>
      </w:r>
      <w:r>
        <w:rPr>
          <w:sz w:val="21"/>
        </w:rPr>
        <w:t>1）未经甲方同意，乙方将本项目进行分包或转包给他人；</w:t>
      </w:r>
    </w:p>
    <w:p>
      <w:pPr>
        <w:ind w:firstLine="393"/>
        <w:jc w:val="both"/>
      </w:pPr>
      <w:r>
        <w:rPr>
          <w:sz w:val="21"/>
        </w:rPr>
        <w:t>（</w:t>
      </w:r>
      <w:r>
        <w:rPr>
          <w:sz w:val="21"/>
        </w:rPr>
        <w:t>2）在履行合同期间，乙方未经甲方同意提前终止本项目合同；</w:t>
      </w:r>
    </w:p>
    <w:p>
      <w:pPr>
        <w:ind w:firstLine="393"/>
        <w:jc w:val="both"/>
      </w:pPr>
      <w:r>
        <w:rPr>
          <w:sz w:val="21"/>
        </w:rPr>
        <w:t>（</w:t>
      </w:r>
      <w:r>
        <w:rPr>
          <w:sz w:val="21"/>
        </w:rPr>
        <w:t>3）在履行合同期间，乙方因在经营活动中存在违法被吊销营业执照或相关许可，导致本项目合同无法继续履行的。</w:t>
      </w:r>
    </w:p>
    <w:p>
      <w:pPr>
        <w:ind w:firstLine="395"/>
        <w:jc w:val="both"/>
      </w:pPr>
      <w:r>
        <w:rPr>
          <w:b/>
          <w:sz w:val="21"/>
        </w:rPr>
        <w:t>八、质保期服务要求</w:t>
      </w:r>
    </w:p>
    <w:p>
      <w:pPr>
        <w:ind w:firstLine="393"/>
        <w:jc w:val="both"/>
      </w:pPr>
      <w:r>
        <w:rPr>
          <w:sz w:val="21"/>
        </w:rPr>
        <w:t>1.质量保证服务期限为    年，包括乙方提供的彩票销售终端机（含备机）及配套设备，并且按照供货时间一次性提供不少于5％的备机（包括配套设备）。设备品质保证期自设备安装验收报告签字之日起计算。设备的保修范围包括所有设备硬件故障和损耗。备机于本项目质保期满后30天内，由乙方自行收回，如未在规定时间取回的，甲方有权自行处理，相关费用包含在合同金额内。</w:t>
      </w:r>
    </w:p>
    <w:p>
      <w:pPr>
        <w:ind w:firstLine="393"/>
        <w:jc w:val="both"/>
      </w:pPr>
      <w:r>
        <w:rPr>
          <w:sz w:val="21"/>
        </w:rPr>
        <w:t>2.在质量保证服务期内向甲方提供对设备正常运行的所有服务，包括必要的材料和配套设备，相关费用包含在合同金额内。</w:t>
      </w:r>
    </w:p>
    <w:p>
      <w:pPr>
        <w:ind w:firstLine="393"/>
        <w:jc w:val="both"/>
      </w:pPr>
      <w:r>
        <w:rPr>
          <w:sz w:val="21"/>
        </w:rPr>
        <w:t>3.乙方提供详细、可行的项目实施维护方案，方案内容至少包括系统维护、软件升级、安全应急处理、质量保障等内容。</w:t>
      </w:r>
    </w:p>
    <w:p>
      <w:pPr>
        <w:ind w:firstLine="393"/>
        <w:jc w:val="both"/>
      </w:pPr>
      <w:r>
        <w:rPr>
          <w:sz w:val="21"/>
        </w:rPr>
        <w:t>4.定期派工程师到现场进行检查，每次检查及维修后写出详细书面报告，提供给甲方。并负责更换系统正常使用情况下损坏的部件；由于在设计、制造、安装不当所造成的损失，由乙方负责保修，并赔偿给甲方所造成的经济损失。</w:t>
      </w:r>
    </w:p>
    <w:p>
      <w:pPr>
        <w:ind w:firstLine="393"/>
        <w:jc w:val="both"/>
      </w:pPr>
      <w:r>
        <w:rPr>
          <w:sz w:val="21"/>
        </w:rPr>
        <w:t>5.乙方向甲方提供的系统维护手段包括电话支持、远程系统维护、现场系统维护等。</w:t>
      </w:r>
    </w:p>
    <w:p>
      <w:pPr>
        <w:ind w:firstLine="393"/>
        <w:jc w:val="both"/>
      </w:pPr>
      <w:r>
        <w:rPr>
          <w:sz w:val="21"/>
        </w:rPr>
        <w:t>6.在质量保证服务期内，乙方承诺在广东省内设立一个设备维修服务中心，且维修服务中心配备充足的设备维修配件，服务时间内不少于1名技术人员在岗，为本项目设备提供维修服务，设备采用寄修方式维修，寄修来回运费包含在合同金额中。</w:t>
      </w:r>
    </w:p>
    <w:p>
      <w:pPr>
        <w:ind w:firstLine="393"/>
        <w:jc w:val="both"/>
      </w:pPr>
      <w:r>
        <w:rPr>
          <w:sz w:val="21"/>
        </w:rPr>
        <w:t>7.在合同执行期间，乙方必须对甲方在系统扩充、设备升级等方面提供技术支持和服务（包括广东省体育彩票销售系统未来功能扩充所需要的软件及硬件升级），相关费用包含在合同金额内。</w:t>
      </w:r>
    </w:p>
    <w:p>
      <w:pPr>
        <w:ind w:firstLine="393"/>
        <w:jc w:val="both"/>
      </w:pPr>
      <w:r>
        <w:rPr>
          <w:sz w:val="21"/>
        </w:rPr>
        <w:t>8.乙方在合同规定的质量保证服务期内，依据合同条款进行维护管理。质量保证服务期后，甲方可根据项目需要，可以与乙方继续签订质量保证服务合同。乙方须承诺中标设备质保期满后4年内，按全国最低的价格供应充足的维修配件。</w:t>
      </w:r>
    </w:p>
    <w:p>
      <w:pPr>
        <w:ind w:firstLine="393"/>
        <w:jc w:val="both"/>
      </w:pPr>
      <w:r>
        <w:rPr>
          <w:sz w:val="21"/>
        </w:rPr>
        <w:t>9.提供技术支持和培训。</w:t>
      </w:r>
    </w:p>
    <w:p>
      <w:pPr>
        <w:ind w:firstLine="393"/>
        <w:jc w:val="both"/>
      </w:pPr>
      <w:r>
        <w:rPr>
          <w:sz w:val="21"/>
        </w:rPr>
        <w:t>10.甲方不安排、不解决乙方服务人员的住宿问题。</w:t>
      </w:r>
    </w:p>
    <w:p>
      <w:pPr>
        <w:ind w:firstLine="395"/>
        <w:jc w:val="both"/>
      </w:pPr>
      <w:r>
        <w:rPr>
          <w:b/>
          <w:sz w:val="21"/>
        </w:rPr>
        <w:t>九、交付及安装要求</w:t>
      </w:r>
    </w:p>
    <w:p>
      <w:pPr>
        <w:ind w:firstLine="393"/>
        <w:jc w:val="both"/>
      </w:pPr>
      <w:r>
        <w:rPr>
          <w:sz w:val="21"/>
        </w:rPr>
        <w:t>1.乙方提供的必须是技术成熟、性能可靠、设计先进的全新设备，并与广东省体育彩票销售系统相匹配。</w:t>
      </w:r>
    </w:p>
    <w:p>
      <w:pPr>
        <w:ind w:firstLine="393"/>
        <w:jc w:val="both"/>
      </w:pPr>
      <w:r>
        <w:rPr>
          <w:sz w:val="21"/>
        </w:rPr>
        <w:t>2.交付地点：分别送到甲方指定地点并安装验收完毕。</w:t>
      </w:r>
    </w:p>
    <w:p>
      <w:pPr>
        <w:ind w:firstLine="393"/>
        <w:jc w:val="both"/>
      </w:pPr>
      <w:r>
        <w:rPr>
          <w:sz w:val="21"/>
        </w:rPr>
        <w:t>3.交付时要随附货物清单。</w:t>
      </w:r>
    </w:p>
    <w:p>
      <w:pPr>
        <w:ind w:firstLine="393"/>
        <w:jc w:val="both"/>
      </w:pPr>
      <w:r>
        <w:rPr>
          <w:sz w:val="21"/>
        </w:rPr>
        <w:t>4.标记</w:t>
      </w:r>
    </w:p>
    <w:p>
      <w:pPr>
        <w:ind w:firstLine="393"/>
        <w:jc w:val="both"/>
      </w:pPr>
      <w:r>
        <w:rPr>
          <w:sz w:val="21"/>
        </w:rPr>
        <w:t>4.1货物包装及标记应按照有关国家标准执行，并符合货物特性要求。</w:t>
      </w:r>
    </w:p>
    <w:p>
      <w:pPr>
        <w:ind w:firstLine="393"/>
        <w:jc w:val="both"/>
      </w:pPr>
      <w:r>
        <w:rPr>
          <w:sz w:val="21"/>
        </w:rPr>
        <w:t>4.2保证货物在长途运输和装卸过程中的安全，货物包装应符合国家或行业标准规定。由于包装不善导致货物锈蚀、缺失或损坏，由乙方承担一切责任。</w:t>
      </w:r>
    </w:p>
    <w:p>
      <w:pPr>
        <w:ind w:firstLine="393"/>
        <w:jc w:val="both"/>
      </w:pPr>
      <w:r>
        <w:rPr>
          <w:sz w:val="21"/>
        </w:rPr>
        <w:t>5.现场保管</w:t>
      </w:r>
    </w:p>
    <w:p>
      <w:pPr>
        <w:ind w:firstLine="393"/>
        <w:jc w:val="both"/>
      </w:pPr>
      <w:r>
        <w:rPr>
          <w:sz w:val="21"/>
        </w:rPr>
        <w:t>5.1乙方负责全部货物到货安装现场过程中的全部运输，包括运输过程中的中转和货到现场前的库存（如果有的话）。</w:t>
      </w:r>
    </w:p>
    <w:p>
      <w:pPr>
        <w:ind w:firstLine="393"/>
        <w:jc w:val="both"/>
      </w:pPr>
      <w:r>
        <w:rPr>
          <w:sz w:val="21"/>
        </w:rPr>
        <w:t>5.2负责运输过程中的装卸与货物在现场存放点的就位。存放点由甲方现场圈定。</w:t>
      </w:r>
    </w:p>
    <w:p>
      <w:pPr>
        <w:ind w:firstLine="393"/>
        <w:jc w:val="both"/>
      </w:pPr>
      <w:r>
        <w:rPr>
          <w:sz w:val="21"/>
        </w:rPr>
        <w:t>货物在现场的保管由乙方负责，直至全部货物安装、验收完毕。设备外包装箱及设备外壳要有明显的型号标记和唯一产品编号（产品编号为二维码加编号）。</w:t>
      </w:r>
    </w:p>
    <w:p>
      <w:pPr>
        <w:ind w:firstLine="393"/>
        <w:jc w:val="both"/>
      </w:pPr>
      <w:r>
        <w:rPr>
          <w:sz w:val="21"/>
        </w:rPr>
        <w:t>6.安装</w:t>
      </w:r>
    </w:p>
    <w:p>
      <w:pPr>
        <w:ind w:firstLine="393"/>
        <w:jc w:val="both"/>
      </w:pPr>
      <w:r>
        <w:rPr>
          <w:sz w:val="21"/>
        </w:rPr>
        <w:t>6.1安装是合同的一部份，由乙方完成。</w:t>
      </w:r>
    </w:p>
    <w:p>
      <w:pPr>
        <w:ind w:firstLine="393"/>
        <w:jc w:val="both"/>
      </w:pPr>
      <w:r>
        <w:rPr>
          <w:sz w:val="21"/>
        </w:rPr>
        <w:t>6.2乙方应设有安装负责人，负责安装工程的计划、协调、人力调配及工程质量管理等工作，还应设安装现场工程师负责技术指导，质量监督，安装现场测量，安装质量检查认可等。</w:t>
      </w:r>
    </w:p>
    <w:p>
      <w:pPr>
        <w:ind w:firstLine="393"/>
        <w:jc w:val="both"/>
      </w:pPr>
      <w:r>
        <w:rPr>
          <w:sz w:val="21"/>
        </w:rPr>
        <w:t>7.安装工作范围</w:t>
      </w:r>
    </w:p>
    <w:p>
      <w:pPr>
        <w:ind w:firstLine="393"/>
        <w:jc w:val="both"/>
      </w:pPr>
      <w:r>
        <w:rPr>
          <w:sz w:val="21"/>
        </w:rPr>
        <w:t>7.1安装工作包括货物就位、货物安装及调试在内的全部现场作业。</w:t>
      </w:r>
    </w:p>
    <w:p>
      <w:pPr>
        <w:ind w:firstLine="393"/>
        <w:jc w:val="both"/>
      </w:pPr>
      <w:r>
        <w:rPr>
          <w:sz w:val="21"/>
        </w:rPr>
        <w:t>7.2安装调试由乙方工程师主持完成，调试应通知甲方人员参加，应准备调试记录卡，并事前10天交一份给甲方(空白)。</w:t>
      </w:r>
    </w:p>
    <w:p>
      <w:pPr>
        <w:ind w:firstLine="393"/>
        <w:jc w:val="both"/>
      </w:pPr>
      <w:r>
        <w:rPr>
          <w:sz w:val="21"/>
        </w:rPr>
        <w:t>7.3本次项目安装调试的服务范围：广东省内。</w:t>
      </w:r>
    </w:p>
    <w:p>
      <w:pPr>
        <w:ind w:firstLine="395"/>
        <w:jc w:val="both"/>
      </w:pPr>
      <w:r>
        <w:rPr>
          <w:b/>
          <w:sz w:val="21"/>
        </w:rPr>
        <w:t>十、违约责任与赔偿损失</w:t>
      </w:r>
    </w:p>
    <w:p>
      <w:pPr>
        <w:ind w:firstLine="393"/>
        <w:jc w:val="both"/>
      </w:pPr>
      <w:r>
        <w:rPr>
          <w:sz w:val="21"/>
        </w:rPr>
        <w:t>1.乙方交付的货物不符合招标文件、投标文件和本合同约定的，甲方有权拒收，与此同时，甲方有权选择要求乙方继续提供符合招标文件、投标文件和本合同约定的货物；也有权选择单方即时解除本合同。如若甲方选择要求乙方继续提供符合招标文件、投标文件和本合同约定的货物，乙方不仅须向甲方支付本合同总价10%的违约金，且须继续按照本合同的约定全面履行包括供货义务在内的各项义务；如若甲方选择单方即时解除本合同，乙方不仅须向甲方支付本合同总价10%的违约金，而且须无条件向甲方退还已收取的全部款项。此外，如若乙方的该等违约行为给甲方造成损失，甲方有权另行追究乙方的赔偿责任。</w:t>
      </w:r>
    </w:p>
    <w:p>
      <w:pPr>
        <w:ind w:firstLine="393"/>
        <w:jc w:val="both"/>
      </w:pPr>
      <w:r>
        <w:rPr>
          <w:sz w:val="21"/>
        </w:rPr>
        <w:t>2.乙方未能按本合同规定的交货时间交付货物的，从逾期之日起每日按本合同总价3‰的数额向甲方支付违约金；逾期15天以上的，视为乙方根本性违约，甲方有权单方即时解除本合同，乙方不仅须向甲方支付本合同总价10%的违约金，而且须无条件向甲方退还已收取的全部款项。与此同时，如若乙方的该等违约行为给甲方造成损失，甲方有权另行追究乙方的赔偿责任。</w:t>
      </w:r>
    </w:p>
    <w:p>
      <w:pPr>
        <w:ind w:firstLine="393"/>
        <w:jc w:val="both"/>
      </w:pPr>
      <w:r>
        <w:rPr>
          <w:sz w:val="21"/>
        </w:rPr>
        <w:t>3.甲方无正当理由拒收货物，甲方向乙方偿付本合同总价10%的违约金；甲方无正当理由逾期未按政府采购支付流程办理付款申请手续的，则每日按欠付款项的万分之叁向乙方偿付违约金。实际付款到账时间以政府采购支付时间为准。</w:t>
      </w:r>
    </w:p>
    <w:p>
      <w:pPr>
        <w:ind w:firstLine="393"/>
        <w:jc w:val="both"/>
      </w:pPr>
      <w:r>
        <w:rPr>
          <w:sz w:val="21"/>
        </w:rPr>
        <w:t>4.乙方如没有按合同规定履行售后服务（“三包”）承诺，甲方可委托任何第三方进行修复或另行购买相同或相似型号、品质的货物，由此产生的一切费用均由乙方支付。此外，如若乙方的该等违约行为给甲方造成损失，甲方有权另行追究乙方的赔偿责任。</w:t>
      </w:r>
    </w:p>
    <w:p>
      <w:pPr>
        <w:ind w:firstLine="393"/>
        <w:jc w:val="both"/>
      </w:pPr>
      <w:r>
        <w:rPr>
          <w:sz w:val="21"/>
        </w:rPr>
        <w:t>5.其它违约责任按《中华人民共和国民法典》处理。</w:t>
      </w:r>
    </w:p>
    <w:p>
      <w:pPr>
        <w:ind w:firstLine="395"/>
        <w:jc w:val="both"/>
      </w:pPr>
      <w:r>
        <w:rPr>
          <w:b/>
          <w:sz w:val="21"/>
        </w:rPr>
        <w:t>十一、争议的解决</w:t>
      </w:r>
    </w:p>
    <w:p>
      <w:pPr>
        <w:ind w:firstLine="393"/>
        <w:jc w:val="both"/>
      </w:pPr>
      <w:r>
        <w:rPr>
          <w:sz w:val="21"/>
        </w:rPr>
        <w:t>合同执行过程中发生的任何争议，如双方不能通过友好协商解决，任何一方均有权向甲方所在地人民法院提起诉讼解决。</w:t>
      </w:r>
    </w:p>
    <w:p>
      <w:pPr>
        <w:ind w:firstLine="395"/>
        <w:jc w:val="both"/>
      </w:pPr>
      <w:r>
        <w:rPr>
          <w:b/>
          <w:sz w:val="21"/>
        </w:rPr>
        <w:t>十二、不可抗力</w:t>
      </w:r>
    </w:p>
    <w:p>
      <w:pPr>
        <w:ind w:firstLine="393"/>
        <w:jc w:val="both"/>
      </w:pPr>
      <w:r>
        <w:rPr>
          <w:sz w:val="21"/>
        </w:rPr>
        <w:t>任何一方由于不可抗力</w:t>
      </w:r>
      <w:r>
        <w:rPr>
          <w:sz w:val="21"/>
        </w:rPr>
        <w:t>[前述不可抗力指不能预见、不能避免且无法克服的客观情况：如法律、法规、政策的变更，政府行为，自然灾害(如洪水、地震、火灾、海啸、台风等)以及战争、动乱、瘟疫等]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395"/>
        <w:jc w:val="both"/>
      </w:pPr>
      <w:r>
        <w:rPr>
          <w:b/>
          <w:sz w:val="21"/>
        </w:rPr>
        <w:t>十三、税费</w:t>
      </w:r>
    </w:p>
    <w:p>
      <w:pPr>
        <w:ind w:firstLine="393"/>
        <w:jc w:val="both"/>
      </w:pPr>
      <w:r>
        <w:rPr>
          <w:sz w:val="21"/>
        </w:rPr>
        <w:t>在中国境内、外发生的与本合同执行有关的一切税费均由乙方负担。</w:t>
      </w:r>
    </w:p>
    <w:p>
      <w:pPr>
        <w:ind w:firstLine="395"/>
        <w:jc w:val="both"/>
      </w:pPr>
      <w:r>
        <w:rPr>
          <w:b/>
          <w:sz w:val="21"/>
        </w:rPr>
        <w:t>十四、其它</w:t>
      </w:r>
    </w:p>
    <w:p>
      <w:pPr>
        <w:ind w:firstLine="393"/>
        <w:jc w:val="both"/>
      </w:pPr>
      <w:r>
        <w:rPr>
          <w:sz w:val="21"/>
        </w:rPr>
        <w:t>1.本合同所有附件、招标文件、投标文件、中标通知书均为合同的有效组成部分，与本合同具有同等法律效力。</w:t>
      </w:r>
    </w:p>
    <w:p>
      <w:pPr>
        <w:ind w:firstLine="393"/>
        <w:jc w:val="both"/>
      </w:pPr>
      <w:r>
        <w:rPr>
          <w:sz w:val="21"/>
        </w:rPr>
        <w:t>2.在执行本合同的过程中，所有经双方签署确认的文件（包括会议纪要、补充协议、往来信函）即成为本合同的有效组成部分。</w:t>
      </w:r>
    </w:p>
    <w:p>
      <w:pPr>
        <w:ind w:firstLine="393"/>
        <w:jc w:val="both"/>
      </w:pPr>
      <w:r>
        <w:rPr>
          <w:sz w:val="21"/>
        </w:rPr>
        <w:t>3.如一方地址、电话、传真号码有变更，应在变更当日内书面通知对方，否则，应承担相应责任。</w:t>
      </w:r>
    </w:p>
    <w:p>
      <w:pPr>
        <w:ind w:firstLine="393"/>
        <w:jc w:val="both"/>
      </w:pPr>
      <w:r>
        <w:rPr>
          <w:sz w:val="21"/>
        </w:rPr>
        <w:t>4.除甲方事先书面同意外，乙方不得部分或全部转让其应履行的合同项下的义务。</w:t>
      </w:r>
    </w:p>
    <w:p>
      <w:pPr>
        <w:ind w:firstLine="395"/>
        <w:jc w:val="both"/>
      </w:pPr>
      <w:r>
        <w:rPr>
          <w:b/>
          <w:sz w:val="21"/>
        </w:rPr>
        <w:t>十五、合同生效</w:t>
      </w:r>
    </w:p>
    <w:p>
      <w:pPr>
        <w:ind w:firstLine="393"/>
        <w:jc w:val="both"/>
      </w:pPr>
      <w:r>
        <w:rPr>
          <w:sz w:val="21"/>
        </w:rPr>
        <w:t>1.本合同自甲、乙双方法定代表人或其授权代表签字盖章之日即予生效。</w:t>
      </w:r>
    </w:p>
    <w:p>
      <w:pPr>
        <w:ind w:firstLine="393"/>
        <w:jc w:val="both"/>
      </w:pPr>
      <w:r>
        <w:rPr>
          <w:sz w:val="21"/>
        </w:rPr>
        <w:t>2.合同一式</w:t>
      </w:r>
      <w:r>
        <w:rPr>
          <w:sz w:val="21"/>
          <w:u w:val="single"/>
        </w:rPr>
        <w:t xml:space="preserve">   </w:t>
      </w:r>
      <w:r>
        <w:rPr>
          <w:sz w:val="21"/>
        </w:rPr>
        <w:t>份，具有同等法律效力；甲方执</w:t>
      </w:r>
      <w:r>
        <w:rPr>
          <w:sz w:val="21"/>
          <w:u w:val="single"/>
        </w:rPr>
        <w:t xml:space="preserve">   </w:t>
      </w:r>
      <w:r>
        <w:rPr>
          <w:sz w:val="21"/>
        </w:rPr>
        <w:t>份，乙方执</w:t>
      </w:r>
      <w:r>
        <w:rPr>
          <w:sz w:val="21"/>
          <w:u w:val="single"/>
        </w:rPr>
        <w:t xml:space="preserve">   </w:t>
      </w:r>
      <w:r>
        <w:rPr>
          <w:sz w:val="21"/>
        </w:rPr>
        <w:t>份，采购代理机构执</w:t>
      </w:r>
      <w:r>
        <w:rPr>
          <w:sz w:val="21"/>
          <w:u w:val="single"/>
        </w:rPr>
        <w:t xml:space="preserve"> </w:t>
      </w:r>
      <w:r>
        <w:rPr>
          <w:sz w:val="21"/>
          <w:u w:val="single"/>
        </w:rPr>
        <w:t>壹</w:t>
      </w:r>
      <w:r>
        <w:rPr>
          <w:sz w:val="21"/>
        </w:rPr>
        <w:t>份。</w:t>
      </w:r>
    </w:p>
    <w:p>
      <w:pPr>
        <w:ind w:firstLine="393"/>
        <w:jc w:val="both"/>
      </w:pPr>
      <w:r>
        <w:rPr>
          <w:sz w:val="21"/>
        </w:rPr>
        <w:t>（以下为签署页）</w:t>
      </w:r>
    </w:p>
    <w:p>
      <w:pPr>
        <w:ind w:firstLine="393"/>
        <w:jc w:val="both"/>
      </w:pPr>
      <w:r>
        <w:rPr/>
        <w:t xml:space="preserve"> </w:t>
      </w:r>
    </w:p>
    <w:p>
      <w:pPr>
        <w:ind w:firstLine="450"/>
        <w:jc w:val="both"/>
      </w:pPr>
    </w:p>
    <w:p>
      <w:pPr>
        <w:ind w:firstLine="380"/>
        <w:jc w:val="both"/>
      </w:pPr>
      <w:r>
        <w:rPr>
          <w:b/>
          <w:sz w:val="21"/>
        </w:rPr>
        <w:t>甲方（盖章）</w:t>
      </w:r>
      <w:r>
        <w:rPr>
          <w:sz w:val="21"/>
        </w:rPr>
        <w:t>：</w:t>
      </w:r>
      <w:r>
        <w:rPr>
          <w:sz w:val="21"/>
        </w:rPr>
        <w:t xml:space="preserve">                     </w:t>
      </w:r>
      <w:r>
        <w:rPr>
          <w:b/>
          <w:sz w:val="21"/>
        </w:rPr>
        <w:t>乙方（盖章）</w:t>
      </w:r>
      <w:r>
        <w:rPr>
          <w:sz w:val="21"/>
        </w:rPr>
        <w:t>：</w:t>
      </w:r>
    </w:p>
    <w:p>
      <w:pPr>
        <w:ind w:firstLine="380"/>
        <w:jc w:val="both"/>
      </w:pPr>
    </w:p>
    <w:p>
      <w:pPr>
        <w:ind w:firstLine="380"/>
        <w:jc w:val="both"/>
      </w:pPr>
      <w:r>
        <w:rPr>
          <w:sz w:val="21"/>
        </w:rPr>
        <w:t>法定代表人（或授权代表）：</w:t>
      </w:r>
      <w:r>
        <w:rPr>
          <w:sz w:val="21"/>
        </w:rPr>
        <w:t xml:space="preserve">                  </w:t>
      </w:r>
      <w:r>
        <w:rPr>
          <w:sz w:val="21"/>
        </w:rPr>
        <w:t>法定代表人（或授权代表）：</w:t>
      </w:r>
    </w:p>
    <w:p>
      <w:pPr>
        <w:ind w:firstLine="380"/>
        <w:jc w:val="both"/>
      </w:pPr>
    </w:p>
    <w:p>
      <w:pPr>
        <w:ind w:firstLine="380"/>
        <w:jc w:val="both"/>
      </w:pPr>
      <w:r>
        <w:rPr>
          <w:sz w:val="21"/>
        </w:rPr>
        <w:t>签定地点：</w:t>
      </w:r>
    </w:p>
    <w:p>
      <w:pPr>
        <w:ind w:firstLine="380"/>
        <w:jc w:val="both"/>
      </w:pPr>
    </w:p>
    <w:p>
      <w:pPr>
        <w:ind w:firstLine="380"/>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380"/>
        <w:jc w:val="both"/>
      </w:pPr>
      <w:r>
        <w:rPr>
          <w:sz w:val="21"/>
        </w:rPr>
        <w:t xml:space="preserve">                                开户名称：</w:t>
      </w:r>
    </w:p>
    <w:p>
      <w:pPr>
        <w:ind w:firstLine="380"/>
        <w:jc w:val="both"/>
      </w:pPr>
      <w:r>
        <w:rPr>
          <w:sz w:val="21"/>
        </w:rPr>
        <w:t xml:space="preserve">                                银行账号：</w:t>
      </w:r>
    </w:p>
    <w:p>
      <w:pPr>
        <w:ind w:firstLine="380"/>
        <w:jc w:val="both"/>
      </w:pPr>
      <w:r>
        <w:rPr>
          <w:sz w:val="21"/>
        </w:rPr>
        <w:t xml:space="preserve">                                开户行：</w:t>
      </w:r>
    </w:p>
    <w:p>
      <w:pPr>
        <w:jc w:val="center"/>
      </w:pPr>
    </w:p>
    <w:p>
      <w:pPr>
        <w:jc w:val="both"/>
      </w:pPr>
    </w:p>
    <w:p>
      <w:pPr>
        <w:jc w:val="both"/>
      </w:pPr>
    </w:p>
    <w:p/>
    <w:p>
      <w:r>
        <w:rPr/>
        <w:t xml:space="preserve"> </w:t>
      </w:r>
    </w:p>
    <w:p>
      <w:pPr>
        <w:jc w:val="both"/>
      </w:pPr>
      <w:r>
        <w:rPr>
          <w:b/>
          <w:sz w:val="21"/>
        </w:rPr>
        <w:t>附件</w:t>
      </w:r>
      <w:r>
        <w:rPr>
          <w:b/>
          <w:sz w:val="21"/>
        </w:rPr>
        <w:t>.保修承担方承诺函模版（模版）</w:t>
      </w:r>
    </w:p>
    <w:p>
      <w:pPr>
        <w:jc w:val="center"/>
      </w:pPr>
      <w:r>
        <w:rPr>
          <w:b/>
          <w:sz w:val="21"/>
        </w:rPr>
        <w:t>保修承诺函</w:t>
      </w:r>
    </w:p>
    <w:p>
      <w:pPr>
        <w:jc w:val="both"/>
      </w:pPr>
      <w:r>
        <w:rPr>
          <w:sz w:val="21"/>
        </w:rPr>
        <w:t>广东省体育彩票中心：</w:t>
      </w:r>
    </w:p>
    <w:p>
      <w:pPr>
        <w:ind w:firstLine="444"/>
        <w:jc w:val="both"/>
      </w:pPr>
      <w:r>
        <w:rPr>
          <w:sz w:val="21"/>
        </w:rPr>
        <w:t>根据贵单位</w:t>
      </w:r>
      <w:r>
        <w:rPr>
          <w:sz w:val="21"/>
          <w:u w:val="single"/>
        </w:rPr>
        <w:t xml:space="preserve">       </w:t>
      </w:r>
      <w:r>
        <w:rPr>
          <w:sz w:val="21"/>
        </w:rPr>
        <w:t>项目（采购项目编号：</w:t>
      </w:r>
      <w:r>
        <w:rPr>
          <w:sz w:val="21"/>
          <w:u w:val="single"/>
        </w:rPr>
        <w:t xml:space="preserve">     </w:t>
      </w:r>
      <w:r>
        <w:rPr>
          <w:sz w:val="21"/>
        </w:rPr>
        <w:t>）的招标文件及合同约定，由</w:t>
      </w:r>
      <w:r>
        <w:rPr>
          <w:sz w:val="21"/>
          <w:u w:val="single"/>
        </w:rPr>
        <w:t xml:space="preserve">     </w:t>
      </w:r>
      <w:r>
        <w:rPr>
          <w:sz w:val="21"/>
        </w:rPr>
        <w:t>公司、</w:t>
      </w:r>
      <w:r>
        <w:rPr>
          <w:sz w:val="21"/>
          <w:u w:val="single"/>
        </w:rPr>
        <w:t xml:space="preserve">    </w:t>
      </w:r>
      <w:r>
        <w:rPr>
          <w:sz w:val="21"/>
        </w:rPr>
        <w:t>公司对该项目设备的保修做出如下承诺：</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80"/>
        <w:gridCol w:w="1820"/>
        <w:gridCol w:w="1464"/>
        <w:gridCol w:w="1286"/>
        <w:gridCol w:w="2956"/>
      </w:tblGrid>
      <w:tr>
        <w:tc>
          <w:tcPr>
            <w:tcW w:type="dxa" w:w="78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20"/>
            <w:tcBorders>
              <w:top w:val="single" w:color="000000" w:sz="4"/>
              <w:left w:val="none" w:color="000000" w:sz="4"/>
              <w:bottom w:val="single" w:color="000000" w:sz="4"/>
              <w:right w:val="single" w:color="000000" w:sz="4"/>
            </w:tcBorders>
            <w:vAlign w:val="top"/>
          </w:tcPr>
          <w:p>
            <w:pPr>
              <w:jc w:val="center"/>
            </w:pPr>
            <w:r>
              <w:rPr>
                <w:sz w:val="21"/>
              </w:rPr>
              <w:t>设备或主要配件</w:t>
            </w:r>
          </w:p>
          <w:p>
            <w:pPr>
              <w:jc w:val="center"/>
            </w:pPr>
            <w:r>
              <w:rPr>
                <w:sz w:val="21"/>
              </w:rPr>
              <w:t>名称</w:t>
            </w:r>
          </w:p>
        </w:tc>
        <w:tc>
          <w:tcPr>
            <w:tcW w:type="dxa" w:w="1464"/>
            <w:tcBorders>
              <w:top w:val="single" w:color="000000" w:sz="4"/>
              <w:left w:val="none" w:color="000000" w:sz="4"/>
              <w:bottom w:val="single" w:color="000000" w:sz="4"/>
              <w:right w:val="single" w:color="000000" w:sz="4"/>
            </w:tcBorders>
            <w:vAlign w:val="top"/>
          </w:tcPr>
          <w:p>
            <w:pPr>
              <w:jc w:val="center"/>
            </w:pPr>
            <w:r>
              <w:rPr>
                <w:sz w:val="21"/>
              </w:rPr>
              <w:t>保修期</w:t>
            </w:r>
          </w:p>
        </w:tc>
        <w:tc>
          <w:tcPr>
            <w:tcW w:type="dxa" w:w="1286"/>
            <w:tcBorders>
              <w:top w:val="single" w:color="000000" w:sz="4"/>
              <w:left w:val="none" w:color="000000" w:sz="4"/>
              <w:bottom w:val="single" w:color="000000" w:sz="4"/>
              <w:right w:val="single" w:color="000000" w:sz="4"/>
            </w:tcBorders>
            <w:vAlign w:val="top"/>
          </w:tcPr>
          <w:p>
            <w:pPr>
              <w:jc w:val="center"/>
            </w:pPr>
            <w:r>
              <w:rPr>
                <w:sz w:val="21"/>
              </w:rPr>
              <w:t>市场价格</w:t>
            </w:r>
          </w:p>
        </w:tc>
        <w:tc>
          <w:tcPr>
            <w:tcW w:type="dxa" w:w="2956"/>
            <w:tcBorders>
              <w:top w:val="single" w:color="000000" w:sz="4"/>
              <w:left w:val="none" w:color="000000" w:sz="4"/>
              <w:bottom w:val="single" w:color="000000" w:sz="4"/>
              <w:right w:val="single" w:color="000000" w:sz="4"/>
            </w:tcBorders>
            <w:vAlign w:val="top"/>
          </w:tcPr>
          <w:p>
            <w:pPr>
              <w:jc w:val="center"/>
            </w:pPr>
            <w:r>
              <w:rPr>
                <w:sz w:val="21"/>
              </w:rPr>
              <w:t>售后网点及电话</w:t>
            </w:r>
          </w:p>
        </w:tc>
      </w:tr>
      <w:tr>
        <w:tc>
          <w:tcPr>
            <w:tcW w:type="dxa" w:w="7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0"/>
            <w:tcBorders>
              <w:top w:val="none" w:color="000000" w:sz="4"/>
              <w:left w:val="none" w:color="000000" w:sz="4"/>
              <w:bottom w:val="single" w:color="000000" w:sz="4"/>
              <w:right w:val="single" w:color="000000" w:sz="4"/>
            </w:tcBorders>
            <w:vAlign w:val="top"/>
          </w:tcPr>
          <w:p>
            <w:pPr>
              <w:jc w:val="center"/>
            </w:pPr>
          </w:p>
        </w:tc>
        <w:tc>
          <w:tcPr>
            <w:tcW w:type="dxa" w:w="1464"/>
            <w:tcBorders>
              <w:top w:val="none" w:color="000000" w:sz="4"/>
              <w:left w:val="none" w:color="000000" w:sz="4"/>
              <w:bottom w:val="single" w:color="000000" w:sz="4"/>
              <w:right w:val="single" w:color="000000" w:sz="4"/>
            </w:tcBorders>
            <w:vAlign w:val="top"/>
          </w:tcPr>
          <w:p>
            <w:pPr>
              <w:jc w:val="center"/>
            </w:pPr>
          </w:p>
        </w:tc>
        <w:tc>
          <w:tcPr>
            <w:tcW w:type="dxa" w:w="1286"/>
            <w:tcBorders>
              <w:top w:val="none" w:color="000000" w:sz="4"/>
              <w:left w:val="none" w:color="000000" w:sz="4"/>
              <w:bottom w:val="single" w:color="000000" w:sz="4"/>
              <w:right w:val="single" w:color="000000" w:sz="4"/>
            </w:tcBorders>
            <w:vAlign w:val="top"/>
          </w:tcPr>
          <w:p>
            <w:pPr>
              <w:jc w:val="center"/>
            </w:pPr>
          </w:p>
        </w:tc>
        <w:tc>
          <w:tcPr>
            <w:tcW w:type="dxa" w:w="2956"/>
            <w:tcBorders>
              <w:top w:val="none" w:color="000000" w:sz="4"/>
              <w:left w:val="none" w:color="000000" w:sz="4"/>
              <w:bottom w:val="single" w:color="000000" w:sz="4"/>
              <w:right w:val="single" w:color="000000" w:sz="4"/>
            </w:tcBorders>
            <w:vAlign w:val="top"/>
          </w:tcPr>
          <w:p>
            <w:pPr>
              <w:jc w:val="center"/>
            </w:pPr>
          </w:p>
        </w:tc>
      </w:tr>
      <w:tr>
        <w:tc>
          <w:tcPr>
            <w:tcW w:type="dxa" w:w="7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0"/>
            <w:tcBorders>
              <w:top w:val="none" w:color="000000" w:sz="4"/>
              <w:left w:val="none" w:color="000000" w:sz="4"/>
              <w:bottom w:val="single" w:color="000000" w:sz="4"/>
              <w:right w:val="single" w:color="000000" w:sz="4"/>
            </w:tcBorders>
            <w:vAlign w:val="top"/>
          </w:tcPr>
          <w:p>
            <w:pPr>
              <w:jc w:val="center"/>
            </w:pPr>
          </w:p>
        </w:tc>
        <w:tc>
          <w:tcPr>
            <w:tcW w:type="dxa" w:w="1464"/>
            <w:tcBorders>
              <w:top w:val="none" w:color="000000" w:sz="4"/>
              <w:left w:val="none" w:color="000000" w:sz="4"/>
              <w:bottom w:val="single" w:color="000000" w:sz="4"/>
              <w:right w:val="single" w:color="000000" w:sz="4"/>
            </w:tcBorders>
            <w:vAlign w:val="top"/>
          </w:tcPr>
          <w:p>
            <w:pPr>
              <w:jc w:val="center"/>
            </w:pPr>
          </w:p>
        </w:tc>
        <w:tc>
          <w:tcPr>
            <w:tcW w:type="dxa" w:w="1286"/>
            <w:tcBorders>
              <w:top w:val="none" w:color="000000" w:sz="4"/>
              <w:left w:val="none" w:color="000000" w:sz="4"/>
              <w:bottom w:val="single" w:color="000000" w:sz="4"/>
              <w:right w:val="single" w:color="000000" w:sz="4"/>
            </w:tcBorders>
            <w:vAlign w:val="top"/>
          </w:tcPr>
          <w:p>
            <w:pPr>
              <w:jc w:val="center"/>
            </w:pPr>
          </w:p>
        </w:tc>
        <w:tc>
          <w:tcPr>
            <w:tcW w:type="dxa" w:w="2956"/>
            <w:tcBorders>
              <w:top w:val="none" w:color="000000" w:sz="4"/>
              <w:left w:val="none" w:color="000000" w:sz="4"/>
              <w:bottom w:val="single" w:color="000000" w:sz="4"/>
              <w:right w:val="single" w:color="000000" w:sz="4"/>
            </w:tcBorders>
            <w:vAlign w:val="top"/>
          </w:tcPr>
          <w:p>
            <w:pPr>
              <w:jc w:val="center"/>
            </w:pPr>
          </w:p>
        </w:tc>
      </w:tr>
      <w:tr>
        <w:tc>
          <w:tcPr>
            <w:tcW w:type="dxa" w:w="78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0"/>
            <w:tcBorders>
              <w:top w:val="none" w:color="000000" w:sz="4"/>
              <w:left w:val="none" w:color="000000" w:sz="4"/>
              <w:bottom w:val="single" w:color="000000" w:sz="4"/>
              <w:right w:val="single" w:color="000000" w:sz="4"/>
            </w:tcBorders>
            <w:vAlign w:val="top"/>
          </w:tcPr>
          <w:p>
            <w:pPr>
              <w:jc w:val="center"/>
            </w:pPr>
          </w:p>
        </w:tc>
        <w:tc>
          <w:tcPr>
            <w:tcW w:type="dxa" w:w="1464"/>
            <w:tcBorders>
              <w:top w:val="none" w:color="000000" w:sz="4"/>
              <w:left w:val="none" w:color="000000" w:sz="4"/>
              <w:bottom w:val="single" w:color="000000" w:sz="4"/>
              <w:right w:val="single" w:color="000000" w:sz="4"/>
            </w:tcBorders>
            <w:vAlign w:val="top"/>
          </w:tcPr>
          <w:p>
            <w:pPr>
              <w:jc w:val="center"/>
            </w:pPr>
          </w:p>
        </w:tc>
        <w:tc>
          <w:tcPr>
            <w:tcW w:type="dxa" w:w="1286"/>
            <w:tcBorders>
              <w:top w:val="none" w:color="000000" w:sz="4"/>
              <w:left w:val="none" w:color="000000" w:sz="4"/>
              <w:bottom w:val="single" w:color="000000" w:sz="4"/>
              <w:right w:val="single" w:color="000000" w:sz="4"/>
            </w:tcBorders>
            <w:vAlign w:val="top"/>
          </w:tcPr>
          <w:p>
            <w:pPr>
              <w:jc w:val="center"/>
            </w:pPr>
          </w:p>
        </w:tc>
        <w:tc>
          <w:tcPr>
            <w:tcW w:type="dxa" w:w="2956"/>
            <w:tcBorders>
              <w:top w:val="none" w:color="000000" w:sz="4"/>
              <w:left w:val="none" w:color="000000" w:sz="4"/>
              <w:bottom w:val="single" w:color="000000" w:sz="4"/>
              <w:right w:val="single" w:color="000000" w:sz="4"/>
            </w:tcBorders>
            <w:vAlign w:val="top"/>
          </w:tcPr>
          <w:p>
            <w:pPr>
              <w:jc w:val="center"/>
            </w:pPr>
          </w:p>
        </w:tc>
      </w:tr>
      <w:tr>
        <w:tc>
          <w:tcPr>
            <w:tcW w:type="dxa" w:w="780"/>
            <w:tcBorders>
              <w:top w:val="none" w:color="000000" w:sz="4"/>
              <w:left w:val="single" w:color="000000" w:sz="4"/>
              <w:bottom w:val="single" w:color="000000" w:sz="4"/>
              <w:right w:val="single" w:color="000000" w:sz="4"/>
            </w:tcBorders>
            <w:vAlign w:val="top"/>
          </w:tcPr>
          <w:p>
            <w:pPr>
              <w:jc w:val="center"/>
            </w:pPr>
            <w:r>
              <w:rPr>
                <w:sz w:val="21"/>
              </w:rPr>
              <w:t>……</w:t>
            </w:r>
          </w:p>
        </w:tc>
        <w:tc>
          <w:tcPr>
            <w:tcW w:type="dxa" w:w="1820"/>
            <w:tcBorders>
              <w:top w:val="none" w:color="000000" w:sz="4"/>
              <w:left w:val="none" w:color="000000" w:sz="4"/>
              <w:bottom w:val="single" w:color="000000" w:sz="4"/>
              <w:right w:val="single" w:color="000000" w:sz="4"/>
            </w:tcBorders>
            <w:vAlign w:val="top"/>
          </w:tcPr>
          <w:p>
            <w:pPr>
              <w:jc w:val="center"/>
            </w:pPr>
          </w:p>
        </w:tc>
        <w:tc>
          <w:tcPr>
            <w:tcW w:type="dxa" w:w="1464"/>
            <w:tcBorders>
              <w:top w:val="none" w:color="000000" w:sz="4"/>
              <w:left w:val="none" w:color="000000" w:sz="4"/>
              <w:bottom w:val="single" w:color="000000" w:sz="4"/>
              <w:right w:val="single" w:color="000000" w:sz="4"/>
            </w:tcBorders>
            <w:vAlign w:val="top"/>
          </w:tcPr>
          <w:p>
            <w:pPr>
              <w:jc w:val="center"/>
            </w:pPr>
          </w:p>
        </w:tc>
        <w:tc>
          <w:tcPr>
            <w:tcW w:type="dxa" w:w="1286"/>
            <w:tcBorders>
              <w:top w:val="none" w:color="000000" w:sz="4"/>
              <w:left w:val="none" w:color="000000" w:sz="4"/>
              <w:bottom w:val="single" w:color="000000" w:sz="4"/>
              <w:right w:val="single" w:color="000000" w:sz="4"/>
            </w:tcBorders>
            <w:vAlign w:val="top"/>
          </w:tcPr>
          <w:p>
            <w:pPr>
              <w:jc w:val="center"/>
            </w:pPr>
          </w:p>
        </w:tc>
        <w:tc>
          <w:tcPr>
            <w:tcW w:type="dxa" w:w="2956"/>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p>
    <w:p>
      <w:pPr>
        <w:ind w:firstLine="5520"/>
        <w:jc w:val="both"/>
      </w:pPr>
      <w:r>
        <w:rPr>
          <w:sz w:val="21"/>
        </w:rPr>
        <w:t>保修承担方：（盖章）</w:t>
      </w:r>
    </w:p>
    <w:p>
      <w:pPr>
        <w:ind w:firstLine="5520"/>
        <w:jc w:val="both"/>
      </w:pPr>
      <w:r>
        <w:rPr>
          <w:sz w:val="21"/>
        </w:rPr>
        <w:t>乙方：（盖章）</w:t>
      </w:r>
    </w:p>
    <w:p>
      <w:pPr>
        <w:ind w:firstLine="5520"/>
        <w:jc w:val="both"/>
      </w:pPr>
      <w:r>
        <w:rPr>
          <w:sz w:val="21"/>
        </w:rPr>
        <w:t>日期：</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440001-2023-06833</w:t>
      </w:r>
    </w:p>
    <w:p>
      <w:pPr>
        <w:jc w:val="center"/>
      </w:pPr>
      <w:r>
        <w:rPr>
          <w:b/>
          <w:sz w:val="24"/>
        </w:rPr>
        <w:t>采购项目编号：</w:t>
      </w:r>
      <w:r>
        <w:rPr>
          <w:b/>
          <w:sz w:val="24"/>
        </w:rPr>
        <w:t>0809-2341GDG12006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广东省体育彩票中心终端机采购项目</w:t>
      </w:r>
      <w:r>
        <w:rPr>
          <w:u w:val="single"/>
        </w:rPr>
        <w:t>”</w:t>
      </w:r>
      <w:r>
        <w:rPr/>
        <w:t>项目的招标[采购项目编号为：</w:t>
      </w:r>
      <w:r>
        <w:rPr>
          <w:u w:val="single"/>
        </w:rPr>
        <w:t>0809-2341GDG12006</w:t>
      </w:r>
      <w:r>
        <w:rPr/>
        <w:t>]，我方愿参与投标。</w:t>
      </w:r>
    </w:p>
    <w:p>
      <w:pPr>
        <w:ind w:firstLine="480"/>
      </w:pPr>
      <w:r>
        <w:rPr/>
        <w:t>我方确认收到贵方提供的</w:t>
      </w:r>
      <w:r>
        <w:rPr>
          <w:u w:val="single"/>
        </w:rPr>
        <w:t>“</w:t>
      </w:r>
      <w:r>
        <w:rPr>
          <w:u w:val="single"/>
        </w:rPr>
        <w:t>广东省体育彩票中心终端机采购项目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广东省体育彩票中心终端机采购项目</w:t>
      </w:r>
      <w:r>
        <w:rPr/>
        <w:t>”项目采购[采购项目编号为</w:t>
      </w:r>
      <w:r>
        <w:rPr/>
        <w:t>0809-2341GDG12006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广东省体育彩票中心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广东省体育彩票中心终端机采购项目</w:t>
      </w:r>
      <w:r>
        <w:rPr/>
        <w:t>招标中获中标（采购项目编号：</w:t>
      </w:r>
      <w:r>
        <w:rPr/>
        <w:t>0809-2341GDG12006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广东省体育彩票中心终端机采购项目</w:t>
      </w:r>
      <w:r>
        <w:rPr/>
        <w:t>”项目（采购项目编号：</w:t>
      </w:r>
      <w:r>
        <w:rPr/>
        <w:t>0809-2341GDG12006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