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0"/>
          <w:szCs w:val="24"/>
        </w:rPr>
      </w:pPr>
      <w:r>
        <w:rPr>
          <w:rFonts w:hint="eastAsia"/>
          <w:b/>
          <w:bCs/>
          <w:sz w:val="40"/>
          <w:szCs w:val="24"/>
        </w:rPr>
        <w:t>采购需求基本内容</w:t>
      </w:r>
    </w:p>
    <w:p>
      <w:pPr>
        <w:rPr>
          <w:b/>
          <w:bCs/>
          <w:sz w:val="24"/>
          <w:szCs w:val="24"/>
        </w:rPr>
      </w:pPr>
    </w:p>
    <w:p>
      <w:pPr>
        <w:rPr>
          <w:b/>
          <w:bCs/>
          <w:color w:val="FF0000"/>
          <w:sz w:val="24"/>
          <w:szCs w:val="24"/>
        </w:rPr>
      </w:pPr>
      <w:r>
        <w:rPr>
          <w:rFonts w:hint="eastAsia"/>
          <w:b/>
          <w:bCs/>
          <w:color w:val="FF0000"/>
          <w:sz w:val="24"/>
          <w:szCs w:val="24"/>
        </w:rPr>
        <w:t>一、项目预算：</w:t>
      </w:r>
      <w:r>
        <w:rPr>
          <w:rFonts w:hint="eastAsia"/>
          <w:b/>
          <w:bCs/>
          <w:color w:val="FF0000"/>
          <w:sz w:val="24"/>
          <w:szCs w:val="24"/>
          <w:lang w:val="en-US" w:eastAsia="zh-CN"/>
        </w:rPr>
        <w:t>45</w:t>
      </w:r>
      <w:r>
        <w:rPr>
          <w:rFonts w:hint="eastAsia"/>
          <w:b/>
          <w:bCs/>
          <w:color w:val="FF0000"/>
          <w:sz w:val="24"/>
          <w:szCs w:val="24"/>
        </w:rPr>
        <w:t>万元</w:t>
      </w:r>
    </w:p>
    <w:p>
      <w:pPr>
        <w:rPr>
          <w:rFonts w:hint="eastAsia"/>
          <w:b/>
          <w:bCs/>
          <w:sz w:val="24"/>
          <w:szCs w:val="24"/>
        </w:rPr>
      </w:pPr>
      <w:r>
        <w:rPr>
          <w:rFonts w:hint="eastAsia"/>
          <w:b/>
          <w:bCs/>
          <w:sz w:val="24"/>
          <w:szCs w:val="24"/>
        </w:rPr>
        <w:t>二、技术参数要求</w:t>
      </w:r>
    </w:p>
    <w:tbl>
      <w:tblPr>
        <w:tblStyle w:val="7"/>
        <w:tblW w:w="5512"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426"/>
        <w:gridCol w:w="1330"/>
        <w:gridCol w:w="7022"/>
        <w:gridCol w:w="6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208"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lang w:val="zh-CN"/>
              </w:rPr>
              <w:t>序号</w:t>
            </w:r>
          </w:p>
        </w:tc>
        <w:tc>
          <w:tcPr>
            <w:tcW w:w="714" w:type="pct"/>
            <w:noWrap w:val="0"/>
            <w:vAlign w:val="top"/>
          </w:tcPr>
          <w:p>
            <w:pPr>
              <w:jc w:val="left"/>
              <w:rPr>
                <w:rFonts w:hint="eastAsia" w:ascii="宋体" w:hAnsi="宋体" w:eastAsia="宋体" w:cs="宋体"/>
                <w:b w:val="0"/>
                <w:bCs w:val="0"/>
                <w:sz w:val="21"/>
                <w:szCs w:val="21"/>
                <w:lang w:val="zh-CN"/>
              </w:rPr>
            </w:pPr>
            <w:r>
              <w:rPr>
                <w:rFonts w:hint="eastAsia" w:ascii="宋体" w:hAnsi="宋体" w:eastAsia="宋体" w:cs="宋体"/>
                <w:lang w:val="zh-CN"/>
              </w:rPr>
              <w:t>设备及主要配件名称</w:t>
            </w:r>
          </w:p>
        </w:tc>
        <w:tc>
          <w:tcPr>
            <w:tcW w:w="3742"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lang w:val="zh-CN"/>
              </w:rPr>
              <w:t>技术指标</w:t>
            </w:r>
          </w:p>
        </w:tc>
        <w:tc>
          <w:tcPr>
            <w:tcW w:w="334"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lang w:val="zh-CN"/>
              </w:rPr>
              <w:t>数量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970" w:hRule="atLeast"/>
          <w:jc w:val="center"/>
        </w:trPr>
        <w:tc>
          <w:tcPr>
            <w:tcW w:w="208"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c>
          <w:tcPr>
            <w:tcW w:w="714" w:type="pct"/>
            <w:noWrap w:val="0"/>
            <w:vAlign w:val="top"/>
          </w:tcPr>
          <w:p>
            <w:pPr>
              <w:jc w:val="left"/>
              <w:rPr>
                <w:rFonts w:hint="eastAsia" w:ascii="宋体" w:hAnsi="宋体" w:eastAsia="宋体" w:cs="宋体"/>
                <w:b w:val="0"/>
                <w:bCs w:val="0"/>
                <w:sz w:val="21"/>
                <w:szCs w:val="21"/>
              </w:rPr>
            </w:pPr>
            <w:r>
              <w:rPr>
                <w:rFonts w:hint="eastAsia" w:ascii="宋体" w:hAnsi="宋体" w:eastAsia="宋体" w:cs="宋体"/>
              </w:rPr>
              <w:t>脑部与区域血氧检测仪</w:t>
            </w:r>
          </w:p>
        </w:tc>
        <w:tc>
          <w:tcPr>
            <w:tcW w:w="3742" w:type="pct"/>
            <w:noWrap w:val="0"/>
            <w:vAlign w:val="top"/>
          </w:tcPr>
          <w:p>
            <w:pPr>
              <w:rPr>
                <w:rFonts w:hint="eastAsia" w:ascii="宋体" w:hAnsi="宋体" w:eastAsia="宋体" w:cs="宋体"/>
                <w:b w:val="0"/>
                <w:bCs w:val="0"/>
                <w:sz w:val="21"/>
                <w:szCs w:val="21"/>
              </w:rPr>
            </w:pPr>
            <w:r>
              <w:rPr>
                <w:rFonts w:hint="eastAsia" w:ascii="宋体" w:hAnsi="宋体" w:eastAsia="宋体" w:cs="宋体"/>
                <w:b w:val="0"/>
                <w:bCs w:val="0"/>
                <w:sz w:val="21"/>
                <w:szCs w:val="21"/>
              </w:rPr>
              <w:t>一、功能需求：</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1.▲脑部血氧监测：利用近红外光 (NIRS)技术，穿透患者颅骨，监测深层脑组织的氧供需平衡状态</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2.▲区域血氧监测：除了脑部，该仪器还能监测其他区域的血氧饱和度，例如下肢、肾区、肠系膜等，以便评估局部氧供需情况。</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3.监测和记录功能：仪器能够实时监测血氧饱和度的变化，并记录下来以供后续分析和诊断使用。</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4.▲数据显示和分析：该仪器能够将监测到的数据以直观的方式显示出来，包括 脑部/区域血氧饱和度、基线值、AUC、SSI信号强度指示、时间标志线、趋势线平均值、数字代码等，并提供数据分析功能，帮助医生进行判断和诊断。</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5.警报功能：当血氧饱和度超出预设范围时，仪器能够及时发出警报，以便医务人员采取相应措施。</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6.移动便携性：仪器设计轻便且易于携带，使得医护人员可以随时进行监测，适用于各种医疗场景。</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7.▲数据传输和存储：仪器具备数据传输和存储功能，可以将监测数据通过USB导出，传输到电脑存档，同时具备原厂专业分析软件对数据可进一步分析和处理。</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二、技术参数：</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1.测量参数(生理指标)</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1.1局部组织血氧饱和度 (TOI)</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1.2局部组织血红蛋白浓度指数 (THI)</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1.3局部组织中氧合血红蛋白浓度相对测量初始值的变化量(△ CHbO2)</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1.4局部组织中还原血红蛋白浓度相对测量初始值的变化量(△CHb)</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1.5局部组织中总血红蛋白浓度相对测量初始值的变化量(△CtHb)</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2.脑/组织氧饱和度测量范围：15%-95%</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▲3.脑/组织氧饱和度精准度：与颈静脉球氧饱和度平均值的相关系数≥90%土10%</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★4.测量通道数：最大可选配四通道(注：每个通道均可用于监测脑氧或组织氧)</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5. 售后服务：售后服务质量有保障；能保证耗材供应(如一次性组织血氧探头可选择多种规格);常规5年质保(包括可重复使用的组织血氧探头);售后响应及时，最迟48 小时内到位。</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▲6. 同时具有CE认证和FDA认证。</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 7事件标记：任意时间都可进行标记，事件按照应用场景分为手术室，ICU,血管 ，NICU (新生儿重症监护病房)4个类别，每个类别有40种可选项。标记的事件代码将出现在趋势表格屏幕中的标志事件列，数字输出或USB 输出的数据中。</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三、配置需求：</w:t>
            </w:r>
          </w:p>
          <w:tbl>
            <w:tblPr>
              <w:tblStyle w:val="1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86"/>
              <w:gridCol w:w="535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05"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序号</w:t>
                  </w:r>
                </w:p>
              </w:tc>
              <w:tc>
                <w:tcPr>
                  <w:tcW w:w="3941"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配置规格</w:t>
                  </w:r>
                </w:p>
              </w:tc>
              <w:tc>
                <w:tcPr>
                  <w:tcW w:w="552"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505"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c>
                <w:tcPr>
                  <w:tcW w:w="3941"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脑部与区域血氧检测仪主机</w:t>
                  </w:r>
                </w:p>
              </w:tc>
              <w:tc>
                <w:tcPr>
                  <w:tcW w:w="552"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505"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2</w:t>
                  </w:r>
                </w:p>
              </w:tc>
              <w:tc>
                <w:tcPr>
                  <w:tcW w:w="3941"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前置放大器</w:t>
                  </w:r>
                </w:p>
              </w:tc>
              <w:tc>
                <w:tcPr>
                  <w:tcW w:w="552"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505"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3</w:t>
                  </w:r>
                </w:p>
              </w:tc>
              <w:tc>
                <w:tcPr>
                  <w:tcW w:w="3941"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可重复使用线缆</w:t>
                  </w:r>
                  <w:bookmarkStart w:id="0" w:name="_GoBack"/>
                  <w:bookmarkEnd w:id="0"/>
                </w:p>
              </w:tc>
              <w:tc>
                <w:tcPr>
                  <w:tcW w:w="552"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5"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4</w:t>
                  </w:r>
                </w:p>
              </w:tc>
              <w:tc>
                <w:tcPr>
                  <w:tcW w:w="3941"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脑部与区域血氧传感器(成人)(可重复使用)</w:t>
                  </w:r>
                </w:p>
              </w:tc>
              <w:tc>
                <w:tcPr>
                  <w:tcW w:w="552"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5" w:type="pct"/>
                  <w:vAlign w:val="top"/>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w:t>
                  </w:r>
                </w:p>
              </w:tc>
              <w:tc>
                <w:tcPr>
                  <w:tcW w:w="3941"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脑部与区域血氧传感器(儿童)可重复使用</w:t>
                  </w:r>
                </w:p>
              </w:tc>
              <w:tc>
                <w:tcPr>
                  <w:tcW w:w="552"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5"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6</w:t>
                  </w:r>
                </w:p>
              </w:tc>
              <w:tc>
                <w:tcPr>
                  <w:tcW w:w="3941"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电源线</w:t>
                  </w:r>
                </w:p>
              </w:tc>
              <w:tc>
                <w:tcPr>
                  <w:tcW w:w="552"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5"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7</w:t>
                  </w:r>
                </w:p>
              </w:tc>
              <w:tc>
                <w:tcPr>
                  <w:tcW w:w="3941"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数据存储设备(如U盘)</w:t>
                  </w:r>
                </w:p>
              </w:tc>
              <w:tc>
                <w:tcPr>
                  <w:tcW w:w="552"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5"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8</w:t>
                  </w:r>
                </w:p>
              </w:tc>
              <w:tc>
                <w:tcPr>
                  <w:tcW w:w="3941"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使用说明书</w:t>
                  </w:r>
                </w:p>
              </w:tc>
              <w:tc>
                <w:tcPr>
                  <w:tcW w:w="552"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505"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9</w:t>
                  </w:r>
                </w:p>
              </w:tc>
              <w:tc>
                <w:tcPr>
                  <w:tcW w:w="3941"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驱动光盘</w:t>
                  </w:r>
                </w:p>
              </w:tc>
              <w:tc>
                <w:tcPr>
                  <w:tcW w:w="552" w:type="pct"/>
                  <w:vAlign w:val="top"/>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r>
          </w:tbl>
          <w:p>
            <w:pPr>
              <w:rPr>
                <w:rFonts w:hint="eastAsia" w:ascii="宋体" w:hAnsi="宋体" w:eastAsia="宋体" w:cs="宋体"/>
                <w:b w:val="0"/>
                <w:bCs w:val="0"/>
                <w:sz w:val="21"/>
                <w:szCs w:val="21"/>
              </w:rPr>
            </w:pPr>
          </w:p>
        </w:tc>
        <w:tc>
          <w:tcPr>
            <w:tcW w:w="334" w:type="pct"/>
            <w:noWrap w:val="0"/>
            <w:vAlign w:val="top"/>
          </w:tcPr>
          <w:p>
            <w:pPr>
              <w:jc w:val="lef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1台</w:t>
            </w:r>
          </w:p>
        </w:tc>
      </w:tr>
    </w:tbl>
    <w:p>
      <w:pPr>
        <w:rPr>
          <w:rFonts w:hint="eastAsia"/>
          <w:b/>
          <w:bCs/>
          <w:sz w:val="24"/>
          <w:szCs w:val="24"/>
        </w:rPr>
      </w:pPr>
    </w:p>
    <w:p>
      <w:pPr>
        <w:rPr>
          <w:b/>
          <w:bCs/>
          <w:sz w:val="24"/>
          <w:szCs w:val="24"/>
        </w:rPr>
      </w:pPr>
      <w:r>
        <w:rPr>
          <w:rFonts w:hint="eastAsia"/>
          <w:b/>
          <w:bCs/>
          <w:sz w:val="24"/>
          <w:szCs w:val="24"/>
        </w:rPr>
        <w:t>二、交货期</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合同签订后</w:t>
      </w:r>
      <w:r>
        <w:rPr>
          <w:rFonts w:hint="eastAsia" w:ascii="宋体" w:hAnsi="宋体" w:cs="宋体"/>
          <w:kern w:val="0"/>
          <w:lang w:val="en-US" w:eastAsia="zh-CN"/>
        </w:rPr>
        <w:t>30</w:t>
      </w:r>
      <w:r>
        <w:rPr>
          <w:rFonts w:hint="eastAsia" w:ascii="宋体" w:hAnsi="宋体" w:cs="宋体"/>
          <w:kern w:val="0"/>
        </w:rPr>
        <w:t>日内完成设备及系统安装、调试、测试、培训、验收。</w:t>
      </w:r>
    </w:p>
    <w:p/>
    <w:p>
      <w:pPr>
        <w:rPr>
          <w:b/>
          <w:bCs/>
          <w:sz w:val="24"/>
          <w:szCs w:val="24"/>
        </w:rPr>
      </w:pPr>
      <w:r>
        <w:rPr>
          <w:rFonts w:hint="eastAsia"/>
          <w:b/>
          <w:bCs/>
          <w:sz w:val="24"/>
          <w:szCs w:val="24"/>
        </w:rPr>
        <w:t>三、付款方式</w:t>
      </w:r>
    </w:p>
    <w:p>
      <w:pPr>
        <w:widowControl/>
        <w:shd w:val="clear" w:color="auto" w:fill="FFFFFF"/>
        <w:spacing w:line="360" w:lineRule="auto"/>
        <w:ind w:firstLine="480"/>
        <w:textAlignment w:val="baseline"/>
        <w:rPr>
          <w:rFonts w:ascii="宋体" w:hAnsi="宋体"/>
          <w:highlight w:val="yellow"/>
        </w:rPr>
      </w:pPr>
      <w:r>
        <w:rPr>
          <w:rFonts w:hint="eastAsia" w:ascii="宋体" w:hAnsi="宋体"/>
          <w:highlight w:val="yellow"/>
          <w:lang w:val="en-US" w:eastAsia="zh-CN"/>
        </w:rPr>
        <w:t>按照广州医科大学附属市八医院</w:t>
      </w:r>
      <w:r>
        <w:rPr>
          <w:rFonts w:hint="eastAsia" w:ascii="宋体" w:hAnsi="宋体"/>
          <w:highlight w:val="yellow"/>
        </w:rPr>
        <w:t>规定</w:t>
      </w:r>
    </w:p>
    <w:p/>
    <w:p>
      <w:pPr>
        <w:rPr>
          <w:b/>
          <w:bCs/>
          <w:sz w:val="24"/>
          <w:szCs w:val="24"/>
        </w:rPr>
      </w:pPr>
      <w:r>
        <w:rPr>
          <w:rFonts w:hint="eastAsia"/>
          <w:b/>
          <w:bCs/>
          <w:sz w:val="24"/>
          <w:szCs w:val="24"/>
        </w:rPr>
        <w:t>四、</w:t>
      </w:r>
      <w:r>
        <w:rPr>
          <w:rFonts w:hint="eastAsia"/>
          <w:b/>
          <w:bCs/>
          <w:sz w:val="24"/>
          <w:szCs w:val="24"/>
          <w:lang w:val="en-US" w:eastAsia="zh-CN"/>
        </w:rPr>
        <w:t>资格</w:t>
      </w:r>
      <w:r>
        <w:rPr>
          <w:rFonts w:hint="eastAsia"/>
          <w:b/>
          <w:bCs/>
          <w:sz w:val="24"/>
          <w:szCs w:val="24"/>
        </w:rPr>
        <w:t>要求</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w:t>
      </w:r>
      <w:r>
        <w:rPr>
          <w:rFonts w:hint="eastAsia" w:ascii="宋体" w:hAnsi="宋体"/>
        </w:rPr>
        <w:t>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2）具有良好的商业信誉和健全的财务会计制度：提供2021年度财务状况报告或基本开户行出具的资信证明，或</w:t>
      </w:r>
      <w:r>
        <w:rPr>
          <w:rFonts w:hint="eastAsia" w:ascii="宋体" w:hAnsi="宋体" w:cs="宋体"/>
        </w:rPr>
        <w:t>最近一期财务报表（适用在上一年度或本财务年度成立的法人或其他组织）</w:t>
      </w:r>
      <w:r>
        <w:rPr>
          <w:rFonts w:hint="eastAsia" w:ascii="宋体" w:hAnsi="宋体" w:cs="宋体"/>
          <w:kern w:val="0"/>
        </w:rPr>
        <w:t>，或</w:t>
      </w:r>
      <w:r>
        <w:rPr>
          <w:rFonts w:hint="eastAsia" w:ascii="宋体" w:hAnsi="宋体"/>
        </w:rPr>
        <w:t>人民银行出具的个人信用报告（适用于自然人）</w:t>
      </w:r>
      <w:r>
        <w:rPr>
          <w:rFonts w:hint="eastAsia" w:ascii="宋体" w:hAnsi="宋体" w:cs="宋体"/>
          <w:kern w:val="0"/>
        </w:rPr>
        <w:t>。</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3）有依法缴纳税收和社会保障资金的良好记录：提供投标截止日前6个月内任意1个月依法缴纳税收和社会保障资金的相关材料。如依法免税或不需要缴纳社会保障资金的，提供相应证明材料。</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4）具有履行合同所必须的设备和专业技术能力：按投标文件格式填报设备及专业技术能力情况或提供《供应商资格声明函》。</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5）参加采购活动前三年内，在经营活动中没有重大违法记录：提供《供应商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 号）执行））</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6）信用记录：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7）供应商必须符合法律、行政法规规定的其他条件：单位负责人为同一人或者存在直接控股、管理关系的不同供应商，不得同时参加本采购项目（采购包）投标。为本项目提供整体设计、规范编制或者项目管理、监理、检测等服务的供应商，不得再参与本项目投标。</w:t>
      </w:r>
      <w:r>
        <w:rPr>
          <w:rFonts w:hint="eastAsia" w:ascii="宋体" w:hAnsi="宋体"/>
        </w:rPr>
        <w:t>（提供《供应商资格声明函》</w:t>
      </w:r>
      <w:r>
        <w:rPr>
          <w:rFonts w:hint="eastAsia" w:ascii="宋体" w:hAnsi="宋体" w:cs="宋体"/>
          <w:kern w:val="0"/>
        </w:rPr>
        <w:t>。</w:t>
      </w:r>
    </w:p>
    <w:p>
      <w:pPr>
        <w:rPr>
          <w:b/>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ZmM4MjZlZTViMDg2ZGI4NGEyYzU2NWIyOTkwZGYifQ=="/>
  </w:docVars>
  <w:rsids>
    <w:rsidRoot w:val="00FC210F"/>
    <w:rsid w:val="00071885"/>
    <w:rsid w:val="00076AEA"/>
    <w:rsid w:val="000B0124"/>
    <w:rsid w:val="000B089F"/>
    <w:rsid w:val="000C3082"/>
    <w:rsid w:val="000E1F14"/>
    <w:rsid w:val="00110681"/>
    <w:rsid w:val="001262D7"/>
    <w:rsid w:val="00130B56"/>
    <w:rsid w:val="00193A2F"/>
    <w:rsid w:val="001A6C3F"/>
    <w:rsid w:val="001F0322"/>
    <w:rsid w:val="00213510"/>
    <w:rsid w:val="002173A3"/>
    <w:rsid w:val="002339A9"/>
    <w:rsid w:val="002C3A6D"/>
    <w:rsid w:val="0031757A"/>
    <w:rsid w:val="003530B7"/>
    <w:rsid w:val="003710F3"/>
    <w:rsid w:val="003B41D4"/>
    <w:rsid w:val="0040691E"/>
    <w:rsid w:val="00462F84"/>
    <w:rsid w:val="00495E00"/>
    <w:rsid w:val="00496DAB"/>
    <w:rsid w:val="004B57CD"/>
    <w:rsid w:val="004D1025"/>
    <w:rsid w:val="005039C5"/>
    <w:rsid w:val="00511E2C"/>
    <w:rsid w:val="00536DA3"/>
    <w:rsid w:val="00555AE5"/>
    <w:rsid w:val="005A1B1F"/>
    <w:rsid w:val="005E541E"/>
    <w:rsid w:val="00623297"/>
    <w:rsid w:val="006520C5"/>
    <w:rsid w:val="0065714A"/>
    <w:rsid w:val="00673D28"/>
    <w:rsid w:val="006A26F4"/>
    <w:rsid w:val="006A4A7F"/>
    <w:rsid w:val="006A70FF"/>
    <w:rsid w:val="006B1606"/>
    <w:rsid w:val="006C6649"/>
    <w:rsid w:val="006D6DD4"/>
    <w:rsid w:val="006F3DBB"/>
    <w:rsid w:val="00707DEA"/>
    <w:rsid w:val="0074730A"/>
    <w:rsid w:val="007860E3"/>
    <w:rsid w:val="007926FA"/>
    <w:rsid w:val="008278C5"/>
    <w:rsid w:val="0083102D"/>
    <w:rsid w:val="0086573B"/>
    <w:rsid w:val="008A7245"/>
    <w:rsid w:val="008B01E7"/>
    <w:rsid w:val="008B449E"/>
    <w:rsid w:val="008D73F6"/>
    <w:rsid w:val="008E27F7"/>
    <w:rsid w:val="00900FBB"/>
    <w:rsid w:val="00920AD9"/>
    <w:rsid w:val="00933893"/>
    <w:rsid w:val="00934B8C"/>
    <w:rsid w:val="00965B5D"/>
    <w:rsid w:val="00980BCA"/>
    <w:rsid w:val="009A3355"/>
    <w:rsid w:val="009B65A7"/>
    <w:rsid w:val="009E6F76"/>
    <w:rsid w:val="00A06454"/>
    <w:rsid w:val="00A9391F"/>
    <w:rsid w:val="00AC29DF"/>
    <w:rsid w:val="00AD2E0B"/>
    <w:rsid w:val="00AE4172"/>
    <w:rsid w:val="00AE7112"/>
    <w:rsid w:val="00B3445E"/>
    <w:rsid w:val="00B80E1A"/>
    <w:rsid w:val="00BE1735"/>
    <w:rsid w:val="00C34C9B"/>
    <w:rsid w:val="00C405BC"/>
    <w:rsid w:val="00C614D0"/>
    <w:rsid w:val="00CE5F31"/>
    <w:rsid w:val="00CE64A0"/>
    <w:rsid w:val="00D008DA"/>
    <w:rsid w:val="00D7409D"/>
    <w:rsid w:val="00D7502A"/>
    <w:rsid w:val="00D943F9"/>
    <w:rsid w:val="00DE6F24"/>
    <w:rsid w:val="00E60740"/>
    <w:rsid w:val="00E7065A"/>
    <w:rsid w:val="00EB23B5"/>
    <w:rsid w:val="00EC094C"/>
    <w:rsid w:val="00EE0E88"/>
    <w:rsid w:val="00F000B4"/>
    <w:rsid w:val="00F3016F"/>
    <w:rsid w:val="00F3146C"/>
    <w:rsid w:val="00F605C9"/>
    <w:rsid w:val="00F86549"/>
    <w:rsid w:val="00F961CC"/>
    <w:rsid w:val="00FC210F"/>
    <w:rsid w:val="00FD4632"/>
    <w:rsid w:val="00FD7211"/>
    <w:rsid w:val="00FE6E3E"/>
    <w:rsid w:val="013C0E8B"/>
    <w:rsid w:val="06830E67"/>
    <w:rsid w:val="09EF1EE4"/>
    <w:rsid w:val="0C2A3F33"/>
    <w:rsid w:val="14A23938"/>
    <w:rsid w:val="16E84360"/>
    <w:rsid w:val="1F3F789D"/>
    <w:rsid w:val="255161E2"/>
    <w:rsid w:val="2DCF63A8"/>
    <w:rsid w:val="2FF40230"/>
    <w:rsid w:val="339F159F"/>
    <w:rsid w:val="35D6167F"/>
    <w:rsid w:val="36145188"/>
    <w:rsid w:val="3AAE2954"/>
    <w:rsid w:val="40005CEB"/>
    <w:rsid w:val="417E3DFD"/>
    <w:rsid w:val="451E0AF1"/>
    <w:rsid w:val="4B7C1ABB"/>
    <w:rsid w:val="4EFF657E"/>
    <w:rsid w:val="52B7716F"/>
    <w:rsid w:val="55AD1817"/>
    <w:rsid w:val="586A4CC3"/>
    <w:rsid w:val="59F34F35"/>
    <w:rsid w:val="640B4E48"/>
    <w:rsid w:val="67AC5D5D"/>
    <w:rsid w:val="6ACF3ED3"/>
    <w:rsid w:val="6EB425CF"/>
    <w:rsid w:val="7B930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rPr>
      <w:rFonts w:asciiTheme="minorHAnsi" w:hAnsiTheme="minorHAnsi" w:eastAsiaTheme="minorEastAsia" w:cstheme="minorBidi"/>
      <w:szCs w:val="22"/>
    </w:r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rFonts w:ascii="Times New Roman" w:hAnsi="Times New Roman" w:eastAsia="宋体" w:cs="Times New Roman"/>
      <w:b/>
      <w:bCs/>
      <w:szCs w:val="21"/>
    </w:rPr>
  </w:style>
  <w:style w:type="table" w:styleId="8">
    <w:name w:val="Table Grid"/>
    <w:basedOn w:val="7"/>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文字 Char"/>
    <w:basedOn w:val="9"/>
    <w:link w:val="2"/>
    <w:semiHidden/>
    <w:qFormat/>
    <w:uiPriority w:val="99"/>
    <w:rPr>
      <w:kern w:val="2"/>
      <w:sz w:val="21"/>
      <w:szCs w:val="22"/>
    </w:rPr>
  </w:style>
  <w:style w:type="character" w:customStyle="1" w:styleId="14">
    <w:name w:val="批注框文本 Char"/>
    <w:basedOn w:val="9"/>
    <w:link w:val="3"/>
    <w:semiHidden/>
    <w:qFormat/>
    <w:uiPriority w:val="99"/>
    <w:rPr>
      <w:rFonts w:ascii="Times New Roman" w:hAnsi="Times New Roman" w:eastAsia="宋体" w:cs="Times New Roman"/>
      <w:kern w:val="2"/>
      <w:sz w:val="18"/>
      <w:szCs w:val="18"/>
    </w:rPr>
  </w:style>
  <w:style w:type="character" w:customStyle="1" w:styleId="15">
    <w:name w:val="批注主题 Char"/>
    <w:basedOn w:val="13"/>
    <w:link w:val="6"/>
    <w:semiHidden/>
    <w:qFormat/>
    <w:uiPriority w:val="99"/>
    <w:rPr>
      <w:rFonts w:ascii="Times New Roman" w:hAnsi="Times New Roman" w:eastAsia="宋体" w:cs="Times New Roman"/>
      <w:b/>
      <w:bCs/>
      <w:kern w:val="2"/>
      <w:sz w:val="21"/>
      <w:szCs w:val="21"/>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3915</Words>
  <Characters>4817</Characters>
  <Lines>36</Lines>
  <Paragraphs>10</Paragraphs>
  <TotalTime>1</TotalTime>
  <ScaleCrop>false</ScaleCrop>
  <LinksUpToDate>false</LinksUpToDate>
  <CharactersWithSpaces>4924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2022-10-13T07:47:00Z</dcterms:created>
  <dc:creator>hl</dc:creator>
  <cp:lastModifiedBy>AC</cp:lastModifiedBy>
  <dcterms:modified xsi:type="dcterms:W3CDTF">2023-09-14T02:56:03Z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F04EC6BFBB0245DA9EE054ADC9BD4F29</vt:lpwstr>
  </property>
</Properties>
</file>