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440606-2023-01412</w:t>
      </w:r>
    </w:p>
    <w:p>
      <w:pPr>
        <w:jc w:val="center"/>
      </w:pPr>
      <w:r>
        <w:rPr>
          <w:b/>
          <w:sz w:val="24"/>
        </w:rPr>
        <w:t>采购项目编号：</w:t>
      </w:r>
      <w:r>
        <w:rPr>
          <w:b/>
          <w:sz w:val="24"/>
        </w:rPr>
        <w:t>440606-2023-01412</w:t>
      </w:r>
    </w:p>
    <w:p>
      <w:pPr>
        <w:jc w:val="center"/>
      </w:pPr>
      <w:r>
        <w:rPr>
          <w:b/>
          <w:sz w:val="24"/>
        </w:rPr>
        <w:t>项目名称：</w:t>
      </w:r>
      <w:r>
        <w:rPr>
          <w:b/>
          <w:sz w:val="24"/>
        </w:rPr>
        <w:t>容桂街道2023年3月-2024年2月容桂交通灯维修保养项目</w:t>
      </w:r>
    </w:p>
    <w:p>
      <w:pPr>
        <w:jc w:val="center"/>
      </w:pPr>
      <w:r>
        <w:rPr>
          <w:b/>
          <w:sz w:val="24"/>
        </w:rPr>
        <w:t>采购人：</w:t>
      </w:r>
      <w:r>
        <w:rPr>
          <w:b/>
          <w:sz w:val="24"/>
        </w:rPr>
        <w:t>佛山市顺德区容桂街道综合行政执法办公室</w:t>
      </w:r>
    </w:p>
    <w:p>
      <w:pPr>
        <w:jc w:val="center"/>
      </w:pPr>
      <w:r>
        <w:rPr>
          <w:b/>
          <w:sz w:val="24"/>
        </w:rPr>
        <w:t>采购代理机构：</w:t>
      </w:r>
      <w:r>
        <w:rPr>
          <w:b/>
          <w:sz w:val="24"/>
        </w:rPr>
        <w:t>广东华伦招标有限公司</w:t>
      </w:r>
    </w:p>
    <w:p>
      <w:pPr>
        <w:ind w:firstLine="480"/>
      </w:pPr>
    </w:p>
    <w:p>
      <w:r>
        <w:rPr/>
        <w:t xml:space="preserve"> </w:t>
      </w:r>
    </w:p>
    <w:p/>
    <w:p>
      <w:pPr>
        <w:jc w:val="center"/>
      </w:pPr>
      <w:r>
        <w:rPr>
          <w:b/>
          <w:sz w:val="36"/>
        </w:rPr>
        <w:t>第一章 磋商邀请</w:t>
      </w:r>
    </w:p>
    <w:p>
      <w:pPr>
        <w:ind w:firstLine="480"/>
      </w:pPr>
      <w:r>
        <w:rPr/>
        <w:t>广东华伦招标有限公司</w:t>
      </w:r>
      <w:r>
        <w:rPr/>
        <w:t>受</w:t>
      </w:r>
      <w:r>
        <w:rPr/>
        <w:t>佛山市顺德区容桂街道综合行政执法办公室</w:t>
      </w:r>
      <w:r>
        <w:rPr/>
        <w:t>的委托，采用</w:t>
      </w:r>
      <w:r>
        <w:rPr/>
        <w:t>竞争性磋商</w:t>
      </w:r>
      <w:r>
        <w:rPr/>
        <w:t>方式组织采购</w:t>
      </w:r>
      <w:r>
        <w:rPr/>
        <w:t>容桂街道2023年3月-2024年2月容桂交通灯维修保养项目</w:t>
      </w:r>
      <w:r>
        <w:rPr/>
        <w:t>。欢迎符合资格条件的供应商参加。</w:t>
      </w:r>
    </w:p>
    <w:p>
      <w:r>
        <w:rPr>
          <w:b/>
          <w:sz w:val="28"/>
        </w:rPr>
        <w:t>一.项目概述</w:t>
      </w:r>
    </w:p>
    <w:p>
      <w:r>
        <w:rPr>
          <w:b/>
          <w:sz w:val="24"/>
        </w:rPr>
        <w:t>1.名称与编号</w:t>
      </w:r>
    </w:p>
    <w:p>
      <w:pPr>
        <w:ind w:firstLine="480"/>
      </w:pPr>
      <w:r>
        <w:rPr/>
        <w:t>采购项目名称：</w:t>
      </w:r>
      <w:r>
        <w:rPr/>
        <w:t>容桂街道2023年3月-2024年2月容桂交通灯维修保养项目</w:t>
      </w:r>
    </w:p>
    <w:p>
      <w:pPr>
        <w:ind w:firstLine="480"/>
      </w:pPr>
      <w:r>
        <w:rPr/>
        <w:t>采购计划编号：</w:t>
      </w:r>
      <w:r>
        <w:rPr/>
        <w:t>440606-2023-01412</w:t>
      </w:r>
    </w:p>
    <w:p>
      <w:pPr>
        <w:ind w:firstLine="480"/>
      </w:pPr>
      <w:r>
        <w:rPr/>
        <w:t>采购项目编号：</w:t>
      </w:r>
      <w:r>
        <w:rPr/>
        <w:t>440606-2023-01412</w:t>
      </w:r>
    </w:p>
    <w:p>
      <w:pPr>
        <w:ind w:firstLine="480"/>
      </w:pPr>
      <w:r>
        <w:rPr/>
        <w:t>采购方式：</w:t>
      </w:r>
      <w:r>
        <w:rPr/>
        <w:t>竞争性磋商</w:t>
      </w:r>
    </w:p>
    <w:p>
      <w:pPr>
        <w:ind w:firstLine="480"/>
      </w:pPr>
      <w:r>
        <w:rPr/>
        <w:t>预算金额：</w:t>
      </w:r>
      <w:r>
        <w:rPr/>
        <w:t>1,270,123.61</w:t>
      </w:r>
      <w:r>
        <w:rPr/>
        <w:t>元</w:t>
      </w:r>
    </w:p>
    <w:p>
      <w:r>
        <w:rPr>
          <w:b/>
          <w:sz w:val="24"/>
        </w:rPr>
        <w:t>2.项目内容及需求情况（采购项目技术规格、参数及要求）</w:t>
      </w:r>
    </w:p>
    <w:p>
      <w:pPr>
        <w:ind w:firstLine="480"/>
      </w:pPr>
    </w:p>
    <w:p/>
    <w:p>
      <w:r>
        <w:rPr/>
        <w:t>采购包1(容桂街道2023年3月-2024年2月容桂交通灯维修保养项目):</w:t>
      </w:r>
    </w:p>
    <w:p>
      <w:r>
        <w:rPr/>
        <w:t>采购包预算金额：1,270,123.61元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其他维修和保养服务</w:t>
            </w:r>
          </w:p>
        </w:tc>
        <w:tc>
          <w:tcPr>
            <w:tcW w:type="dxa" w:w="2136"/>
          </w:tcPr>
          <w:p>
            <w:r>
              <w:rPr/>
              <w:t>容桂街道2023年3月-2024年2月容桂交通灯维修保养项目</w:t>
            </w:r>
          </w:p>
        </w:tc>
        <w:tc>
          <w:tcPr>
            <w:tcW w:type="dxa" w:w="1187"/>
          </w:tcPr>
          <w:p>
            <w:r>
              <w:rPr/>
              <w:t>1.0000(批)</w:t>
            </w:r>
          </w:p>
        </w:tc>
        <w:tc>
          <w:tcPr>
            <w:tcW w:type="dxa" w:w="1187"/>
          </w:tcPr>
          <w:p>
            <w:r>
              <w:rPr/>
              <w:t>详见第二章</w:t>
            </w:r>
          </w:p>
        </w:tc>
        <w:tc>
          <w:tcPr>
            <w:tcW w:type="dxa" w:w="1187"/>
          </w:tcPr>
          <w:p>
            <w:r>
              <w:rPr/>
              <w:t>否</w:t>
            </w:r>
          </w:p>
        </w:tc>
      </w:tr>
    </w:tbl>
    <w:p/>
    <w:p>
      <w:r>
        <w:rPr/>
        <w:t>本采购包不接受联合体响应</w:t>
      </w:r>
    </w:p>
    <w:p/>
    <w:p>
      <w:r>
        <w:rPr/>
        <w:t>合同履行期限：自合同签订之日起1年。</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2）有依法缴纳税收和社会保障资金的良好记录：提供投标截止日前6个月内任意1个月依法缴纳税收和社会保障资金的相关材料。如依法免税或不需要缴纳社会保障资金的，提供相应证明材料。</w:t>
      </w:r>
    </w:p>
    <w:p/>
    <w:p>
      <w:r>
        <w:rPr/>
        <w:t>3）具有良好的商业信誉和健全的财务会计制度：供应商必须具有良好的商业信誉和健全的财务会计制度[提供以下证明材料之一：①经第三方审计的财务报告（2021年度或2022年度）（包括资产负债表、利润表、现金流量表、所有者权益变动表及其附注），若2023年新成立的，提供成立至今的任意一个月的财务状况报告；②基本开户行出具的资信证明（证明应反映其基本开户行信息，未能反映的应提供相关证明材料）；③政府采购专业担保机构出具的投标担保函]。</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采购包1（容桂街道2023年3月-2024年2月容桂交通灯维修保养项目）：</w:t>
      </w:r>
      <w:r>
        <w:rPr/>
        <w:t>采购包整体专门面向中小企业（本项目属于专门面向中小企业采购的项目。参与磋商的供应商应为中小微企业。应按要求出具《中小企业声明函》；属于监狱企业的，提供由省级以上监狱管理局、戒毒管理局(含新疆生产建设兵团)出具的属于监狱企业的证明文件；属于残疾人福利性单位的，提供《残疾人福利性单位声明函》。）</w:t>
      </w:r>
    </w:p>
    <w:p/>
    <w:p>
      <w:r>
        <w:rPr>
          <w:b/>
          <w:sz w:val="24"/>
        </w:rPr>
        <w:t>3.本项目特定的资格要求：</w:t>
      </w:r>
    </w:p>
    <w:p>
      <w:pPr>
        <w:ind w:firstLine="480"/>
      </w:pPr>
    </w:p>
    <w:p/>
    <w:p>
      <w:r>
        <w:rPr/>
        <w:t>采购包1（容桂街道2023年3月-2024年2月容桂交通灯维修保养项目）：</w:t>
      </w:r>
    </w:p>
    <w:p/>
    <w:p>
      <w:r>
        <w:rPr/>
        <w:t>1)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
      <w:r>
        <w:rPr/>
        <w:t>3)本项目不接受联合体参与。</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p>
    <w:p>
      <w:r>
        <w:rPr>
          <w:b/>
          <w:sz w:val="28"/>
        </w:rPr>
        <w:t>六.本项目联系方式：</w:t>
      </w:r>
    </w:p>
    <w:p>
      <w:r>
        <w:rPr>
          <w:b/>
          <w:sz w:val="24"/>
        </w:rPr>
        <w:t>1.采购人信息</w:t>
      </w:r>
    </w:p>
    <w:p>
      <w:pPr>
        <w:ind w:firstLine="480"/>
      </w:pPr>
      <w:r>
        <w:rPr/>
        <w:t>名称：</w:t>
      </w:r>
      <w:r>
        <w:rPr/>
        <w:t>佛山市顺德区容桂街道综合行政执法办公室</w:t>
      </w:r>
    </w:p>
    <w:p>
      <w:pPr>
        <w:ind w:firstLine="480"/>
      </w:pPr>
      <w:r>
        <w:rPr/>
        <w:t>地址：</w:t>
      </w:r>
      <w:r>
        <w:rPr/>
        <w:t>广东省佛山市容桂街道容奇大道中32号</w:t>
      </w:r>
    </w:p>
    <w:p>
      <w:pPr>
        <w:ind w:firstLine="480"/>
      </w:pPr>
      <w:r>
        <w:rPr/>
        <w:t>联系方式：</w:t>
      </w:r>
      <w:r>
        <w:rPr/>
        <w:t>0757-26381832</w:t>
      </w:r>
    </w:p>
    <w:p>
      <w:r>
        <w:rPr>
          <w:b/>
          <w:sz w:val="24"/>
        </w:rPr>
        <w:t>2.采购代理机构信息</w:t>
      </w:r>
    </w:p>
    <w:p>
      <w:pPr>
        <w:ind w:firstLine="480"/>
      </w:pPr>
      <w:r>
        <w:rPr/>
        <w:t>名称：</w:t>
      </w:r>
      <w:r>
        <w:rPr/>
        <w:t>广东华伦招标有限公司</w:t>
      </w:r>
    </w:p>
    <w:p>
      <w:pPr>
        <w:ind w:firstLine="480"/>
      </w:pPr>
      <w:r>
        <w:rPr/>
        <w:t>地址：</w:t>
      </w:r>
      <w:r>
        <w:rPr/>
        <w:t>广东省广州市越秀区北京街道</w:t>
      </w:r>
    </w:p>
    <w:p>
      <w:pPr>
        <w:ind w:firstLine="480"/>
      </w:pPr>
      <w:r>
        <w:rPr/>
        <w:t>联系方式：</w:t>
      </w:r>
      <w:r>
        <w:rPr/>
        <w:t>0757-83284195</w:t>
      </w:r>
    </w:p>
    <w:p>
      <w:r>
        <w:rPr>
          <w:b/>
          <w:sz w:val="24"/>
        </w:rPr>
        <w:t>3.项目联系方式</w:t>
      </w:r>
    </w:p>
    <w:p>
      <w:pPr>
        <w:ind w:firstLine="480"/>
      </w:pPr>
      <w:r>
        <w:rPr/>
        <w:t>项目联系人：</w:t>
      </w:r>
      <w:r>
        <w:rPr/>
        <w:t>华伦佛山分公司</w:t>
      </w:r>
    </w:p>
    <w:p>
      <w:pPr>
        <w:ind w:firstLine="480"/>
      </w:pPr>
      <w:r>
        <w:rPr/>
        <w:t>电话：</w:t>
      </w:r>
      <w:r>
        <w:rPr/>
        <w:t>0757-83284195</w:t>
      </w:r>
    </w:p>
    <w:p>
      <w:r>
        <w:rPr>
          <w:b/>
          <w:sz w:val="24"/>
        </w:rPr>
        <w:t>4.技术支持联系方式</w:t>
      </w:r>
    </w:p>
    <w:p>
      <w:pPr>
        <w:ind w:firstLine="480"/>
      </w:pPr>
      <w:r>
        <w:rPr/>
        <w:t>云平台联系方式：020-88696588</w:t>
      </w:r>
    </w:p>
    <w:p>
      <w:pPr>
        <w:ind w:firstLine="480"/>
      </w:pPr>
      <w:r>
        <w:rPr/>
        <w:t>数字证书CA技术服务热线：400-887-6133</w:t>
      </w:r>
    </w:p>
    <w:p>
      <w:r>
        <w:rPr/>
        <w:t>采购代理机构：</w:t>
      </w:r>
      <w:r>
        <w:rPr/>
        <w:t>广东华伦招标有限公司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sz w:val="21"/>
        </w:rPr>
        <w:t>本项目为容桂街道</w:t>
      </w:r>
      <w:r>
        <w:rPr>
          <w:sz w:val="21"/>
        </w:rPr>
        <w:t>2023</w:t>
      </w:r>
      <w:r>
        <w:rPr>
          <w:sz w:val="21"/>
        </w:rPr>
        <w:t>年</w:t>
      </w:r>
      <w:r>
        <w:rPr>
          <w:sz w:val="21"/>
        </w:rPr>
        <w:t>3</w:t>
      </w:r>
      <w:r>
        <w:rPr>
          <w:sz w:val="21"/>
        </w:rPr>
        <w:t>月</w:t>
      </w:r>
      <w:r>
        <w:rPr>
          <w:sz w:val="21"/>
        </w:rPr>
        <w:t>-2024</w:t>
      </w:r>
      <w:r>
        <w:rPr>
          <w:sz w:val="21"/>
        </w:rPr>
        <w:t>年</w:t>
      </w:r>
      <w:r>
        <w:rPr>
          <w:sz w:val="21"/>
        </w:rPr>
        <w:t>2</w:t>
      </w:r>
      <w:r>
        <w:rPr>
          <w:sz w:val="21"/>
        </w:rPr>
        <w:t>月容桂交通灯维修保养项目。主要工作内容为：交通灯设备更换、太阳能黄闪灯设备维护及电池更换；人工费及电费等。</w:t>
      </w:r>
    </w:p>
    <w:p/>
    <w:p>
      <w:pPr>
        <w:ind w:firstLine="480"/>
      </w:pPr>
    </w:p>
    <w:p/>
    <w:p>
      <w:r>
        <w:rPr/>
        <w:t>采购包1（容桂街道2023年3月-2024年2月容桂交通灯维修保养项目）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自合同签订之日起1年</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100%,每季度（每三个月）按中标总金额百分比（合同价的25%）分期支付，每年的6月、9月、12月、3月5日前支付上季度费用。待服务期满后成交供应商要确保所有设施能正常使用后支付，若不能正常使用，采购人不支付最后一期服务费。</w:t>
            </w:r>
          </w:p>
        </w:tc>
      </w:tr>
      <w:tr>
        <w:tc>
          <w:tcPr>
            <w:tcW w:type="dxa" w:w="4153"/>
          </w:tcPr>
          <w:p>
            <w:r>
              <w:rPr/>
              <w:t>验收要求</w:t>
            </w:r>
          </w:p>
        </w:tc>
        <w:tc>
          <w:tcPr>
            <w:tcW w:type="dxa" w:w="4153"/>
          </w:tcPr>
          <w:p/>
          <w:p/>
          <w:p/>
          <w:p>
            <w:r>
              <w:rPr/>
              <w:t>1期：1、验收标准：成交供应商在规定的时间内，按照需求完成所有服务内容、提交所有服务成果，验收服务评价标准详见商务其他要求。 2、验收方式：由采购人组织验收工作，对成交供应商提供的服务进行验收，成交供应商须为验收提供必需的一切条件及承担相关费用，如采购人认为成交供应商提供的服务与要求不符，将在成交供应商改进服务后重新组织验收，并按合同的约定对成交供应商进行处罚。验收完毕由采购人及成交供应商在验收报告上签名确认。</w:t>
            </w:r>
          </w:p>
        </w:tc>
      </w:tr>
      <w:tr>
        <w:tc>
          <w:tcPr>
            <w:tcW w:type="dxa" w:w="4153"/>
          </w:tcPr>
          <w:p>
            <w:r>
              <w:rPr/>
              <w:t>履约保证金</w:t>
            </w:r>
          </w:p>
        </w:tc>
        <w:tc>
          <w:tcPr>
            <w:tcW w:type="dxa" w:w="4153"/>
          </w:tcPr>
          <w:p/>
          <w:p/>
          <w:p/>
          <w:p/>
          <w:p>
            <w:r>
              <w:rPr/>
              <w:t>收取比例：5%,说明：1.提交 （1）时间：成交供应商在收到中标通知书15天内，否则，中标单位视作自动放弃中标资格。 （2）金额：合同总金额的 5% （3）方式：支票、汇票、本票、保函等非现金形式（履约担保函须由银行或有资质的第三方担保机构出具） 2.退还 （1）整体项目验收合格后并无违约情况下15个工作日内，成交供应商出具相关履约金收款证明，采购人一次性无息退还履约保证金给成交供应商。 （2）成交供应商违反合同及其附件约定的任何义务，采购人有权在履约保证金中直接扣除成交供应商应向采购人支付的违约或损失赔偿额。 （3）非因成交供应商原因或不可抗力造成的延期开工或交付期延误，采购人不得处罚成交供应商和追究成交供应商责任。</w:t>
            </w:r>
          </w:p>
        </w:tc>
      </w:tr>
      <w:tr>
        <w:tc>
          <w:tcPr>
            <w:tcW w:type="dxa" w:w="4153"/>
          </w:tcPr>
          <w:p>
            <w:r>
              <w:rPr/>
              <w:t>其他</w:t>
            </w:r>
          </w:p>
        </w:tc>
        <w:tc>
          <w:tcPr>
            <w:tcW w:type="dxa" w:w="4153"/>
          </w:tcPr>
          <w:p/>
          <w:p/>
          <w:p>
            <w:r>
              <w:rPr/>
              <w:t>报价要求，1.本项目磋商报价指供应商为完成本项目所收取的全部费用，包括投入本项目所有工作人员费用、社保费、工具费、材料费、电费、服务费、税金、合同实施过程中应预见和不可预见费用等相关费用，投标人漏报或不报，采购人将视为该漏报或不报部分的费用已包括在已报的分项报价中而不予支付。2.供应商须考虑本项目在实施期间的一切可能产生的费用。 3.报价不得高于本项目的预算金额最高限价，否则视为无效报价，作无效响应处理。</w:t>
            </w:r>
          </w:p>
          <w:p/>
          <w:p>
            <w:r>
              <w:rPr/>
              <w:t>质保期，1.维护更换的配件质保期为自项目验收合格交付之日起1年，人为或交通事故造成损坏除外。2.质保期内，如更换的配件由于人为或道路车辆造成的损坏的，成交供应商与责任人或肇事车辆车主协商赔偿事宜，采购人不支付维修费用；如肇事车辆逃逸，无法追查肇事车辆的情况下，则采购人承担维修费用。3.若国家或生产厂家对本项目所涉及货物的质保期的规定高于本项目的要求，应按国家或生产厂家的规定执行。4.质保期内，在非人为因素情况下，一切维修换件保养费用和备品备件均由成交供应商提供。5.如因货物自身故障致停用时间累计超过20天时，则质保期在状态恢复正常时重新计算或对故障设备予以重新更换。6.任何时候，成交供应商均不能免除因货物本身的缺陷所应负的责任。7.本项上述情况的产生费用由成交供应商负责。</w:t>
            </w:r>
          </w:p>
          <w:p/>
          <w:p>
            <w:r>
              <w:rPr/>
              <w:t>付款方式补充，1.本项目服务费以转账方式转入成交供应商的银行账户，收款方、出具发票方、合同乙方均必须与中标（成交）供应商名称一致。成交供应商须向采购提供依法纳税的服务费发票，否则采购人有权拒绝支付当期款项； 2.成交供应商应理解政府部门付款的相关程序，因采购人使用的是财政资金，采购人在前款规定的付款时间为向政府财政支付部门提出办理财政支付申请手续的时间，不含政府财政支付部门审核的时间。若本项目的相关手续及程序因财政支付审批流程或办理手续而造成项目支付进度有所推延，而导致采购人逾期付款的，采购人不承担逾期付款违约责任，并且此情况不能成为成交供应商拒绝提供服务的理由。 3.若本项目由于财政资金拨款不到位或取消的，双方应友好协商终止合同，此情况不能作为成交供应商向采购人追究违约责任的情形。 4.如遇特殊情况（包括但不限于财政资金拨款不到位或取消、驻场服务工作人员因不可抗力等原因停工等情形）导致本项目部分服务内容中止或终止，剩余服务内容继续履行的，合同双方应友好协商，已支付但未履约的服务费，成交供应商应在合同期内退还给采购人。</w:t>
            </w:r>
          </w:p>
          <w:p/>
          <w:p>
            <w:r>
              <w:rPr/>
              <w:t>响应服务，1.服务时间内，成交供应商须提供常设每周7天×24小时服务专线技术支持。2.对采购人的服务通知，成交供应商必须符合以下要求：自接到保障电话、知道或应该知道信号灯故障起计算，30分钟内到达现场进行维修任务；到达现场后，在2小时内完成维修任务；对于供电线路的故障，应及时通知业主及报修单位，由业主联系相关单位尽快恢复供电，或使用应急电源，1小时内必须恢复通电。在供电线路恢复正常供电起1小计时内应完成维修任务；否则成交供应商必须提供冗余服务作应急使用。3.上述售后服务费用包含在服务费中，报价时可不单列。</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其他维修和保养服务</w:t>
            </w:r>
          </w:p>
        </w:tc>
        <w:tc>
          <w:tcPr>
            <w:tcW w:type="dxa" w:w="933"/>
          </w:tcPr>
          <w:p>
            <w:pPr>
              <w:jc w:val="left"/>
            </w:pPr>
            <w:r>
              <w:rPr/>
              <w:t>容桂街道2023年3月-2024年2月容桂交通灯维修保养项目</w:t>
            </w:r>
          </w:p>
        </w:tc>
        <w:tc>
          <w:tcPr>
            <w:tcW w:type="dxa" w:w="933"/>
          </w:tcPr>
          <w:p>
            <w:pPr>
              <w:jc w:val="left"/>
            </w:pPr>
            <w:r>
              <w:rPr/>
              <w:t>批</w:t>
            </w:r>
          </w:p>
        </w:tc>
        <w:tc>
          <w:tcPr>
            <w:tcW w:type="dxa" w:w="933"/>
          </w:tcPr>
          <w:p>
            <w:pPr>
              <w:jc w:val="right"/>
            </w:pPr>
            <w:r>
              <w:rPr/>
              <w:t>1.00</w:t>
            </w:r>
          </w:p>
        </w:tc>
        <w:tc>
          <w:tcPr>
            <w:tcW w:type="dxa" w:w="933"/>
          </w:tcPr>
          <w:p>
            <w:pPr>
              <w:jc w:val="right"/>
            </w:pPr>
            <w:r>
              <w:rPr/>
              <w:t>1,270,123.61</w:t>
            </w:r>
          </w:p>
        </w:tc>
        <w:tc>
          <w:tcPr>
            <w:tcW w:type="dxa" w:w="933"/>
          </w:tcPr>
          <w:p>
            <w:pPr>
              <w:jc w:val="right"/>
            </w:pPr>
            <w:r>
              <w:rPr/>
              <w:t>1,270,123.61</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容桂街道2023年3月-2024年2月容桂交通灯维修保养项目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1"/>
              </w:rPr>
              <w:t>1.1</w:t>
            </w:r>
            <w:r>
              <w:rPr>
                <w:sz w:val="21"/>
              </w:rPr>
              <w:t xml:space="preserve">  </w:t>
            </w:r>
            <w:r>
              <w:rPr>
                <w:b/>
                <w:sz w:val="21"/>
              </w:rPr>
              <w:t>附件一：</w:t>
            </w:r>
            <w:r>
              <w:rPr>
                <w:b/>
                <w:sz w:val="21"/>
              </w:rPr>
              <w:t>2023-2024</w:t>
            </w:r>
            <w:r>
              <w:rPr>
                <w:b/>
                <w:sz w:val="21"/>
              </w:rPr>
              <w:t>年容桂交通灯维修保养清单</w:t>
            </w:r>
          </w:p>
          <w:tbl>
            <w:tblPr>
              <w:tblInd w:type="dxa" w:w="90"/>
              <w:tblBorders>
                <w:top w:val="none" w:color="000000" w:sz="4"/>
                <w:left w:val="none" w:color="000000" w:sz="4"/>
                <w:bottom w:val="none" w:color="000000" w:sz="4"/>
                <w:right w:val="none" w:color="000000" w:sz="4"/>
                <w:insideH w:val="none"/>
                <w:insideV w:val="none"/>
              </w:tblBorders>
            </w:tblPr>
            <w:tblGrid>
              <w:gridCol w:w="655"/>
              <w:gridCol w:w="753"/>
              <w:gridCol w:w="2446"/>
              <w:gridCol w:w="665"/>
              <w:gridCol w:w="1047"/>
            </w:tblGrid>
            <w:tr>
              <w:tc>
                <w:tcPr>
                  <w:tcW w:type="dxa" w:w="655"/>
                  <w:vMerge w:val="restart"/>
                  <w:tcBorders>
                    <w:top w:val="single" w:color="000000" w:sz="4"/>
                    <w:left w:val="single" w:color="000000" w:sz="4"/>
                    <w:bottom w:val="single" w:color="000000" w:sz="4"/>
                    <w:right w:val="single" w:color="000000" w:sz="4"/>
                  </w:tcBorders>
                  <w:shd w:fill="FFFFFF"/>
                  <w:vAlign w:val="top"/>
                </w:tcPr>
                <w:p>
                  <w:pPr>
                    <w:jc w:val="center"/>
                  </w:pPr>
                  <w:r>
                    <w:rPr>
                      <w:b/>
                      <w:color w:val="000000"/>
                      <w:sz w:val="20"/>
                    </w:rPr>
                    <w:t>序号</w:t>
                  </w:r>
                </w:p>
              </w:tc>
              <w:tc>
                <w:tcPr>
                  <w:tcW w:type="dxa" w:w="753"/>
                  <w:vMerge w:val="restart"/>
                  <w:tcBorders>
                    <w:top w:val="single" w:color="000000" w:sz="4"/>
                    <w:left w:val="none" w:color="000000" w:sz="4"/>
                    <w:bottom w:val="single" w:color="000000" w:sz="4"/>
                    <w:right w:val="single" w:color="000000" w:sz="4"/>
                  </w:tcBorders>
                  <w:shd w:fill="FFFFFF"/>
                  <w:vAlign w:val="top"/>
                </w:tcPr>
                <w:p>
                  <w:pPr>
                    <w:jc w:val="center"/>
                  </w:pPr>
                  <w:r>
                    <w:rPr>
                      <w:b/>
                      <w:color w:val="000000"/>
                      <w:sz w:val="20"/>
                    </w:rPr>
                    <w:t>项目名称</w:t>
                  </w:r>
                </w:p>
              </w:tc>
              <w:tc>
                <w:tcPr>
                  <w:tcW w:type="dxa" w:w="2446"/>
                  <w:vMerge w:val="restart"/>
                  <w:tcBorders>
                    <w:top w:val="single" w:color="000000" w:sz="4"/>
                    <w:left w:val="none" w:color="000000" w:sz="4"/>
                    <w:bottom w:val="single" w:color="000000" w:sz="4"/>
                    <w:right w:val="single" w:color="000000" w:sz="4"/>
                  </w:tcBorders>
                  <w:shd w:fill="FFFFFF"/>
                  <w:vAlign w:val="top"/>
                </w:tcPr>
                <w:p>
                  <w:pPr>
                    <w:jc w:val="center"/>
                  </w:pPr>
                  <w:r>
                    <w:rPr>
                      <w:b/>
                      <w:color w:val="000000"/>
                      <w:sz w:val="20"/>
                    </w:rPr>
                    <w:t>项目特征描述</w:t>
                  </w:r>
                </w:p>
              </w:tc>
              <w:tc>
                <w:tcPr>
                  <w:tcW w:type="dxa" w:w="665"/>
                  <w:vMerge w:val="restart"/>
                  <w:tcBorders>
                    <w:top w:val="single" w:color="000000" w:sz="4"/>
                    <w:left w:val="none" w:color="000000" w:sz="4"/>
                    <w:bottom w:val="single" w:color="000000" w:sz="4"/>
                    <w:right w:val="single" w:color="000000" w:sz="4"/>
                  </w:tcBorders>
                  <w:shd w:fill="FFFFFF"/>
                  <w:vAlign w:val="top"/>
                </w:tcPr>
                <w:p>
                  <w:pPr>
                    <w:jc w:val="center"/>
                  </w:pPr>
                  <w:r>
                    <w:rPr>
                      <w:b/>
                      <w:color w:val="000000"/>
                      <w:sz w:val="20"/>
                    </w:rPr>
                    <w:t>计量</w:t>
                  </w:r>
                  <w:r>
                    <w:br/>
                  </w:r>
                  <w:r>
                    <w:rPr>
                      <w:b/>
                      <w:color w:val="000000"/>
                      <w:sz w:val="20"/>
                    </w:rPr>
                    <w:t>单位</w:t>
                  </w:r>
                </w:p>
              </w:tc>
              <w:tc>
                <w:tcPr>
                  <w:tcW w:type="dxa" w:w="1047"/>
                  <w:vMerge w:val="restart"/>
                  <w:tcBorders>
                    <w:top w:val="single" w:color="000000" w:sz="4"/>
                    <w:left w:val="none" w:color="000000" w:sz="4"/>
                    <w:bottom w:val="single" w:color="000000" w:sz="4"/>
                    <w:right w:val="single" w:color="000000" w:sz="4"/>
                  </w:tcBorders>
                  <w:shd w:fill="FFFFFF"/>
                  <w:vAlign w:val="top"/>
                </w:tcPr>
                <w:p>
                  <w:pPr>
                    <w:jc w:val="center"/>
                  </w:pPr>
                  <w:r>
                    <w:rPr>
                      <w:b/>
                      <w:color w:val="000000"/>
                      <w:sz w:val="20"/>
                    </w:rPr>
                    <w:t>工程量</w:t>
                  </w:r>
                </w:p>
              </w:tc>
            </w:tr>
            <w:tr/>
            <w:tr>
              <w:tc>
                <w:tcPr>
                  <w:tcW w:type="dxa" w:w="655"/>
                  <w:tcBorders>
                    <w:top w:val="none" w:color="000000" w:sz="4"/>
                    <w:left w:val="single" w:color="000000" w:sz="4"/>
                    <w:bottom w:val="single" w:color="000000" w:sz="4"/>
                    <w:right w:val="single" w:color="000000" w:sz="4"/>
                  </w:tcBorders>
                  <w:shd w:fill="FFFFFF"/>
                  <w:vAlign w:val="top"/>
                </w:tcPr>
                <w:p>
                  <w:pPr>
                    <w:jc w:val="center"/>
                  </w:pPr>
                  <w:r>
                    <w:rPr>
                      <w:color w:val="000000"/>
                      <w:sz w:val="20"/>
                    </w:rPr>
                    <w:t>1</w:t>
                  </w:r>
                </w:p>
              </w:tc>
              <w:tc>
                <w:tcPr>
                  <w:tcW w:type="dxa" w:w="753"/>
                  <w:tcBorders>
                    <w:top w:val="none" w:color="000000" w:sz="4"/>
                    <w:left w:val="none" w:color="000000" w:sz="4"/>
                    <w:bottom w:val="single" w:color="000000" w:sz="4"/>
                    <w:right w:val="single" w:color="000000" w:sz="4"/>
                  </w:tcBorders>
                  <w:shd w:fill="FFFFFF"/>
                  <w:vAlign w:val="top"/>
                </w:tcPr>
                <w:p>
                  <w:pPr>
                    <w:jc w:val="left"/>
                  </w:pPr>
                  <w:r>
                    <w:rPr>
                      <w:color w:val="000000"/>
                      <w:sz w:val="20"/>
                    </w:rPr>
                    <w:t>维修人员</w:t>
                  </w:r>
                </w:p>
              </w:tc>
              <w:tc>
                <w:tcPr>
                  <w:tcW w:type="dxa" w:w="2446"/>
                  <w:tcBorders>
                    <w:top w:val="none" w:color="000000" w:sz="4"/>
                    <w:left w:val="none" w:color="000000" w:sz="4"/>
                    <w:bottom w:val="single" w:color="000000" w:sz="4"/>
                    <w:right w:val="single" w:color="000000" w:sz="4"/>
                  </w:tcBorders>
                  <w:shd w:fill="FFFFFF"/>
                  <w:vAlign w:val="top"/>
                </w:tcPr>
                <w:p>
                  <w:pPr>
                    <w:jc w:val="left"/>
                  </w:pPr>
                  <w:r>
                    <w:rPr>
                      <w:color w:val="000000"/>
                      <w:sz w:val="20"/>
                    </w:rPr>
                    <w:t>1、专业维修人员出勤巡查交通运行情况，并进行日常维护，遇到抢修时及时抢修，共5人，车辆司机1人，合计6人</w:t>
                  </w:r>
                  <w:r>
                    <w:br/>
                  </w:r>
                  <w:r>
                    <w:rPr>
                      <w:color w:val="000000"/>
                      <w:sz w:val="20"/>
                    </w:rPr>
                    <w:t>2、参考《2021年佛山市人力资源市场工资指导价位》，企业用人成本5436元/月/人，每月工作日为20.75工日，每工日单价261.97元</w:t>
                  </w:r>
                  <w:r>
                    <w:br/>
                  </w:r>
                  <w:r>
                    <w:rPr>
                      <w:color w:val="000000"/>
                      <w:sz w:val="20"/>
                    </w:rPr>
                    <w:t>3、计算式：6人*12月*20.75工日/月</w:t>
                  </w:r>
                  <w:r>
                    <w:br/>
                  </w:r>
                  <w:r>
                    <w:rPr>
                      <w:color w:val="000000"/>
                      <w:sz w:val="20"/>
                    </w:rPr>
                    <w:t>4、管理期一年</w:t>
                  </w:r>
                </w:p>
              </w:tc>
              <w:tc>
                <w:tcPr>
                  <w:tcW w:type="dxa" w:w="665"/>
                  <w:tcBorders>
                    <w:top w:val="none" w:color="000000" w:sz="4"/>
                    <w:left w:val="none" w:color="000000" w:sz="4"/>
                    <w:bottom w:val="single" w:color="000000" w:sz="4"/>
                    <w:right w:val="single" w:color="000000" w:sz="4"/>
                  </w:tcBorders>
                  <w:shd w:fill="FFFFFF"/>
                  <w:vAlign w:val="top"/>
                </w:tcPr>
                <w:p>
                  <w:pPr>
                    <w:jc w:val="center"/>
                  </w:pPr>
                  <w:r>
                    <w:rPr>
                      <w:color w:val="000000"/>
                      <w:sz w:val="20"/>
                    </w:rPr>
                    <w:t>工日</w:t>
                  </w:r>
                </w:p>
              </w:tc>
              <w:tc>
                <w:tcPr>
                  <w:tcW w:type="dxa" w:w="1047"/>
                  <w:tcBorders>
                    <w:top w:val="none" w:color="000000" w:sz="4"/>
                    <w:left w:val="none" w:color="000000" w:sz="4"/>
                    <w:bottom w:val="single" w:color="000000" w:sz="4"/>
                    <w:right w:val="single" w:color="000000" w:sz="4"/>
                  </w:tcBorders>
                  <w:shd w:fill="FFFFFF"/>
                  <w:vAlign w:val="top"/>
                </w:tcPr>
                <w:p>
                  <w:pPr>
                    <w:jc w:val="center"/>
                  </w:pPr>
                  <w:r>
                    <w:rPr>
                      <w:color w:val="000000"/>
                      <w:sz w:val="20"/>
                    </w:rPr>
                    <w:t>1494.000</w:t>
                  </w:r>
                </w:p>
              </w:tc>
            </w:tr>
            <w:tr>
              <w:tc>
                <w:tcPr>
                  <w:tcW w:type="dxa" w:w="655"/>
                  <w:tcBorders>
                    <w:top w:val="none" w:color="000000" w:sz="4"/>
                    <w:left w:val="single" w:color="000000" w:sz="4"/>
                    <w:bottom w:val="single" w:color="000000" w:sz="4"/>
                    <w:right w:val="single" w:color="000000" w:sz="4"/>
                  </w:tcBorders>
                  <w:shd w:fill="FFFFFF"/>
                  <w:vAlign w:val="top"/>
                </w:tcPr>
                <w:p>
                  <w:pPr>
                    <w:jc w:val="center"/>
                  </w:pPr>
                  <w:r>
                    <w:rPr>
                      <w:color w:val="000000"/>
                      <w:sz w:val="20"/>
                    </w:rPr>
                    <w:t>2</w:t>
                  </w:r>
                </w:p>
              </w:tc>
              <w:tc>
                <w:tcPr>
                  <w:tcW w:type="dxa" w:w="753"/>
                  <w:tcBorders>
                    <w:top w:val="none" w:color="000000" w:sz="4"/>
                    <w:left w:val="none" w:color="000000" w:sz="4"/>
                    <w:bottom w:val="single" w:color="000000" w:sz="4"/>
                    <w:right w:val="single" w:color="000000" w:sz="4"/>
                  </w:tcBorders>
                  <w:shd w:fill="FFFFFF"/>
                  <w:vAlign w:val="top"/>
                </w:tcPr>
                <w:p>
                  <w:pPr>
                    <w:jc w:val="left"/>
                  </w:pPr>
                  <w:r>
                    <w:rPr>
                      <w:color w:val="000000"/>
                      <w:sz w:val="20"/>
                    </w:rPr>
                    <w:t>交通灯配件更换（</w:t>
                  </w:r>
                  <w:r>
                    <w:rPr>
                      <w:color w:val="000000"/>
                      <w:sz w:val="20"/>
                    </w:rPr>
                    <w:t>Φ300LED灯芯）</w:t>
                  </w:r>
                </w:p>
              </w:tc>
              <w:tc>
                <w:tcPr>
                  <w:tcW w:type="dxa" w:w="2446"/>
                  <w:tcBorders>
                    <w:top w:val="none" w:color="000000" w:sz="4"/>
                    <w:left w:val="none" w:color="000000" w:sz="4"/>
                    <w:bottom w:val="single" w:color="000000" w:sz="4"/>
                    <w:right w:val="single" w:color="000000" w:sz="4"/>
                  </w:tcBorders>
                  <w:shd w:fill="FFFFFF"/>
                  <w:vAlign w:val="top"/>
                </w:tcPr>
                <w:p>
                  <w:pPr>
                    <w:jc w:val="left"/>
                  </w:pPr>
                  <w:r>
                    <w:rPr>
                      <w:color w:val="000000"/>
                      <w:sz w:val="20"/>
                    </w:rPr>
                    <w:t>1、交通灯配件更换（Φ300LED灯芯）</w:t>
                  </w:r>
                  <w:r>
                    <w:br/>
                  </w:r>
                  <w:r>
                    <w:rPr>
                      <w:color w:val="000000"/>
                      <w:sz w:val="20"/>
                    </w:rPr>
                    <w:t>2、更换老化严重的发光源及零配件，适当改用LED发光源，含电线、保险丝更换</w:t>
                  </w:r>
                  <w:r>
                    <w:br/>
                  </w:r>
                  <w:r>
                    <w:rPr>
                      <w:color w:val="000000"/>
                      <w:sz w:val="20"/>
                    </w:rPr>
                    <w:t>3、管理期一年</w:t>
                  </w:r>
                </w:p>
              </w:tc>
              <w:tc>
                <w:tcPr>
                  <w:tcW w:type="dxa" w:w="665"/>
                  <w:tcBorders>
                    <w:top w:val="none" w:color="000000" w:sz="4"/>
                    <w:left w:val="none" w:color="000000" w:sz="4"/>
                    <w:bottom w:val="single" w:color="000000" w:sz="4"/>
                    <w:right w:val="single" w:color="000000" w:sz="4"/>
                  </w:tcBorders>
                  <w:shd w:fill="FFFFFF"/>
                  <w:vAlign w:val="top"/>
                </w:tcPr>
                <w:p>
                  <w:pPr>
                    <w:jc w:val="center"/>
                  </w:pPr>
                  <w:r>
                    <w:rPr>
                      <w:color w:val="000000"/>
                      <w:sz w:val="20"/>
                    </w:rPr>
                    <w:t>组</w:t>
                  </w:r>
                </w:p>
              </w:tc>
              <w:tc>
                <w:tcPr>
                  <w:tcW w:type="dxa" w:w="1047"/>
                  <w:tcBorders>
                    <w:top w:val="none" w:color="000000" w:sz="4"/>
                    <w:left w:val="none" w:color="000000" w:sz="4"/>
                    <w:bottom w:val="single" w:color="000000" w:sz="4"/>
                    <w:right w:val="single" w:color="000000" w:sz="4"/>
                  </w:tcBorders>
                  <w:shd w:fill="FFFFFF"/>
                  <w:vAlign w:val="top"/>
                </w:tcPr>
                <w:p>
                  <w:pPr>
                    <w:jc w:val="center"/>
                  </w:pPr>
                  <w:r>
                    <w:rPr>
                      <w:color w:val="000000"/>
                      <w:sz w:val="20"/>
                    </w:rPr>
                    <w:t>52.000</w:t>
                  </w:r>
                </w:p>
              </w:tc>
            </w:tr>
            <w:tr>
              <w:tc>
                <w:tcPr>
                  <w:tcW w:type="dxa" w:w="655"/>
                  <w:tcBorders>
                    <w:top w:val="none" w:color="000000" w:sz="4"/>
                    <w:left w:val="single" w:color="000000" w:sz="4"/>
                    <w:bottom w:val="single" w:color="000000" w:sz="4"/>
                    <w:right w:val="single" w:color="000000" w:sz="4"/>
                  </w:tcBorders>
                  <w:shd w:fill="FFFFFF"/>
                  <w:vAlign w:val="top"/>
                </w:tcPr>
                <w:p>
                  <w:pPr>
                    <w:jc w:val="center"/>
                  </w:pPr>
                  <w:r>
                    <w:rPr>
                      <w:color w:val="000000"/>
                      <w:sz w:val="20"/>
                    </w:rPr>
                    <w:t>3</w:t>
                  </w:r>
                </w:p>
              </w:tc>
              <w:tc>
                <w:tcPr>
                  <w:tcW w:type="dxa" w:w="753"/>
                  <w:tcBorders>
                    <w:top w:val="none" w:color="000000" w:sz="4"/>
                    <w:left w:val="none" w:color="000000" w:sz="4"/>
                    <w:bottom w:val="single" w:color="000000" w:sz="4"/>
                    <w:right w:val="single" w:color="000000" w:sz="4"/>
                  </w:tcBorders>
                  <w:shd w:fill="FFFFFF"/>
                  <w:vAlign w:val="top"/>
                </w:tcPr>
                <w:p>
                  <w:pPr>
                    <w:jc w:val="left"/>
                  </w:pPr>
                  <w:r>
                    <w:rPr>
                      <w:color w:val="000000"/>
                      <w:sz w:val="20"/>
                    </w:rPr>
                    <w:t>交通灯配件更换（</w:t>
                  </w:r>
                  <w:r>
                    <w:rPr>
                      <w:color w:val="000000"/>
                      <w:sz w:val="20"/>
                    </w:rPr>
                    <w:t>Φ400LED灯芯）</w:t>
                  </w:r>
                </w:p>
              </w:tc>
              <w:tc>
                <w:tcPr>
                  <w:tcW w:type="dxa" w:w="2446"/>
                  <w:tcBorders>
                    <w:top w:val="none" w:color="000000" w:sz="4"/>
                    <w:left w:val="none" w:color="000000" w:sz="4"/>
                    <w:bottom w:val="single" w:color="000000" w:sz="4"/>
                    <w:right w:val="single" w:color="000000" w:sz="4"/>
                  </w:tcBorders>
                  <w:shd w:fill="FFFFFF"/>
                  <w:vAlign w:val="top"/>
                </w:tcPr>
                <w:p>
                  <w:pPr>
                    <w:jc w:val="left"/>
                  </w:pPr>
                  <w:r>
                    <w:rPr>
                      <w:color w:val="000000"/>
                      <w:sz w:val="20"/>
                    </w:rPr>
                    <w:t>1、交通灯配件更换（Φ400LED灯芯）</w:t>
                  </w:r>
                  <w:r>
                    <w:br/>
                  </w:r>
                  <w:r>
                    <w:rPr>
                      <w:color w:val="000000"/>
                      <w:sz w:val="20"/>
                    </w:rPr>
                    <w:t>2、更换老化严重的发光源及零配件，适当改用LED发光源，含电线、保险丝更换</w:t>
                  </w:r>
                  <w:r>
                    <w:br/>
                  </w:r>
                  <w:r>
                    <w:rPr>
                      <w:color w:val="000000"/>
                      <w:sz w:val="20"/>
                    </w:rPr>
                    <w:t>3、管理期一年</w:t>
                  </w:r>
                </w:p>
              </w:tc>
              <w:tc>
                <w:tcPr>
                  <w:tcW w:type="dxa" w:w="665"/>
                  <w:tcBorders>
                    <w:top w:val="none" w:color="000000" w:sz="4"/>
                    <w:left w:val="none" w:color="000000" w:sz="4"/>
                    <w:bottom w:val="single" w:color="000000" w:sz="4"/>
                    <w:right w:val="single" w:color="000000" w:sz="4"/>
                  </w:tcBorders>
                  <w:shd w:fill="FFFFFF"/>
                  <w:vAlign w:val="top"/>
                </w:tcPr>
                <w:p>
                  <w:pPr>
                    <w:jc w:val="center"/>
                  </w:pPr>
                  <w:r>
                    <w:rPr>
                      <w:color w:val="000000"/>
                      <w:sz w:val="20"/>
                    </w:rPr>
                    <w:t>组</w:t>
                  </w:r>
                </w:p>
              </w:tc>
              <w:tc>
                <w:tcPr>
                  <w:tcW w:type="dxa" w:w="1047"/>
                  <w:tcBorders>
                    <w:top w:val="none" w:color="000000" w:sz="4"/>
                    <w:left w:val="none" w:color="000000" w:sz="4"/>
                    <w:bottom w:val="single" w:color="000000" w:sz="4"/>
                    <w:right w:val="single" w:color="000000" w:sz="4"/>
                  </w:tcBorders>
                  <w:shd w:fill="FFFFFF"/>
                  <w:vAlign w:val="top"/>
                </w:tcPr>
                <w:p>
                  <w:pPr>
                    <w:jc w:val="center"/>
                  </w:pPr>
                  <w:r>
                    <w:rPr>
                      <w:color w:val="000000"/>
                      <w:sz w:val="20"/>
                    </w:rPr>
                    <w:t>59.000</w:t>
                  </w:r>
                </w:p>
              </w:tc>
            </w:tr>
            <w:tr>
              <w:tc>
                <w:tcPr>
                  <w:tcW w:type="dxa" w:w="655"/>
                  <w:tcBorders>
                    <w:top w:val="none" w:color="000000" w:sz="4"/>
                    <w:left w:val="single" w:color="000000" w:sz="4"/>
                    <w:bottom w:val="single" w:color="000000" w:sz="4"/>
                    <w:right w:val="single" w:color="000000" w:sz="4"/>
                  </w:tcBorders>
                  <w:shd w:fill="FFFFFF"/>
                  <w:vAlign w:val="top"/>
                </w:tcPr>
                <w:p>
                  <w:pPr>
                    <w:jc w:val="center"/>
                  </w:pPr>
                  <w:r>
                    <w:rPr>
                      <w:color w:val="000000"/>
                      <w:sz w:val="20"/>
                    </w:rPr>
                    <w:t>4</w:t>
                  </w:r>
                </w:p>
              </w:tc>
              <w:tc>
                <w:tcPr>
                  <w:tcW w:type="dxa" w:w="753"/>
                  <w:tcBorders>
                    <w:top w:val="none" w:color="000000" w:sz="4"/>
                    <w:left w:val="none" w:color="000000" w:sz="4"/>
                    <w:bottom w:val="single" w:color="000000" w:sz="4"/>
                    <w:right w:val="single" w:color="000000" w:sz="4"/>
                  </w:tcBorders>
                  <w:shd w:fill="FFFFFF"/>
                  <w:vAlign w:val="top"/>
                </w:tcPr>
                <w:p>
                  <w:pPr>
                    <w:jc w:val="left"/>
                  </w:pPr>
                  <w:r>
                    <w:rPr>
                      <w:color w:val="000000"/>
                      <w:sz w:val="20"/>
                    </w:rPr>
                    <w:t>交通灯配件更换（灯泡）</w:t>
                  </w:r>
                </w:p>
              </w:tc>
              <w:tc>
                <w:tcPr>
                  <w:tcW w:type="dxa" w:w="2446"/>
                  <w:tcBorders>
                    <w:top w:val="none" w:color="000000" w:sz="4"/>
                    <w:left w:val="none" w:color="000000" w:sz="4"/>
                    <w:bottom w:val="single" w:color="000000" w:sz="4"/>
                    <w:right w:val="single" w:color="000000" w:sz="4"/>
                  </w:tcBorders>
                  <w:shd w:fill="FFFFFF"/>
                  <w:vAlign w:val="top"/>
                </w:tcPr>
                <w:p>
                  <w:pPr>
                    <w:jc w:val="left"/>
                  </w:pPr>
                  <w:r>
                    <w:rPr>
                      <w:color w:val="000000"/>
                      <w:sz w:val="20"/>
                    </w:rPr>
                    <w:t>1、交通灯配件更换（灯泡）</w:t>
                  </w:r>
                  <w:r>
                    <w:br/>
                  </w:r>
                  <w:r>
                    <w:rPr>
                      <w:color w:val="000000"/>
                      <w:sz w:val="20"/>
                    </w:rPr>
                    <w:t>2、更换老化严重的发光源及零配件，适当改用发光源，含电线、保险丝更换</w:t>
                  </w:r>
                  <w:r>
                    <w:br/>
                  </w:r>
                  <w:r>
                    <w:rPr>
                      <w:color w:val="000000"/>
                      <w:sz w:val="20"/>
                    </w:rPr>
                    <w:t>3、管理期一年</w:t>
                  </w:r>
                </w:p>
              </w:tc>
              <w:tc>
                <w:tcPr>
                  <w:tcW w:type="dxa" w:w="665"/>
                  <w:tcBorders>
                    <w:top w:val="none" w:color="000000" w:sz="4"/>
                    <w:left w:val="none" w:color="000000" w:sz="4"/>
                    <w:bottom w:val="single" w:color="000000" w:sz="4"/>
                    <w:right w:val="single" w:color="000000" w:sz="4"/>
                  </w:tcBorders>
                  <w:shd w:fill="FFFFFF"/>
                  <w:vAlign w:val="top"/>
                </w:tcPr>
                <w:p>
                  <w:pPr>
                    <w:jc w:val="center"/>
                  </w:pPr>
                  <w:r>
                    <w:rPr>
                      <w:color w:val="000000"/>
                      <w:sz w:val="20"/>
                    </w:rPr>
                    <w:t>组</w:t>
                  </w:r>
                </w:p>
              </w:tc>
              <w:tc>
                <w:tcPr>
                  <w:tcW w:type="dxa" w:w="1047"/>
                  <w:tcBorders>
                    <w:top w:val="none" w:color="000000" w:sz="4"/>
                    <w:left w:val="none" w:color="000000" w:sz="4"/>
                    <w:bottom w:val="single" w:color="000000" w:sz="4"/>
                    <w:right w:val="single" w:color="000000" w:sz="4"/>
                  </w:tcBorders>
                  <w:shd w:fill="FFFFFF"/>
                  <w:vAlign w:val="top"/>
                </w:tcPr>
                <w:p>
                  <w:pPr>
                    <w:jc w:val="center"/>
                  </w:pPr>
                  <w:r>
                    <w:rPr>
                      <w:color w:val="000000"/>
                      <w:sz w:val="20"/>
                    </w:rPr>
                    <w:t>132.000</w:t>
                  </w:r>
                </w:p>
              </w:tc>
            </w:tr>
            <w:tr>
              <w:tc>
                <w:tcPr>
                  <w:tcW w:type="dxa" w:w="655"/>
                  <w:tcBorders>
                    <w:top w:val="none" w:color="000000" w:sz="4"/>
                    <w:left w:val="single" w:color="000000" w:sz="4"/>
                    <w:bottom w:val="single" w:color="000000" w:sz="4"/>
                    <w:right w:val="single" w:color="000000" w:sz="4"/>
                  </w:tcBorders>
                  <w:shd w:fill="FFFFFF"/>
                  <w:vAlign w:val="top"/>
                </w:tcPr>
                <w:p>
                  <w:pPr>
                    <w:jc w:val="center"/>
                  </w:pPr>
                  <w:r>
                    <w:rPr>
                      <w:color w:val="000000"/>
                      <w:sz w:val="20"/>
                    </w:rPr>
                    <w:t>5</w:t>
                  </w:r>
                </w:p>
              </w:tc>
              <w:tc>
                <w:tcPr>
                  <w:tcW w:type="dxa" w:w="753"/>
                  <w:tcBorders>
                    <w:top w:val="none" w:color="000000" w:sz="4"/>
                    <w:left w:val="none" w:color="000000" w:sz="4"/>
                    <w:bottom w:val="single" w:color="000000" w:sz="4"/>
                    <w:right w:val="single" w:color="000000" w:sz="4"/>
                  </w:tcBorders>
                  <w:shd w:fill="FFFFFF"/>
                  <w:vAlign w:val="top"/>
                </w:tcPr>
                <w:p>
                  <w:pPr>
                    <w:jc w:val="left"/>
                  </w:pPr>
                  <w:r>
                    <w:rPr>
                      <w:color w:val="000000"/>
                      <w:sz w:val="20"/>
                    </w:rPr>
                    <w:t>交通灯配件更换（信号灯具）</w:t>
                  </w:r>
                </w:p>
              </w:tc>
              <w:tc>
                <w:tcPr>
                  <w:tcW w:type="dxa" w:w="2446"/>
                  <w:tcBorders>
                    <w:top w:val="none" w:color="000000" w:sz="4"/>
                    <w:left w:val="none" w:color="000000" w:sz="4"/>
                    <w:bottom w:val="single" w:color="000000" w:sz="4"/>
                    <w:right w:val="single" w:color="000000" w:sz="4"/>
                  </w:tcBorders>
                  <w:shd w:fill="FFFFFF"/>
                  <w:vAlign w:val="top"/>
                </w:tcPr>
                <w:p>
                  <w:pPr>
                    <w:jc w:val="left"/>
                  </w:pPr>
                  <w:r>
                    <w:rPr>
                      <w:color w:val="000000"/>
                      <w:sz w:val="20"/>
                    </w:rPr>
                    <w:t>1、交通灯配件更换（信号灯具）</w:t>
                  </w:r>
                  <w:r>
                    <w:br/>
                  </w:r>
                  <w:r>
                    <w:rPr>
                      <w:color w:val="000000"/>
                      <w:sz w:val="20"/>
                    </w:rPr>
                    <w:t>2、更换老化严重的发光源及零配件，适当改用发光源</w:t>
                  </w:r>
                  <w:r>
                    <w:br/>
                  </w:r>
                  <w:r>
                    <w:rPr>
                      <w:color w:val="000000"/>
                      <w:sz w:val="20"/>
                    </w:rPr>
                    <w:t>3、管理期一年</w:t>
                  </w:r>
                </w:p>
              </w:tc>
              <w:tc>
                <w:tcPr>
                  <w:tcW w:type="dxa" w:w="665"/>
                  <w:tcBorders>
                    <w:top w:val="none" w:color="000000" w:sz="4"/>
                    <w:left w:val="none" w:color="000000" w:sz="4"/>
                    <w:bottom w:val="single" w:color="000000" w:sz="4"/>
                    <w:right w:val="single" w:color="000000" w:sz="4"/>
                  </w:tcBorders>
                  <w:shd w:fill="FFFFFF"/>
                  <w:vAlign w:val="top"/>
                </w:tcPr>
                <w:p>
                  <w:pPr>
                    <w:jc w:val="center"/>
                  </w:pPr>
                  <w:r>
                    <w:rPr>
                      <w:color w:val="000000"/>
                      <w:sz w:val="20"/>
                    </w:rPr>
                    <w:t>组</w:t>
                  </w:r>
                </w:p>
              </w:tc>
              <w:tc>
                <w:tcPr>
                  <w:tcW w:type="dxa" w:w="1047"/>
                  <w:tcBorders>
                    <w:top w:val="none" w:color="000000" w:sz="4"/>
                    <w:left w:val="none" w:color="000000" w:sz="4"/>
                    <w:bottom w:val="single" w:color="000000" w:sz="4"/>
                    <w:right w:val="single" w:color="000000" w:sz="4"/>
                  </w:tcBorders>
                  <w:shd w:fill="FFFFFF"/>
                  <w:vAlign w:val="top"/>
                </w:tcPr>
                <w:p>
                  <w:pPr>
                    <w:jc w:val="center"/>
                  </w:pPr>
                  <w:r>
                    <w:rPr>
                      <w:color w:val="000000"/>
                      <w:sz w:val="20"/>
                    </w:rPr>
                    <w:t>26.000</w:t>
                  </w:r>
                </w:p>
              </w:tc>
            </w:tr>
            <w:tr>
              <w:tc>
                <w:tcPr>
                  <w:tcW w:type="dxa" w:w="655"/>
                  <w:tcBorders>
                    <w:top w:val="none" w:color="000000" w:sz="4"/>
                    <w:left w:val="single" w:color="000000" w:sz="4"/>
                    <w:bottom w:val="single" w:color="000000" w:sz="4"/>
                    <w:right w:val="single" w:color="000000" w:sz="4"/>
                  </w:tcBorders>
                  <w:shd w:fill="FFFFFF"/>
                  <w:vAlign w:val="top"/>
                </w:tcPr>
                <w:p>
                  <w:pPr>
                    <w:jc w:val="center"/>
                  </w:pPr>
                  <w:r>
                    <w:rPr>
                      <w:color w:val="000000"/>
                      <w:sz w:val="20"/>
                    </w:rPr>
                    <w:t>6</w:t>
                  </w:r>
                </w:p>
              </w:tc>
              <w:tc>
                <w:tcPr>
                  <w:tcW w:type="dxa" w:w="753"/>
                  <w:tcBorders>
                    <w:top w:val="none" w:color="000000" w:sz="4"/>
                    <w:left w:val="none" w:color="000000" w:sz="4"/>
                    <w:bottom w:val="single" w:color="000000" w:sz="4"/>
                    <w:right w:val="single" w:color="000000" w:sz="4"/>
                  </w:tcBorders>
                  <w:shd w:fill="FFFFFF"/>
                  <w:vAlign w:val="top"/>
                </w:tcPr>
                <w:p>
                  <w:pPr>
                    <w:jc w:val="left"/>
                  </w:pPr>
                  <w:r>
                    <w:rPr>
                      <w:color w:val="000000"/>
                      <w:sz w:val="20"/>
                    </w:rPr>
                    <w:t>智能信号机更换</w:t>
                  </w:r>
                </w:p>
              </w:tc>
              <w:tc>
                <w:tcPr>
                  <w:tcW w:type="dxa" w:w="2446"/>
                  <w:tcBorders>
                    <w:top w:val="none" w:color="000000" w:sz="4"/>
                    <w:left w:val="none" w:color="000000" w:sz="4"/>
                    <w:bottom w:val="single" w:color="000000" w:sz="4"/>
                    <w:right w:val="single" w:color="000000" w:sz="4"/>
                  </w:tcBorders>
                  <w:shd w:fill="FFFFFF"/>
                  <w:vAlign w:val="top"/>
                </w:tcPr>
                <w:p>
                  <w:pPr>
                    <w:jc w:val="left"/>
                  </w:pPr>
                  <w:r>
                    <w:rPr>
                      <w:color w:val="000000"/>
                      <w:sz w:val="20"/>
                    </w:rPr>
                    <w:t>1、智能信号机更换</w:t>
                  </w:r>
                  <w:r>
                    <w:br/>
                  </w:r>
                  <w:r>
                    <w:rPr>
                      <w:color w:val="000000"/>
                      <w:sz w:val="20"/>
                    </w:rPr>
                    <w:t>2、管理期一年</w:t>
                  </w:r>
                </w:p>
              </w:tc>
              <w:tc>
                <w:tcPr>
                  <w:tcW w:type="dxa" w:w="665"/>
                  <w:tcBorders>
                    <w:top w:val="none" w:color="000000" w:sz="4"/>
                    <w:left w:val="none" w:color="000000" w:sz="4"/>
                    <w:bottom w:val="single" w:color="000000" w:sz="4"/>
                    <w:right w:val="single" w:color="000000" w:sz="4"/>
                  </w:tcBorders>
                  <w:shd w:fill="FFFFFF"/>
                  <w:vAlign w:val="top"/>
                </w:tcPr>
                <w:p>
                  <w:pPr>
                    <w:jc w:val="center"/>
                  </w:pPr>
                  <w:r>
                    <w:rPr>
                      <w:color w:val="000000"/>
                      <w:sz w:val="20"/>
                    </w:rPr>
                    <w:t>组</w:t>
                  </w:r>
                </w:p>
              </w:tc>
              <w:tc>
                <w:tcPr>
                  <w:tcW w:type="dxa" w:w="1047"/>
                  <w:tcBorders>
                    <w:top w:val="none" w:color="000000" w:sz="4"/>
                    <w:left w:val="none" w:color="000000" w:sz="4"/>
                    <w:bottom w:val="single" w:color="000000" w:sz="4"/>
                    <w:right w:val="single" w:color="000000" w:sz="4"/>
                  </w:tcBorders>
                  <w:shd w:fill="FFFFFF"/>
                  <w:vAlign w:val="top"/>
                </w:tcPr>
                <w:p>
                  <w:pPr>
                    <w:jc w:val="center"/>
                  </w:pPr>
                  <w:r>
                    <w:rPr>
                      <w:color w:val="000000"/>
                      <w:sz w:val="20"/>
                    </w:rPr>
                    <w:t>1.000</w:t>
                  </w:r>
                </w:p>
              </w:tc>
            </w:tr>
            <w:tr>
              <w:tc>
                <w:tcPr>
                  <w:tcW w:type="dxa" w:w="655"/>
                  <w:tcBorders>
                    <w:top w:val="none" w:color="000000" w:sz="4"/>
                    <w:left w:val="single" w:color="000000" w:sz="4"/>
                    <w:bottom w:val="single" w:color="000000" w:sz="4"/>
                    <w:right w:val="single" w:color="000000" w:sz="4"/>
                  </w:tcBorders>
                  <w:shd w:fill="FFFFFF"/>
                  <w:vAlign w:val="top"/>
                </w:tcPr>
                <w:p>
                  <w:pPr>
                    <w:jc w:val="center"/>
                  </w:pPr>
                  <w:r>
                    <w:rPr>
                      <w:color w:val="000000"/>
                      <w:sz w:val="20"/>
                    </w:rPr>
                    <w:t>7</w:t>
                  </w:r>
                </w:p>
              </w:tc>
              <w:tc>
                <w:tcPr>
                  <w:tcW w:type="dxa" w:w="753"/>
                  <w:tcBorders>
                    <w:top w:val="none" w:color="000000" w:sz="4"/>
                    <w:left w:val="none" w:color="000000" w:sz="4"/>
                    <w:bottom w:val="single" w:color="000000" w:sz="4"/>
                    <w:right w:val="single" w:color="000000" w:sz="4"/>
                  </w:tcBorders>
                  <w:shd w:fill="FFFFFF"/>
                  <w:vAlign w:val="top"/>
                </w:tcPr>
                <w:p>
                  <w:pPr>
                    <w:jc w:val="left"/>
                  </w:pPr>
                  <w:r>
                    <w:rPr>
                      <w:color w:val="000000"/>
                      <w:sz w:val="20"/>
                    </w:rPr>
                    <w:t>蓄电池</w:t>
                  </w:r>
                </w:p>
              </w:tc>
              <w:tc>
                <w:tcPr>
                  <w:tcW w:type="dxa" w:w="2446"/>
                  <w:tcBorders>
                    <w:top w:val="none" w:color="000000" w:sz="4"/>
                    <w:left w:val="none" w:color="000000" w:sz="4"/>
                    <w:bottom w:val="single" w:color="000000" w:sz="4"/>
                    <w:right w:val="single" w:color="000000" w:sz="4"/>
                  </w:tcBorders>
                  <w:shd w:fill="FFFFFF"/>
                  <w:vAlign w:val="top"/>
                </w:tcPr>
                <w:p>
                  <w:pPr>
                    <w:jc w:val="left"/>
                  </w:pPr>
                  <w:r>
                    <w:rPr>
                      <w:color w:val="000000"/>
                      <w:sz w:val="20"/>
                    </w:rPr>
                    <w:t>1、移动交通灯电池更新                          2、每年每组移动交通灯需更新电池一个</w:t>
                  </w:r>
                  <w:r>
                    <w:br/>
                  </w:r>
                  <w:r>
                    <w:rPr>
                      <w:color w:val="000000"/>
                      <w:sz w:val="20"/>
                    </w:rPr>
                    <w:t>3、管理期一年</w:t>
                  </w:r>
                </w:p>
              </w:tc>
              <w:tc>
                <w:tcPr>
                  <w:tcW w:type="dxa" w:w="665"/>
                  <w:tcBorders>
                    <w:top w:val="none" w:color="000000" w:sz="4"/>
                    <w:left w:val="none" w:color="000000" w:sz="4"/>
                    <w:bottom w:val="single" w:color="000000" w:sz="4"/>
                    <w:right w:val="single" w:color="000000" w:sz="4"/>
                  </w:tcBorders>
                  <w:shd w:fill="FFFFFF"/>
                  <w:vAlign w:val="top"/>
                </w:tcPr>
                <w:p>
                  <w:pPr>
                    <w:jc w:val="center"/>
                  </w:pPr>
                  <w:r>
                    <w:rPr>
                      <w:color w:val="000000"/>
                      <w:sz w:val="20"/>
                    </w:rPr>
                    <w:t>组</w:t>
                  </w:r>
                </w:p>
              </w:tc>
              <w:tc>
                <w:tcPr>
                  <w:tcW w:type="dxa" w:w="1047"/>
                  <w:tcBorders>
                    <w:top w:val="none" w:color="000000" w:sz="4"/>
                    <w:left w:val="none" w:color="000000" w:sz="4"/>
                    <w:bottom w:val="single" w:color="000000" w:sz="4"/>
                    <w:right w:val="single" w:color="000000" w:sz="4"/>
                  </w:tcBorders>
                  <w:shd w:fill="FFFFFF"/>
                  <w:vAlign w:val="top"/>
                </w:tcPr>
                <w:p>
                  <w:pPr>
                    <w:jc w:val="center"/>
                  </w:pPr>
                  <w:r>
                    <w:rPr>
                      <w:color w:val="000000"/>
                      <w:sz w:val="20"/>
                    </w:rPr>
                    <w:t>11.000</w:t>
                  </w:r>
                </w:p>
              </w:tc>
            </w:tr>
            <w:tr>
              <w:tc>
                <w:tcPr>
                  <w:tcW w:type="dxa" w:w="655"/>
                  <w:tcBorders>
                    <w:top w:val="none" w:color="000000" w:sz="4"/>
                    <w:left w:val="single" w:color="000000" w:sz="4"/>
                    <w:bottom w:val="single" w:color="000000" w:sz="4"/>
                    <w:right w:val="single" w:color="000000" w:sz="4"/>
                  </w:tcBorders>
                  <w:shd w:fill="FFFFFF"/>
                  <w:vAlign w:val="top"/>
                </w:tcPr>
                <w:p>
                  <w:pPr>
                    <w:jc w:val="center"/>
                  </w:pPr>
                  <w:r>
                    <w:rPr>
                      <w:color w:val="000000"/>
                      <w:sz w:val="20"/>
                    </w:rPr>
                    <w:t>8</w:t>
                  </w:r>
                </w:p>
              </w:tc>
              <w:tc>
                <w:tcPr>
                  <w:tcW w:type="dxa" w:w="753"/>
                  <w:tcBorders>
                    <w:top w:val="none" w:color="000000" w:sz="4"/>
                    <w:left w:val="none" w:color="000000" w:sz="4"/>
                    <w:bottom w:val="single" w:color="000000" w:sz="4"/>
                    <w:right w:val="single" w:color="000000" w:sz="4"/>
                  </w:tcBorders>
                  <w:shd w:fill="FFFFFF"/>
                  <w:vAlign w:val="top"/>
                </w:tcPr>
                <w:p>
                  <w:pPr>
                    <w:jc w:val="left"/>
                  </w:pPr>
                  <w:r>
                    <w:rPr>
                      <w:color w:val="000000"/>
                      <w:sz w:val="20"/>
                    </w:rPr>
                    <w:t>蓄电池</w:t>
                  </w:r>
                </w:p>
              </w:tc>
              <w:tc>
                <w:tcPr>
                  <w:tcW w:type="dxa" w:w="2446"/>
                  <w:tcBorders>
                    <w:top w:val="none" w:color="000000" w:sz="4"/>
                    <w:left w:val="none" w:color="000000" w:sz="4"/>
                    <w:bottom w:val="single" w:color="000000" w:sz="4"/>
                    <w:right w:val="single" w:color="000000" w:sz="4"/>
                  </w:tcBorders>
                  <w:shd w:fill="FFFFFF"/>
                  <w:vAlign w:val="top"/>
                </w:tcPr>
                <w:p>
                  <w:pPr>
                    <w:jc w:val="left"/>
                  </w:pPr>
                  <w:r>
                    <w:rPr>
                      <w:color w:val="000000"/>
                      <w:sz w:val="20"/>
                    </w:rPr>
                    <w:t>1、移动交通灯电池更换（含充电费用）</w:t>
                  </w:r>
                  <w:r>
                    <w:br/>
                  </w:r>
                  <w:r>
                    <w:rPr>
                      <w:color w:val="000000"/>
                      <w:sz w:val="20"/>
                    </w:rPr>
                    <w:t>2、每组移动交通灯，每半个月需到现场更换备用电池，再拿走原装电池回厂充电，如此循环返复的操作，包括安装、汽车运输及人工费</w:t>
                  </w:r>
                  <w:r>
                    <w:br/>
                  </w:r>
                  <w:r>
                    <w:rPr>
                      <w:color w:val="000000"/>
                      <w:sz w:val="20"/>
                    </w:rPr>
                    <w:t>2、管理期一年</w:t>
                  </w:r>
                </w:p>
              </w:tc>
              <w:tc>
                <w:tcPr>
                  <w:tcW w:type="dxa" w:w="665"/>
                  <w:tcBorders>
                    <w:top w:val="none" w:color="000000" w:sz="4"/>
                    <w:left w:val="none" w:color="000000" w:sz="4"/>
                    <w:bottom w:val="single" w:color="000000" w:sz="4"/>
                    <w:right w:val="single" w:color="000000" w:sz="4"/>
                  </w:tcBorders>
                  <w:shd w:fill="FFFFFF"/>
                  <w:vAlign w:val="top"/>
                </w:tcPr>
                <w:p>
                  <w:pPr>
                    <w:jc w:val="center"/>
                  </w:pPr>
                  <w:r>
                    <w:rPr>
                      <w:color w:val="000000"/>
                      <w:sz w:val="20"/>
                    </w:rPr>
                    <w:t>组</w:t>
                  </w:r>
                </w:p>
              </w:tc>
              <w:tc>
                <w:tcPr>
                  <w:tcW w:type="dxa" w:w="1047"/>
                  <w:tcBorders>
                    <w:top w:val="none" w:color="000000" w:sz="4"/>
                    <w:left w:val="none" w:color="000000" w:sz="4"/>
                    <w:bottom w:val="single" w:color="000000" w:sz="4"/>
                    <w:right w:val="single" w:color="000000" w:sz="4"/>
                  </w:tcBorders>
                  <w:shd w:fill="FFFFFF"/>
                  <w:vAlign w:val="top"/>
                </w:tcPr>
                <w:p>
                  <w:pPr>
                    <w:jc w:val="center"/>
                  </w:pPr>
                  <w:r>
                    <w:rPr>
                      <w:color w:val="000000"/>
                      <w:sz w:val="20"/>
                    </w:rPr>
                    <w:t>11.000</w:t>
                  </w:r>
                </w:p>
              </w:tc>
            </w:tr>
            <w:tr>
              <w:tc>
                <w:tcPr>
                  <w:tcW w:type="dxa" w:w="655"/>
                  <w:tcBorders>
                    <w:top w:val="none" w:color="000000" w:sz="4"/>
                    <w:left w:val="single" w:color="000000" w:sz="4"/>
                    <w:bottom w:val="single" w:color="000000" w:sz="4"/>
                    <w:right w:val="single" w:color="000000" w:sz="4"/>
                  </w:tcBorders>
                  <w:shd w:fill="FFFFFF"/>
                  <w:vAlign w:val="top"/>
                </w:tcPr>
                <w:p>
                  <w:pPr>
                    <w:jc w:val="center"/>
                  </w:pPr>
                  <w:r>
                    <w:rPr>
                      <w:color w:val="000000"/>
                      <w:sz w:val="20"/>
                    </w:rPr>
                    <w:t>9</w:t>
                  </w:r>
                </w:p>
              </w:tc>
              <w:tc>
                <w:tcPr>
                  <w:tcW w:type="dxa" w:w="753"/>
                  <w:tcBorders>
                    <w:top w:val="none" w:color="000000" w:sz="4"/>
                    <w:left w:val="none" w:color="000000" w:sz="4"/>
                    <w:bottom w:val="single" w:color="000000" w:sz="4"/>
                    <w:right w:val="single" w:color="000000" w:sz="4"/>
                  </w:tcBorders>
                  <w:shd w:fill="FFFFFF"/>
                  <w:vAlign w:val="top"/>
                </w:tcPr>
                <w:p>
                  <w:pPr>
                    <w:jc w:val="left"/>
                  </w:pPr>
                  <w:r>
                    <w:rPr>
                      <w:color w:val="000000"/>
                      <w:sz w:val="20"/>
                    </w:rPr>
                    <w:t>水平导向钻进</w:t>
                  </w:r>
                </w:p>
              </w:tc>
              <w:tc>
                <w:tcPr>
                  <w:tcW w:type="dxa" w:w="2446"/>
                  <w:tcBorders>
                    <w:top w:val="none" w:color="000000" w:sz="4"/>
                    <w:left w:val="none" w:color="000000" w:sz="4"/>
                    <w:bottom w:val="single" w:color="000000" w:sz="4"/>
                    <w:right w:val="single" w:color="000000" w:sz="4"/>
                  </w:tcBorders>
                  <w:shd w:fill="FFFFFF"/>
                  <w:vAlign w:val="top"/>
                </w:tcPr>
                <w:p>
                  <w:pPr>
                    <w:jc w:val="left"/>
                  </w:pPr>
                  <w:r>
                    <w:rPr>
                      <w:color w:val="000000"/>
                      <w:sz w:val="20"/>
                    </w:rPr>
                    <w:t>1、φ110*10 过路PE顶管敷设</w:t>
                  </w:r>
                  <w:r>
                    <w:br/>
                  </w:r>
                  <w:r>
                    <w:rPr>
                      <w:color w:val="000000"/>
                      <w:sz w:val="20"/>
                    </w:rPr>
                    <w:t>2、管理期一年</w:t>
                  </w:r>
                </w:p>
              </w:tc>
              <w:tc>
                <w:tcPr>
                  <w:tcW w:type="dxa" w:w="665"/>
                  <w:tcBorders>
                    <w:top w:val="none" w:color="000000" w:sz="4"/>
                    <w:left w:val="none" w:color="000000" w:sz="4"/>
                    <w:bottom w:val="single" w:color="000000" w:sz="4"/>
                    <w:right w:val="single" w:color="000000" w:sz="4"/>
                  </w:tcBorders>
                  <w:shd w:fill="FFFFFF"/>
                  <w:vAlign w:val="top"/>
                </w:tcPr>
                <w:p>
                  <w:pPr>
                    <w:jc w:val="center"/>
                  </w:pPr>
                  <w:r>
                    <w:rPr>
                      <w:color w:val="000000"/>
                      <w:sz w:val="20"/>
                    </w:rPr>
                    <w:t>m</w:t>
                  </w:r>
                </w:p>
              </w:tc>
              <w:tc>
                <w:tcPr>
                  <w:tcW w:type="dxa" w:w="1047"/>
                  <w:tcBorders>
                    <w:top w:val="none" w:color="000000" w:sz="4"/>
                    <w:left w:val="none" w:color="000000" w:sz="4"/>
                    <w:bottom w:val="single" w:color="000000" w:sz="4"/>
                    <w:right w:val="single" w:color="000000" w:sz="4"/>
                  </w:tcBorders>
                  <w:shd w:fill="FFFFFF"/>
                  <w:vAlign w:val="top"/>
                </w:tcPr>
                <w:p>
                  <w:pPr>
                    <w:jc w:val="center"/>
                  </w:pPr>
                  <w:r>
                    <w:rPr>
                      <w:color w:val="000000"/>
                      <w:sz w:val="20"/>
                    </w:rPr>
                    <w:t>80.000</w:t>
                  </w:r>
                </w:p>
              </w:tc>
            </w:tr>
            <w:tr>
              <w:tc>
                <w:tcPr>
                  <w:tcW w:type="dxa" w:w="655"/>
                  <w:tcBorders>
                    <w:top w:val="none" w:color="000000" w:sz="4"/>
                    <w:left w:val="single" w:color="000000" w:sz="4"/>
                    <w:bottom w:val="single" w:color="000000" w:sz="4"/>
                    <w:right w:val="single" w:color="000000" w:sz="4"/>
                  </w:tcBorders>
                  <w:shd w:fill="FFFFFF"/>
                  <w:vAlign w:val="top"/>
                </w:tcPr>
                <w:p>
                  <w:pPr>
                    <w:jc w:val="center"/>
                  </w:pPr>
                  <w:r>
                    <w:rPr>
                      <w:color w:val="000000"/>
                      <w:sz w:val="20"/>
                    </w:rPr>
                    <w:t>10</w:t>
                  </w:r>
                </w:p>
              </w:tc>
              <w:tc>
                <w:tcPr>
                  <w:tcW w:type="dxa" w:w="753"/>
                  <w:tcBorders>
                    <w:top w:val="none" w:color="000000" w:sz="4"/>
                    <w:left w:val="none" w:color="000000" w:sz="4"/>
                    <w:bottom w:val="single" w:color="000000" w:sz="4"/>
                    <w:right w:val="single" w:color="000000" w:sz="4"/>
                  </w:tcBorders>
                  <w:shd w:fill="FFFFFF"/>
                  <w:vAlign w:val="top"/>
                </w:tcPr>
                <w:p>
                  <w:pPr>
                    <w:jc w:val="left"/>
                  </w:pPr>
                  <w:r>
                    <w:rPr>
                      <w:color w:val="000000"/>
                      <w:sz w:val="20"/>
                    </w:rPr>
                    <w:t>配管</w:t>
                  </w:r>
                </w:p>
              </w:tc>
              <w:tc>
                <w:tcPr>
                  <w:tcW w:type="dxa" w:w="2446"/>
                  <w:tcBorders>
                    <w:top w:val="none" w:color="000000" w:sz="4"/>
                    <w:left w:val="none" w:color="000000" w:sz="4"/>
                    <w:bottom w:val="single" w:color="000000" w:sz="4"/>
                    <w:right w:val="single" w:color="000000" w:sz="4"/>
                  </w:tcBorders>
                  <w:shd w:fill="FFFFFF"/>
                  <w:vAlign w:val="top"/>
                </w:tcPr>
                <w:p>
                  <w:pPr>
                    <w:jc w:val="left"/>
                  </w:pPr>
                  <w:r>
                    <w:rPr>
                      <w:color w:val="000000"/>
                      <w:sz w:val="20"/>
                    </w:rPr>
                    <w:t>1、φ90PE电线管埋地敷设（含挖地面费用）</w:t>
                  </w:r>
                  <w:r>
                    <w:br/>
                  </w:r>
                  <w:r>
                    <w:rPr>
                      <w:color w:val="000000"/>
                      <w:sz w:val="20"/>
                    </w:rPr>
                    <w:t>2、管理器一年</w:t>
                  </w:r>
                </w:p>
              </w:tc>
              <w:tc>
                <w:tcPr>
                  <w:tcW w:type="dxa" w:w="665"/>
                  <w:tcBorders>
                    <w:top w:val="none" w:color="000000" w:sz="4"/>
                    <w:left w:val="none" w:color="000000" w:sz="4"/>
                    <w:bottom w:val="single" w:color="000000" w:sz="4"/>
                    <w:right w:val="single" w:color="000000" w:sz="4"/>
                  </w:tcBorders>
                  <w:shd w:fill="FFFFFF"/>
                  <w:vAlign w:val="top"/>
                </w:tcPr>
                <w:p>
                  <w:pPr>
                    <w:jc w:val="center"/>
                  </w:pPr>
                  <w:r>
                    <w:rPr>
                      <w:color w:val="000000"/>
                      <w:sz w:val="20"/>
                    </w:rPr>
                    <w:t>m</w:t>
                  </w:r>
                </w:p>
              </w:tc>
              <w:tc>
                <w:tcPr>
                  <w:tcW w:type="dxa" w:w="1047"/>
                  <w:tcBorders>
                    <w:top w:val="none" w:color="000000" w:sz="4"/>
                    <w:left w:val="none" w:color="000000" w:sz="4"/>
                    <w:bottom w:val="single" w:color="000000" w:sz="4"/>
                    <w:right w:val="single" w:color="000000" w:sz="4"/>
                  </w:tcBorders>
                  <w:shd w:fill="FFFFFF"/>
                  <w:vAlign w:val="top"/>
                </w:tcPr>
                <w:p>
                  <w:pPr>
                    <w:jc w:val="center"/>
                  </w:pPr>
                  <w:r>
                    <w:rPr>
                      <w:color w:val="000000"/>
                      <w:sz w:val="20"/>
                    </w:rPr>
                    <w:t>265.000</w:t>
                  </w:r>
                </w:p>
              </w:tc>
            </w:tr>
            <w:tr>
              <w:tc>
                <w:tcPr>
                  <w:tcW w:type="dxa" w:w="655"/>
                  <w:tcBorders>
                    <w:top w:val="none" w:color="000000" w:sz="4"/>
                    <w:left w:val="single" w:color="000000" w:sz="4"/>
                    <w:bottom w:val="single" w:color="000000" w:sz="4"/>
                    <w:right w:val="single" w:color="000000" w:sz="4"/>
                  </w:tcBorders>
                  <w:shd w:fill="FFFFFF"/>
                  <w:vAlign w:val="top"/>
                </w:tcPr>
                <w:p>
                  <w:pPr>
                    <w:jc w:val="center"/>
                  </w:pPr>
                  <w:r>
                    <w:rPr>
                      <w:color w:val="000000"/>
                      <w:sz w:val="20"/>
                    </w:rPr>
                    <w:t>11</w:t>
                  </w:r>
                </w:p>
              </w:tc>
              <w:tc>
                <w:tcPr>
                  <w:tcW w:type="dxa" w:w="753"/>
                  <w:tcBorders>
                    <w:top w:val="none" w:color="000000" w:sz="4"/>
                    <w:left w:val="none" w:color="000000" w:sz="4"/>
                    <w:bottom w:val="single" w:color="000000" w:sz="4"/>
                    <w:right w:val="single" w:color="000000" w:sz="4"/>
                  </w:tcBorders>
                  <w:shd w:fill="FFFFFF"/>
                  <w:vAlign w:val="top"/>
                </w:tcPr>
                <w:p>
                  <w:pPr>
                    <w:jc w:val="left"/>
                  </w:pPr>
                  <w:r>
                    <w:rPr>
                      <w:color w:val="000000"/>
                      <w:sz w:val="20"/>
                    </w:rPr>
                    <w:t>配线</w:t>
                  </w:r>
                </w:p>
              </w:tc>
              <w:tc>
                <w:tcPr>
                  <w:tcW w:type="dxa" w:w="2446"/>
                  <w:tcBorders>
                    <w:top w:val="none" w:color="000000" w:sz="4"/>
                    <w:left w:val="none" w:color="000000" w:sz="4"/>
                    <w:bottom w:val="single" w:color="000000" w:sz="4"/>
                    <w:right w:val="single" w:color="000000" w:sz="4"/>
                  </w:tcBorders>
                  <w:shd w:fill="FFFFFF"/>
                  <w:vAlign w:val="top"/>
                </w:tcPr>
                <w:p>
                  <w:pPr>
                    <w:jc w:val="left"/>
                  </w:pPr>
                  <w:r>
                    <w:rPr>
                      <w:color w:val="000000"/>
                      <w:sz w:val="20"/>
                    </w:rPr>
                    <w:t>1、管内穿线 动力线路(铜芯)</w:t>
                  </w:r>
                  <w:r>
                    <w:br/>
                  </w:r>
                  <w:r>
                    <w:rPr>
                      <w:color w:val="000000"/>
                      <w:sz w:val="20"/>
                    </w:rPr>
                    <w:t>2、规格：VV-3*10mm2</w:t>
                  </w:r>
                  <w:r>
                    <w:br/>
                  </w:r>
                  <w:r>
                    <w:rPr>
                      <w:color w:val="000000"/>
                      <w:sz w:val="20"/>
                    </w:rPr>
                    <w:t>3、管理期一年</w:t>
                  </w:r>
                </w:p>
              </w:tc>
              <w:tc>
                <w:tcPr>
                  <w:tcW w:type="dxa" w:w="665"/>
                  <w:tcBorders>
                    <w:top w:val="none" w:color="000000" w:sz="4"/>
                    <w:left w:val="none" w:color="000000" w:sz="4"/>
                    <w:bottom w:val="single" w:color="000000" w:sz="4"/>
                    <w:right w:val="single" w:color="000000" w:sz="4"/>
                  </w:tcBorders>
                  <w:shd w:fill="FFFFFF"/>
                  <w:vAlign w:val="top"/>
                </w:tcPr>
                <w:p>
                  <w:pPr>
                    <w:jc w:val="center"/>
                  </w:pPr>
                  <w:r>
                    <w:rPr>
                      <w:color w:val="000000"/>
                      <w:sz w:val="20"/>
                    </w:rPr>
                    <w:t>m</w:t>
                  </w:r>
                </w:p>
              </w:tc>
              <w:tc>
                <w:tcPr>
                  <w:tcW w:type="dxa" w:w="1047"/>
                  <w:tcBorders>
                    <w:top w:val="none" w:color="000000" w:sz="4"/>
                    <w:left w:val="none" w:color="000000" w:sz="4"/>
                    <w:bottom w:val="single" w:color="000000" w:sz="4"/>
                    <w:right w:val="single" w:color="000000" w:sz="4"/>
                  </w:tcBorders>
                  <w:shd w:fill="FFFFFF"/>
                  <w:vAlign w:val="top"/>
                </w:tcPr>
                <w:p>
                  <w:pPr>
                    <w:jc w:val="center"/>
                  </w:pPr>
                  <w:r>
                    <w:rPr>
                      <w:color w:val="000000"/>
                      <w:sz w:val="20"/>
                    </w:rPr>
                    <w:t>204.000</w:t>
                  </w:r>
                </w:p>
              </w:tc>
            </w:tr>
            <w:tr>
              <w:tc>
                <w:tcPr>
                  <w:tcW w:type="dxa" w:w="655"/>
                  <w:tcBorders>
                    <w:top w:val="none" w:color="000000" w:sz="4"/>
                    <w:left w:val="single" w:color="000000" w:sz="4"/>
                    <w:bottom w:val="single" w:color="000000" w:sz="4"/>
                    <w:right w:val="single" w:color="000000" w:sz="4"/>
                  </w:tcBorders>
                  <w:shd w:fill="FFFFFF"/>
                  <w:vAlign w:val="top"/>
                </w:tcPr>
                <w:p>
                  <w:pPr>
                    <w:jc w:val="center"/>
                  </w:pPr>
                  <w:r>
                    <w:rPr>
                      <w:color w:val="000000"/>
                      <w:sz w:val="20"/>
                    </w:rPr>
                    <w:t>12</w:t>
                  </w:r>
                </w:p>
              </w:tc>
              <w:tc>
                <w:tcPr>
                  <w:tcW w:type="dxa" w:w="753"/>
                  <w:tcBorders>
                    <w:top w:val="none" w:color="000000" w:sz="4"/>
                    <w:left w:val="none" w:color="000000" w:sz="4"/>
                    <w:bottom w:val="single" w:color="000000" w:sz="4"/>
                    <w:right w:val="single" w:color="000000" w:sz="4"/>
                  </w:tcBorders>
                  <w:shd w:fill="FFFFFF"/>
                  <w:vAlign w:val="top"/>
                </w:tcPr>
                <w:p>
                  <w:pPr>
                    <w:jc w:val="left"/>
                  </w:pPr>
                  <w:r>
                    <w:rPr>
                      <w:color w:val="000000"/>
                      <w:sz w:val="20"/>
                    </w:rPr>
                    <w:t>配线</w:t>
                  </w:r>
                </w:p>
              </w:tc>
              <w:tc>
                <w:tcPr>
                  <w:tcW w:type="dxa" w:w="2446"/>
                  <w:tcBorders>
                    <w:top w:val="none" w:color="000000" w:sz="4"/>
                    <w:left w:val="none" w:color="000000" w:sz="4"/>
                    <w:bottom w:val="single" w:color="000000" w:sz="4"/>
                    <w:right w:val="single" w:color="000000" w:sz="4"/>
                  </w:tcBorders>
                  <w:shd w:fill="FFFFFF"/>
                  <w:vAlign w:val="top"/>
                </w:tcPr>
                <w:p>
                  <w:pPr>
                    <w:jc w:val="left"/>
                  </w:pPr>
                  <w:r>
                    <w:rPr>
                      <w:color w:val="000000"/>
                      <w:sz w:val="20"/>
                    </w:rPr>
                    <w:t>1、管内穿线 动力线路(铜芯)</w:t>
                  </w:r>
                  <w:r>
                    <w:br/>
                  </w:r>
                  <w:r>
                    <w:rPr>
                      <w:color w:val="000000"/>
                      <w:sz w:val="20"/>
                    </w:rPr>
                    <w:t>2、规格：RVV-5*1.5mm2</w:t>
                  </w:r>
                  <w:r>
                    <w:br/>
                  </w:r>
                  <w:r>
                    <w:rPr>
                      <w:color w:val="000000"/>
                      <w:sz w:val="20"/>
                    </w:rPr>
                    <w:t>3、管理期一年</w:t>
                  </w:r>
                </w:p>
              </w:tc>
              <w:tc>
                <w:tcPr>
                  <w:tcW w:type="dxa" w:w="665"/>
                  <w:tcBorders>
                    <w:top w:val="none" w:color="000000" w:sz="4"/>
                    <w:left w:val="none" w:color="000000" w:sz="4"/>
                    <w:bottom w:val="single" w:color="000000" w:sz="4"/>
                    <w:right w:val="single" w:color="000000" w:sz="4"/>
                  </w:tcBorders>
                  <w:shd w:fill="FFFFFF"/>
                  <w:vAlign w:val="top"/>
                </w:tcPr>
                <w:p>
                  <w:pPr>
                    <w:jc w:val="center"/>
                  </w:pPr>
                  <w:r>
                    <w:rPr>
                      <w:color w:val="000000"/>
                      <w:sz w:val="20"/>
                    </w:rPr>
                    <w:t>m</w:t>
                  </w:r>
                </w:p>
              </w:tc>
              <w:tc>
                <w:tcPr>
                  <w:tcW w:type="dxa" w:w="1047"/>
                  <w:tcBorders>
                    <w:top w:val="none" w:color="000000" w:sz="4"/>
                    <w:left w:val="none" w:color="000000" w:sz="4"/>
                    <w:bottom w:val="single" w:color="000000" w:sz="4"/>
                    <w:right w:val="single" w:color="000000" w:sz="4"/>
                  </w:tcBorders>
                  <w:shd w:fill="FFFFFF"/>
                  <w:vAlign w:val="top"/>
                </w:tcPr>
                <w:p>
                  <w:pPr>
                    <w:jc w:val="center"/>
                  </w:pPr>
                  <w:r>
                    <w:rPr>
                      <w:color w:val="000000"/>
                      <w:sz w:val="20"/>
                    </w:rPr>
                    <w:t>300.000</w:t>
                  </w:r>
                </w:p>
              </w:tc>
            </w:tr>
            <w:tr>
              <w:tc>
                <w:tcPr>
                  <w:tcW w:type="dxa" w:w="655"/>
                  <w:tcBorders>
                    <w:top w:val="none" w:color="000000" w:sz="4"/>
                    <w:left w:val="single" w:color="000000" w:sz="4"/>
                    <w:bottom w:val="single" w:color="000000" w:sz="4"/>
                    <w:right w:val="single" w:color="000000" w:sz="4"/>
                  </w:tcBorders>
                  <w:shd w:fill="FFFFFF"/>
                  <w:vAlign w:val="top"/>
                </w:tcPr>
                <w:p>
                  <w:pPr>
                    <w:jc w:val="center"/>
                  </w:pPr>
                  <w:r>
                    <w:rPr>
                      <w:color w:val="000000"/>
                      <w:sz w:val="20"/>
                    </w:rPr>
                    <w:t>13</w:t>
                  </w:r>
                </w:p>
              </w:tc>
              <w:tc>
                <w:tcPr>
                  <w:tcW w:type="dxa" w:w="753"/>
                  <w:tcBorders>
                    <w:top w:val="none" w:color="000000" w:sz="4"/>
                    <w:left w:val="none" w:color="000000" w:sz="4"/>
                    <w:bottom w:val="single" w:color="000000" w:sz="4"/>
                    <w:right w:val="single" w:color="000000" w:sz="4"/>
                  </w:tcBorders>
                  <w:shd w:fill="FFFFFF"/>
                  <w:vAlign w:val="top"/>
                </w:tcPr>
                <w:p>
                  <w:pPr>
                    <w:jc w:val="left"/>
                  </w:pPr>
                  <w:r>
                    <w:rPr>
                      <w:color w:val="000000"/>
                      <w:sz w:val="20"/>
                    </w:rPr>
                    <w:t>穿线井</w:t>
                  </w:r>
                </w:p>
              </w:tc>
              <w:tc>
                <w:tcPr>
                  <w:tcW w:type="dxa" w:w="2446"/>
                  <w:tcBorders>
                    <w:top w:val="none" w:color="000000" w:sz="4"/>
                    <w:left w:val="none" w:color="000000" w:sz="4"/>
                    <w:bottom w:val="single" w:color="000000" w:sz="4"/>
                    <w:right w:val="single" w:color="000000" w:sz="4"/>
                  </w:tcBorders>
                  <w:shd w:fill="FFFFFF"/>
                  <w:vAlign w:val="top"/>
                </w:tcPr>
                <w:p>
                  <w:pPr>
                    <w:jc w:val="left"/>
                  </w:pPr>
                  <w:r>
                    <w:rPr>
                      <w:color w:val="000000"/>
                      <w:sz w:val="20"/>
                    </w:rPr>
                    <w:t>1、砌筑600*840*1000mm穿线井</w:t>
                  </w:r>
                  <w:r>
                    <w:br/>
                  </w:r>
                  <w:r>
                    <w:rPr>
                      <w:color w:val="000000"/>
                      <w:sz w:val="20"/>
                    </w:rPr>
                    <w:t>2、100mm厚碎石层</w:t>
                  </w:r>
                  <w:r>
                    <w:br/>
                  </w:r>
                  <w:r>
                    <w:rPr>
                      <w:color w:val="000000"/>
                      <w:sz w:val="20"/>
                    </w:rPr>
                    <w:t>3、井壁砌砖180mm厚，内壁抹1:3水泥砂浆</w:t>
                  </w:r>
                  <w:r>
                    <w:br/>
                  </w:r>
                  <w:r>
                    <w:rPr>
                      <w:color w:val="000000"/>
                      <w:sz w:val="20"/>
                    </w:rPr>
                    <w:t>4、井盖采用树脂复合材料600*800mm</w:t>
                  </w:r>
                </w:p>
              </w:tc>
              <w:tc>
                <w:tcPr>
                  <w:tcW w:type="dxa" w:w="665"/>
                  <w:tcBorders>
                    <w:top w:val="none" w:color="000000" w:sz="4"/>
                    <w:left w:val="none" w:color="000000" w:sz="4"/>
                    <w:bottom w:val="single" w:color="000000" w:sz="4"/>
                    <w:right w:val="single" w:color="000000" w:sz="4"/>
                  </w:tcBorders>
                  <w:shd w:fill="FFFFFF"/>
                  <w:vAlign w:val="top"/>
                </w:tcPr>
                <w:p>
                  <w:pPr>
                    <w:jc w:val="center"/>
                  </w:pPr>
                  <w:r>
                    <w:rPr>
                      <w:color w:val="000000"/>
                      <w:sz w:val="20"/>
                    </w:rPr>
                    <w:t>座</w:t>
                  </w:r>
                </w:p>
              </w:tc>
              <w:tc>
                <w:tcPr>
                  <w:tcW w:type="dxa" w:w="1047"/>
                  <w:tcBorders>
                    <w:top w:val="none" w:color="000000" w:sz="4"/>
                    <w:left w:val="none" w:color="000000" w:sz="4"/>
                    <w:bottom w:val="single" w:color="000000" w:sz="4"/>
                    <w:right w:val="single" w:color="000000" w:sz="4"/>
                  </w:tcBorders>
                  <w:shd w:fill="FFFFFF"/>
                  <w:vAlign w:val="top"/>
                </w:tcPr>
                <w:p>
                  <w:pPr>
                    <w:jc w:val="center"/>
                  </w:pPr>
                  <w:r>
                    <w:rPr>
                      <w:color w:val="000000"/>
                      <w:sz w:val="20"/>
                    </w:rPr>
                    <w:t>10.000</w:t>
                  </w:r>
                </w:p>
              </w:tc>
            </w:tr>
            <w:tr>
              <w:tc>
                <w:tcPr>
                  <w:tcW w:type="dxa" w:w="655"/>
                  <w:tcBorders>
                    <w:top w:val="none" w:color="000000" w:sz="4"/>
                    <w:left w:val="single" w:color="000000" w:sz="4"/>
                    <w:bottom w:val="single" w:color="000000" w:sz="4"/>
                    <w:right w:val="single" w:color="000000" w:sz="4"/>
                  </w:tcBorders>
                  <w:shd w:fill="FFFFFF"/>
                  <w:vAlign w:val="top"/>
                </w:tcPr>
                <w:p>
                  <w:pPr>
                    <w:jc w:val="center"/>
                  </w:pPr>
                  <w:r>
                    <w:rPr>
                      <w:color w:val="000000"/>
                      <w:sz w:val="20"/>
                    </w:rPr>
                    <w:t>14</w:t>
                  </w:r>
                </w:p>
              </w:tc>
              <w:tc>
                <w:tcPr>
                  <w:tcW w:type="dxa" w:w="753"/>
                  <w:tcBorders>
                    <w:top w:val="none" w:color="000000" w:sz="4"/>
                    <w:left w:val="none" w:color="000000" w:sz="4"/>
                    <w:bottom w:val="single" w:color="000000" w:sz="4"/>
                    <w:right w:val="single" w:color="000000" w:sz="4"/>
                  </w:tcBorders>
                  <w:shd w:fill="FFFFFF"/>
                  <w:vAlign w:val="top"/>
                </w:tcPr>
                <w:p>
                  <w:pPr>
                    <w:jc w:val="left"/>
                  </w:pPr>
                  <w:r>
                    <w:rPr>
                      <w:color w:val="000000"/>
                      <w:sz w:val="20"/>
                    </w:rPr>
                    <w:t>太阳能黄闪光灯设备</w:t>
                  </w:r>
                </w:p>
              </w:tc>
              <w:tc>
                <w:tcPr>
                  <w:tcW w:type="dxa" w:w="2446"/>
                  <w:tcBorders>
                    <w:top w:val="none" w:color="000000" w:sz="4"/>
                    <w:left w:val="none" w:color="000000" w:sz="4"/>
                    <w:bottom w:val="single" w:color="000000" w:sz="4"/>
                    <w:right w:val="single" w:color="000000" w:sz="4"/>
                  </w:tcBorders>
                  <w:shd w:fill="FFFFFF"/>
                  <w:vAlign w:val="top"/>
                </w:tcPr>
                <w:p>
                  <w:pPr>
                    <w:jc w:val="left"/>
                  </w:pPr>
                  <w:r>
                    <w:rPr>
                      <w:color w:val="000000"/>
                      <w:sz w:val="20"/>
                    </w:rPr>
                    <w:t>1、太阳能黄闪光灯配件更换（包括灯蕊、太阳接收板等设备）</w:t>
                  </w:r>
                  <w:r>
                    <w:br/>
                  </w:r>
                  <w:r>
                    <w:rPr>
                      <w:color w:val="000000"/>
                      <w:sz w:val="20"/>
                    </w:rPr>
                    <w:t>2、管理期一年</w:t>
                  </w:r>
                </w:p>
              </w:tc>
              <w:tc>
                <w:tcPr>
                  <w:tcW w:type="dxa" w:w="665"/>
                  <w:tcBorders>
                    <w:top w:val="none" w:color="000000" w:sz="4"/>
                    <w:left w:val="none" w:color="000000" w:sz="4"/>
                    <w:bottom w:val="single" w:color="000000" w:sz="4"/>
                    <w:right w:val="single" w:color="000000" w:sz="4"/>
                  </w:tcBorders>
                  <w:shd w:fill="FFFFFF"/>
                  <w:vAlign w:val="top"/>
                </w:tcPr>
                <w:p>
                  <w:pPr>
                    <w:jc w:val="center"/>
                  </w:pPr>
                  <w:r>
                    <w:rPr>
                      <w:color w:val="000000"/>
                      <w:sz w:val="20"/>
                    </w:rPr>
                    <w:t>台</w:t>
                  </w:r>
                </w:p>
              </w:tc>
              <w:tc>
                <w:tcPr>
                  <w:tcW w:type="dxa" w:w="1047"/>
                  <w:tcBorders>
                    <w:top w:val="none" w:color="000000" w:sz="4"/>
                    <w:left w:val="none" w:color="000000" w:sz="4"/>
                    <w:bottom w:val="single" w:color="000000" w:sz="4"/>
                    <w:right w:val="single" w:color="000000" w:sz="4"/>
                  </w:tcBorders>
                  <w:shd w:fill="FFFFFF"/>
                  <w:vAlign w:val="top"/>
                </w:tcPr>
                <w:p>
                  <w:pPr>
                    <w:jc w:val="center"/>
                  </w:pPr>
                  <w:r>
                    <w:rPr>
                      <w:color w:val="000000"/>
                      <w:sz w:val="20"/>
                    </w:rPr>
                    <w:t>6.000</w:t>
                  </w:r>
                </w:p>
              </w:tc>
            </w:tr>
            <w:tr>
              <w:tc>
                <w:tcPr>
                  <w:tcW w:type="dxa" w:w="655"/>
                  <w:tcBorders>
                    <w:top w:val="none" w:color="000000" w:sz="4"/>
                    <w:left w:val="single" w:color="000000" w:sz="4"/>
                    <w:bottom w:val="single" w:color="000000" w:sz="4"/>
                    <w:right w:val="single" w:color="000000" w:sz="4"/>
                  </w:tcBorders>
                  <w:shd w:fill="FFFFFF"/>
                  <w:vAlign w:val="top"/>
                </w:tcPr>
                <w:p>
                  <w:pPr>
                    <w:jc w:val="center"/>
                  </w:pPr>
                  <w:r>
                    <w:rPr>
                      <w:color w:val="000000"/>
                      <w:sz w:val="20"/>
                    </w:rPr>
                    <w:t>15</w:t>
                  </w:r>
                </w:p>
              </w:tc>
              <w:tc>
                <w:tcPr>
                  <w:tcW w:type="dxa" w:w="753"/>
                  <w:tcBorders>
                    <w:top w:val="none" w:color="000000" w:sz="4"/>
                    <w:left w:val="none" w:color="000000" w:sz="4"/>
                    <w:bottom w:val="single" w:color="000000" w:sz="4"/>
                    <w:right w:val="single" w:color="000000" w:sz="4"/>
                  </w:tcBorders>
                  <w:shd w:fill="FFFFFF"/>
                  <w:vAlign w:val="top"/>
                </w:tcPr>
                <w:p>
                  <w:pPr>
                    <w:jc w:val="left"/>
                  </w:pPr>
                  <w:r>
                    <w:rPr>
                      <w:color w:val="000000"/>
                      <w:sz w:val="20"/>
                    </w:rPr>
                    <w:t>维修车辆</w:t>
                  </w:r>
                </w:p>
              </w:tc>
              <w:tc>
                <w:tcPr>
                  <w:tcW w:type="dxa" w:w="2446"/>
                  <w:tcBorders>
                    <w:top w:val="none" w:color="000000" w:sz="4"/>
                    <w:left w:val="none" w:color="000000" w:sz="4"/>
                    <w:bottom w:val="single" w:color="000000" w:sz="4"/>
                    <w:right w:val="single" w:color="000000" w:sz="4"/>
                  </w:tcBorders>
                  <w:shd w:fill="FFFFFF"/>
                  <w:vAlign w:val="top"/>
                </w:tcPr>
                <w:p>
                  <w:pPr>
                    <w:jc w:val="left"/>
                  </w:pPr>
                  <w:r>
                    <w:rPr>
                      <w:sz w:val="21"/>
                    </w:rPr>
                    <w:t>1</w:t>
                  </w:r>
                  <w:r>
                    <w:rPr>
                      <w:sz w:val="21"/>
                    </w:rPr>
                    <w:t>、维修车辆（包括机动车一辆、登高车一辆，含柴油费及机动车折旧费）</w:t>
                  </w:r>
                </w:p>
                <w:p>
                  <w:pPr>
                    <w:jc w:val="both"/>
                  </w:pPr>
                  <w:r>
                    <w:rPr>
                      <w:sz w:val="21"/>
                    </w:rPr>
                    <w:t>2</w:t>
                  </w:r>
                  <w:r>
                    <w:rPr>
                      <w:sz w:val="21"/>
                    </w:rPr>
                    <w:t>、</w:t>
                  </w:r>
                  <w:r>
                    <w:rPr>
                      <w:color w:val="000000"/>
                      <w:sz w:val="20"/>
                    </w:rPr>
                    <w:t>管理期一年</w:t>
                  </w:r>
                </w:p>
              </w:tc>
              <w:tc>
                <w:tcPr>
                  <w:tcW w:type="dxa" w:w="665"/>
                  <w:tcBorders>
                    <w:top w:val="none" w:color="000000" w:sz="4"/>
                    <w:left w:val="none" w:color="000000" w:sz="4"/>
                    <w:bottom w:val="single" w:color="000000" w:sz="4"/>
                    <w:right w:val="single" w:color="000000" w:sz="4"/>
                  </w:tcBorders>
                  <w:shd w:fill="FFFFFF"/>
                  <w:vAlign w:val="top"/>
                </w:tcPr>
                <w:p>
                  <w:pPr>
                    <w:jc w:val="center"/>
                  </w:pPr>
                  <w:r>
                    <w:rPr>
                      <w:color w:val="000000"/>
                      <w:sz w:val="20"/>
                    </w:rPr>
                    <w:t>月</w:t>
                  </w:r>
                </w:p>
              </w:tc>
              <w:tc>
                <w:tcPr>
                  <w:tcW w:type="dxa" w:w="1047"/>
                  <w:tcBorders>
                    <w:top w:val="none" w:color="000000" w:sz="4"/>
                    <w:left w:val="none" w:color="000000" w:sz="4"/>
                    <w:bottom w:val="single" w:color="000000" w:sz="4"/>
                    <w:right w:val="single" w:color="000000" w:sz="4"/>
                  </w:tcBorders>
                  <w:shd w:fill="FFFFFF"/>
                  <w:vAlign w:val="top"/>
                </w:tcPr>
                <w:p>
                  <w:pPr>
                    <w:jc w:val="center"/>
                  </w:pPr>
                  <w:r>
                    <w:rPr>
                      <w:color w:val="000000"/>
                      <w:sz w:val="20"/>
                    </w:rPr>
                    <w:t>12.000</w:t>
                  </w:r>
                </w:p>
              </w:tc>
            </w:tr>
            <w:tr>
              <w:tc>
                <w:tcPr>
                  <w:tcW w:type="dxa" w:w="655"/>
                  <w:tcBorders>
                    <w:top w:val="none" w:color="000000" w:sz="4"/>
                    <w:left w:val="single" w:color="000000" w:sz="4"/>
                    <w:bottom w:val="single" w:color="000000" w:sz="4"/>
                    <w:right w:val="single" w:color="000000" w:sz="4"/>
                  </w:tcBorders>
                  <w:shd w:fill="FFFFFF"/>
                  <w:vAlign w:val="top"/>
                </w:tcPr>
                <w:p>
                  <w:pPr>
                    <w:jc w:val="center"/>
                  </w:pPr>
                  <w:r>
                    <w:rPr>
                      <w:color w:val="000000"/>
                      <w:sz w:val="20"/>
                    </w:rPr>
                    <w:t>16</w:t>
                  </w:r>
                </w:p>
              </w:tc>
              <w:tc>
                <w:tcPr>
                  <w:tcW w:type="dxa" w:w="753"/>
                  <w:tcBorders>
                    <w:top w:val="none" w:color="000000" w:sz="4"/>
                    <w:left w:val="none" w:color="000000" w:sz="4"/>
                    <w:bottom w:val="single" w:color="000000" w:sz="4"/>
                    <w:right w:val="single" w:color="000000" w:sz="4"/>
                  </w:tcBorders>
                  <w:shd w:fill="FFFFFF"/>
                  <w:vAlign w:val="top"/>
                </w:tcPr>
                <w:p>
                  <w:pPr>
                    <w:jc w:val="left"/>
                  </w:pPr>
                  <w:r>
                    <w:rPr>
                      <w:color w:val="000000"/>
                      <w:sz w:val="20"/>
                    </w:rPr>
                    <w:t>其他费用</w:t>
                  </w:r>
                </w:p>
              </w:tc>
              <w:tc>
                <w:tcPr>
                  <w:tcW w:type="dxa" w:w="2446"/>
                  <w:tcBorders>
                    <w:top w:val="none" w:color="000000" w:sz="4"/>
                    <w:left w:val="none" w:color="000000" w:sz="4"/>
                    <w:bottom w:val="single" w:color="000000" w:sz="4"/>
                    <w:right w:val="single" w:color="000000" w:sz="4"/>
                  </w:tcBorders>
                  <w:shd w:fill="FFFFFF"/>
                  <w:vAlign w:val="top"/>
                </w:tcPr>
                <w:p>
                  <w:pPr>
                    <w:jc w:val="left"/>
                  </w:pPr>
                  <w:r>
                    <w:rPr>
                      <w:color w:val="000000"/>
                      <w:sz w:val="20"/>
                    </w:rPr>
                    <w:t>1、安全桩、反光背心、指示牌、工作服、防暑抗寒用品、非工作时间和节假日加班抢修等</w:t>
                  </w:r>
                  <w:r>
                    <w:br/>
                  </w:r>
                  <w:r>
                    <w:rPr>
                      <w:color w:val="000000"/>
                      <w:sz w:val="20"/>
                    </w:rPr>
                    <w:t>2、管理期一年</w:t>
                  </w:r>
                </w:p>
              </w:tc>
              <w:tc>
                <w:tcPr>
                  <w:tcW w:type="dxa" w:w="665"/>
                  <w:tcBorders>
                    <w:top w:val="none" w:color="000000" w:sz="4"/>
                    <w:left w:val="none" w:color="000000" w:sz="4"/>
                    <w:bottom w:val="single" w:color="000000" w:sz="4"/>
                    <w:right w:val="single" w:color="000000" w:sz="4"/>
                  </w:tcBorders>
                  <w:shd w:fill="FFFFFF"/>
                  <w:vAlign w:val="top"/>
                </w:tcPr>
                <w:p>
                  <w:pPr>
                    <w:jc w:val="center"/>
                  </w:pPr>
                  <w:r>
                    <w:rPr>
                      <w:color w:val="000000"/>
                      <w:sz w:val="20"/>
                    </w:rPr>
                    <w:t>项</w:t>
                  </w:r>
                </w:p>
              </w:tc>
              <w:tc>
                <w:tcPr>
                  <w:tcW w:type="dxa" w:w="1047"/>
                  <w:tcBorders>
                    <w:top w:val="none" w:color="000000" w:sz="4"/>
                    <w:left w:val="none" w:color="000000" w:sz="4"/>
                    <w:bottom w:val="single" w:color="000000" w:sz="4"/>
                    <w:right w:val="single" w:color="000000" w:sz="4"/>
                  </w:tcBorders>
                  <w:shd w:fill="FFFFFF"/>
                  <w:vAlign w:val="top"/>
                </w:tcPr>
                <w:p>
                  <w:pPr>
                    <w:jc w:val="center"/>
                  </w:pPr>
                  <w:r>
                    <w:rPr>
                      <w:color w:val="000000"/>
                      <w:sz w:val="20"/>
                    </w:rPr>
                    <w:t>1.000</w:t>
                  </w:r>
                </w:p>
              </w:tc>
            </w:tr>
            <w:tr>
              <w:tc>
                <w:tcPr>
                  <w:tcW w:type="dxa" w:w="655"/>
                  <w:tcBorders>
                    <w:top w:val="none" w:color="000000" w:sz="4"/>
                    <w:left w:val="single" w:color="000000" w:sz="4"/>
                    <w:bottom w:val="single" w:color="000000" w:sz="4"/>
                    <w:right w:val="single" w:color="000000" w:sz="4"/>
                  </w:tcBorders>
                  <w:shd w:fill="FFFFFF"/>
                  <w:vAlign w:val="top"/>
                </w:tcPr>
                <w:p>
                  <w:pPr>
                    <w:jc w:val="center"/>
                  </w:pPr>
                  <w:r>
                    <w:rPr>
                      <w:color w:val="000000"/>
                      <w:sz w:val="20"/>
                    </w:rPr>
                    <w:t>17</w:t>
                  </w:r>
                </w:p>
              </w:tc>
              <w:tc>
                <w:tcPr>
                  <w:tcW w:type="dxa" w:w="753"/>
                  <w:tcBorders>
                    <w:top w:val="none" w:color="000000" w:sz="4"/>
                    <w:left w:val="none" w:color="000000" w:sz="4"/>
                    <w:bottom w:val="single" w:color="000000" w:sz="4"/>
                    <w:right w:val="single" w:color="000000" w:sz="4"/>
                  </w:tcBorders>
                  <w:shd w:fill="FFFFFF"/>
                  <w:vAlign w:val="top"/>
                </w:tcPr>
                <w:p>
                  <w:pPr>
                    <w:jc w:val="left"/>
                  </w:pPr>
                  <w:r>
                    <w:rPr>
                      <w:color w:val="000000"/>
                      <w:sz w:val="20"/>
                    </w:rPr>
                    <w:t>电费</w:t>
                  </w:r>
                </w:p>
              </w:tc>
              <w:tc>
                <w:tcPr>
                  <w:tcW w:type="dxa" w:w="2446"/>
                  <w:tcBorders>
                    <w:top w:val="none" w:color="000000" w:sz="4"/>
                    <w:left w:val="none" w:color="000000" w:sz="4"/>
                    <w:bottom w:val="single" w:color="000000" w:sz="4"/>
                    <w:right w:val="single" w:color="000000" w:sz="4"/>
                  </w:tcBorders>
                  <w:shd w:fill="FFFFFF"/>
                  <w:vAlign w:val="top"/>
                </w:tcPr>
                <w:p>
                  <w:pPr>
                    <w:jc w:val="left"/>
                  </w:pPr>
                  <w:r>
                    <w:rPr>
                      <w:color w:val="000000"/>
                      <w:sz w:val="20"/>
                    </w:rPr>
                    <w:t>1、ф300（LED灯蕊）交通灯电费</w:t>
                  </w:r>
                  <w:r>
                    <w:br/>
                  </w:r>
                  <w:r>
                    <w:rPr>
                      <w:color w:val="000000"/>
                      <w:sz w:val="20"/>
                    </w:rPr>
                    <w:t>2、15W/个/小时，8小时，共61组，966个</w:t>
                  </w:r>
                  <w:r>
                    <w:br/>
                  </w:r>
                  <w:r>
                    <w:rPr>
                      <w:color w:val="000000"/>
                      <w:sz w:val="20"/>
                    </w:rPr>
                    <w:t>3、管理期一年</w:t>
                  </w:r>
                </w:p>
              </w:tc>
              <w:tc>
                <w:tcPr>
                  <w:tcW w:type="dxa" w:w="665"/>
                  <w:tcBorders>
                    <w:top w:val="none" w:color="000000" w:sz="4"/>
                    <w:left w:val="none" w:color="000000" w:sz="4"/>
                    <w:bottom w:val="single" w:color="000000" w:sz="4"/>
                    <w:right w:val="single" w:color="000000" w:sz="4"/>
                  </w:tcBorders>
                  <w:shd w:fill="FFFFFF"/>
                  <w:vAlign w:val="top"/>
                </w:tcPr>
                <w:p>
                  <w:pPr>
                    <w:jc w:val="center"/>
                  </w:pPr>
                  <w:r>
                    <w:rPr>
                      <w:color w:val="000000"/>
                      <w:sz w:val="20"/>
                    </w:rPr>
                    <w:t>kW·h</w:t>
                  </w:r>
                </w:p>
              </w:tc>
              <w:tc>
                <w:tcPr>
                  <w:tcW w:type="dxa" w:w="1047"/>
                  <w:tcBorders>
                    <w:top w:val="none" w:color="000000" w:sz="4"/>
                    <w:left w:val="none" w:color="000000" w:sz="4"/>
                    <w:bottom w:val="single" w:color="000000" w:sz="4"/>
                    <w:right w:val="single" w:color="000000" w:sz="4"/>
                  </w:tcBorders>
                  <w:shd w:fill="FFFFFF"/>
                  <w:vAlign w:val="top"/>
                </w:tcPr>
                <w:p>
                  <w:pPr>
                    <w:jc w:val="center"/>
                  </w:pPr>
                  <w:r>
                    <w:rPr>
                      <w:color w:val="000000"/>
                      <w:sz w:val="20"/>
                    </w:rPr>
                    <w:t>42310.800</w:t>
                  </w:r>
                </w:p>
              </w:tc>
            </w:tr>
            <w:tr>
              <w:tc>
                <w:tcPr>
                  <w:tcW w:type="dxa" w:w="655"/>
                  <w:tcBorders>
                    <w:top w:val="none" w:color="000000" w:sz="4"/>
                    <w:left w:val="single" w:color="000000" w:sz="4"/>
                    <w:bottom w:val="single" w:color="000000" w:sz="4"/>
                    <w:right w:val="single" w:color="000000" w:sz="4"/>
                  </w:tcBorders>
                  <w:shd w:fill="FFFFFF"/>
                  <w:vAlign w:val="top"/>
                </w:tcPr>
                <w:p>
                  <w:pPr>
                    <w:jc w:val="center"/>
                  </w:pPr>
                  <w:r>
                    <w:rPr>
                      <w:color w:val="000000"/>
                      <w:sz w:val="20"/>
                    </w:rPr>
                    <w:t>18</w:t>
                  </w:r>
                </w:p>
              </w:tc>
              <w:tc>
                <w:tcPr>
                  <w:tcW w:type="dxa" w:w="753"/>
                  <w:tcBorders>
                    <w:top w:val="none" w:color="000000" w:sz="4"/>
                    <w:left w:val="none" w:color="000000" w:sz="4"/>
                    <w:bottom w:val="single" w:color="000000" w:sz="4"/>
                    <w:right w:val="single" w:color="000000" w:sz="4"/>
                  </w:tcBorders>
                  <w:shd w:fill="FFFFFF"/>
                  <w:vAlign w:val="top"/>
                </w:tcPr>
                <w:p>
                  <w:pPr>
                    <w:jc w:val="left"/>
                  </w:pPr>
                  <w:r>
                    <w:rPr>
                      <w:color w:val="000000"/>
                      <w:sz w:val="20"/>
                    </w:rPr>
                    <w:t>电费</w:t>
                  </w:r>
                </w:p>
              </w:tc>
              <w:tc>
                <w:tcPr>
                  <w:tcW w:type="dxa" w:w="2446"/>
                  <w:tcBorders>
                    <w:top w:val="none" w:color="000000" w:sz="4"/>
                    <w:left w:val="none" w:color="000000" w:sz="4"/>
                    <w:bottom w:val="single" w:color="000000" w:sz="4"/>
                    <w:right w:val="single" w:color="000000" w:sz="4"/>
                  </w:tcBorders>
                  <w:shd w:fill="FFFFFF"/>
                  <w:vAlign w:val="top"/>
                </w:tcPr>
                <w:p>
                  <w:pPr>
                    <w:jc w:val="left"/>
                  </w:pPr>
                  <w:r>
                    <w:rPr>
                      <w:color w:val="000000"/>
                      <w:sz w:val="20"/>
                    </w:rPr>
                    <w:t>1、ф400（LED灯蕊）交通灯电费</w:t>
                  </w:r>
                  <w:r>
                    <w:br/>
                  </w:r>
                  <w:r>
                    <w:rPr>
                      <w:color w:val="000000"/>
                      <w:sz w:val="20"/>
                    </w:rPr>
                    <w:t>2、20W/个/小时，8小时，共68组，1443个</w:t>
                  </w:r>
                  <w:r>
                    <w:br/>
                  </w:r>
                  <w:r>
                    <w:rPr>
                      <w:color w:val="000000"/>
                      <w:sz w:val="20"/>
                    </w:rPr>
                    <w:t>3、管理期一年</w:t>
                  </w:r>
                </w:p>
              </w:tc>
              <w:tc>
                <w:tcPr>
                  <w:tcW w:type="dxa" w:w="665"/>
                  <w:tcBorders>
                    <w:top w:val="none" w:color="000000" w:sz="4"/>
                    <w:left w:val="none" w:color="000000" w:sz="4"/>
                    <w:bottom w:val="single" w:color="000000" w:sz="4"/>
                    <w:right w:val="single" w:color="000000" w:sz="4"/>
                  </w:tcBorders>
                  <w:shd w:fill="FFFFFF"/>
                  <w:vAlign w:val="top"/>
                </w:tcPr>
                <w:p>
                  <w:pPr>
                    <w:jc w:val="center"/>
                  </w:pPr>
                  <w:r>
                    <w:rPr>
                      <w:color w:val="000000"/>
                      <w:sz w:val="20"/>
                    </w:rPr>
                    <w:t>kW·h</w:t>
                  </w:r>
                </w:p>
              </w:tc>
              <w:tc>
                <w:tcPr>
                  <w:tcW w:type="dxa" w:w="1047"/>
                  <w:tcBorders>
                    <w:top w:val="none" w:color="000000" w:sz="4"/>
                    <w:left w:val="none" w:color="000000" w:sz="4"/>
                    <w:bottom w:val="single" w:color="000000" w:sz="4"/>
                    <w:right w:val="single" w:color="000000" w:sz="4"/>
                  </w:tcBorders>
                  <w:shd w:fill="FFFFFF"/>
                  <w:vAlign w:val="top"/>
                </w:tcPr>
                <w:p>
                  <w:pPr>
                    <w:jc w:val="center"/>
                  </w:pPr>
                  <w:r>
                    <w:rPr>
                      <w:color w:val="000000"/>
                      <w:sz w:val="20"/>
                    </w:rPr>
                    <w:t>84271.200</w:t>
                  </w:r>
                </w:p>
              </w:tc>
            </w:tr>
            <w:tr>
              <w:tc>
                <w:tcPr>
                  <w:tcW w:type="dxa" w:w="655"/>
                  <w:tcBorders>
                    <w:top w:val="none" w:color="000000" w:sz="4"/>
                    <w:left w:val="single" w:color="000000" w:sz="4"/>
                    <w:bottom w:val="single" w:color="000000" w:sz="4"/>
                    <w:right w:val="single" w:color="000000" w:sz="4"/>
                  </w:tcBorders>
                  <w:shd w:fill="FFFFFF"/>
                  <w:vAlign w:val="top"/>
                </w:tcPr>
                <w:p>
                  <w:pPr>
                    <w:jc w:val="center"/>
                  </w:pPr>
                  <w:r>
                    <w:rPr>
                      <w:color w:val="000000"/>
                      <w:sz w:val="20"/>
                    </w:rPr>
                    <w:t>19</w:t>
                  </w:r>
                </w:p>
              </w:tc>
              <w:tc>
                <w:tcPr>
                  <w:tcW w:type="dxa" w:w="753"/>
                  <w:tcBorders>
                    <w:top w:val="none" w:color="000000" w:sz="4"/>
                    <w:left w:val="none" w:color="000000" w:sz="4"/>
                    <w:bottom w:val="single" w:color="000000" w:sz="4"/>
                    <w:right w:val="single" w:color="000000" w:sz="4"/>
                  </w:tcBorders>
                  <w:shd w:fill="FFFFFF"/>
                  <w:vAlign w:val="top"/>
                </w:tcPr>
                <w:p>
                  <w:pPr>
                    <w:jc w:val="left"/>
                  </w:pPr>
                  <w:r>
                    <w:rPr>
                      <w:color w:val="000000"/>
                      <w:sz w:val="20"/>
                    </w:rPr>
                    <w:t>电费</w:t>
                  </w:r>
                </w:p>
              </w:tc>
              <w:tc>
                <w:tcPr>
                  <w:tcW w:type="dxa" w:w="2446"/>
                  <w:tcBorders>
                    <w:top w:val="none" w:color="000000" w:sz="4"/>
                    <w:left w:val="none" w:color="000000" w:sz="4"/>
                    <w:bottom w:val="single" w:color="000000" w:sz="4"/>
                    <w:right w:val="single" w:color="000000" w:sz="4"/>
                  </w:tcBorders>
                  <w:shd w:fill="FFFFFF"/>
                  <w:vAlign w:val="top"/>
                </w:tcPr>
                <w:p>
                  <w:pPr>
                    <w:jc w:val="left"/>
                  </w:pPr>
                  <w:r>
                    <w:rPr>
                      <w:color w:val="000000"/>
                      <w:sz w:val="20"/>
                    </w:rPr>
                    <w:t>1、ф300（灯泡）交通灯电费</w:t>
                  </w:r>
                  <w:r>
                    <w:br/>
                  </w:r>
                  <w:r>
                    <w:rPr>
                      <w:color w:val="000000"/>
                      <w:sz w:val="20"/>
                    </w:rPr>
                    <w:t>2、60W/个/小时，8小时，共23组，514个</w:t>
                  </w:r>
                  <w:r>
                    <w:br/>
                  </w:r>
                  <w:r>
                    <w:rPr>
                      <w:color w:val="000000"/>
                      <w:sz w:val="20"/>
                    </w:rPr>
                    <w:t>3、管理期一年</w:t>
                  </w:r>
                </w:p>
              </w:tc>
              <w:tc>
                <w:tcPr>
                  <w:tcW w:type="dxa" w:w="665"/>
                  <w:tcBorders>
                    <w:top w:val="none" w:color="000000" w:sz="4"/>
                    <w:left w:val="none" w:color="000000" w:sz="4"/>
                    <w:bottom w:val="single" w:color="000000" w:sz="4"/>
                    <w:right w:val="single" w:color="000000" w:sz="4"/>
                  </w:tcBorders>
                  <w:shd w:fill="FFFFFF"/>
                  <w:vAlign w:val="top"/>
                </w:tcPr>
                <w:p>
                  <w:pPr>
                    <w:jc w:val="center"/>
                  </w:pPr>
                  <w:r>
                    <w:rPr>
                      <w:color w:val="000000"/>
                      <w:sz w:val="20"/>
                    </w:rPr>
                    <w:t>kW·h</w:t>
                  </w:r>
                </w:p>
              </w:tc>
              <w:tc>
                <w:tcPr>
                  <w:tcW w:type="dxa" w:w="1047"/>
                  <w:tcBorders>
                    <w:top w:val="none" w:color="000000" w:sz="4"/>
                    <w:left w:val="none" w:color="000000" w:sz="4"/>
                    <w:bottom w:val="single" w:color="000000" w:sz="4"/>
                    <w:right w:val="single" w:color="000000" w:sz="4"/>
                  </w:tcBorders>
                  <w:shd w:fill="FFFFFF"/>
                  <w:vAlign w:val="top"/>
                </w:tcPr>
                <w:p>
                  <w:pPr>
                    <w:jc w:val="center"/>
                  </w:pPr>
                  <w:r>
                    <w:rPr>
                      <w:color w:val="000000"/>
                      <w:sz w:val="20"/>
                    </w:rPr>
                    <w:t>90052.800</w:t>
                  </w:r>
                </w:p>
              </w:tc>
            </w:tr>
            <w:tr>
              <w:tc>
                <w:tcPr>
                  <w:tcW w:type="dxa" w:w="655"/>
                  <w:tcBorders>
                    <w:top w:val="none" w:color="000000" w:sz="4"/>
                    <w:left w:val="single" w:color="000000" w:sz="4"/>
                    <w:bottom w:val="single" w:color="000000" w:sz="4"/>
                    <w:right w:val="single" w:color="000000" w:sz="4"/>
                  </w:tcBorders>
                  <w:shd w:fill="FFFFFF"/>
                  <w:vAlign w:val="top"/>
                </w:tcPr>
                <w:p>
                  <w:pPr>
                    <w:jc w:val="center"/>
                  </w:pPr>
                  <w:r>
                    <w:rPr>
                      <w:color w:val="000000"/>
                      <w:sz w:val="20"/>
                    </w:rPr>
                    <w:t>20</w:t>
                  </w:r>
                </w:p>
              </w:tc>
              <w:tc>
                <w:tcPr>
                  <w:tcW w:type="dxa" w:w="753"/>
                  <w:tcBorders>
                    <w:top w:val="none" w:color="000000" w:sz="4"/>
                    <w:left w:val="none" w:color="000000" w:sz="4"/>
                    <w:bottom w:val="single" w:color="000000" w:sz="4"/>
                    <w:right w:val="single" w:color="000000" w:sz="4"/>
                  </w:tcBorders>
                  <w:shd w:fill="FFFFFF"/>
                  <w:vAlign w:val="top"/>
                </w:tcPr>
                <w:p>
                  <w:pPr>
                    <w:jc w:val="left"/>
                  </w:pPr>
                  <w:r>
                    <w:rPr>
                      <w:color w:val="000000"/>
                      <w:sz w:val="20"/>
                    </w:rPr>
                    <w:t>电费</w:t>
                  </w:r>
                </w:p>
              </w:tc>
              <w:tc>
                <w:tcPr>
                  <w:tcW w:type="dxa" w:w="2446"/>
                  <w:tcBorders>
                    <w:top w:val="none" w:color="000000" w:sz="4"/>
                    <w:left w:val="none" w:color="000000" w:sz="4"/>
                    <w:bottom w:val="single" w:color="000000" w:sz="4"/>
                    <w:right w:val="single" w:color="000000" w:sz="4"/>
                  </w:tcBorders>
                  <w:shd w:fill="FFFFFF"/>
                  <w:vAlign w:val="top"/>
                </w:tcPr>
                <w:p>
                  <w:pPr>
                    <w:jc w:val="left"/>
                  </w:pPr>
                  <w:r>
                    <w:rPr>
                      <w:color w:val="000000"/>
                      <w:sz w:val="20"/>
                    </w:rPr>
                    <w:t>1、倒计时器电费</w:t>
                  </w:r>
                  <w:r>
                    <w:br/>
                  </w:r>
                  <w:r>
                    <w:rPr>
                      <w:color w:val="000000"/>
                      <w:sz w:val="20"/>
                    </w:rPr>
                    <w:t>2、25W/个/小时，24小时，共22组，82个</w:t>
                  </w:r>
                  <w:r>
                    <w:br/>
                  </w:r>
                  <w:r>
                    <w:rPr>
                      <w:color w:val="000000"/>
                      <w:sz w:val="20"/>
                    </w:rPr>
                    <w:t>3、管理期一年</w:t>
                  </w:r>
                </w:p>
              </w:tc>
              <w:tc>
                <w:tcPr>
                  <w:tcW w:type="dxa" w:w="665"/>
                  <w:tcBorders>
                    <w:top w:val="none" w:color="000000" w:sz="4"/>
                    <w:left w:val="none" w:color="000000" w:sz="4"/>
                    <w:bottom w:val="single" w:color="000000" w:sz="4"/>
                    <w:right w:val="single" w:color="000000" w:sz="4"/>
                  </w:tcBorders>
                  <w:shd w:fill="FFFFFF"/>
                  <w:vAlign w:val="top"/>
                </w:tcPr>
                <w:p>
                  <w:pPr>
                    <w:jc w:val="center"/>
                  </w:pPr>
                  <w:r>
                    <w:rPr>
                      <w:color w:val="000000"/>
                      <w:sz w:val="20"/>
                    </w:rPr>
                    <w:t>kW·h</w:t>
                  </w:r>
                </w:p>
              </w:tc>
              <w:tc>
                <w:tcPr>
                  <w:tcW w:type="dxa" w:w="1047"/>
                  <w:tcBorders>
                    <w:top w:val="none" w:color="000000" w:sz="4"/>
                    <w:left w:val="none" w:color="000000" w:sz="4"/>
                    <w:bottom w:val="single" w:color="000000" w:sz="4"/>
                    <w:right w:val="single" w:color="000000" w:sz="4"/>
                  </w:tcBorders>
                  <w:shd w:fill="FFFFFF"/>
                  <w:vAlign w:val="top"/>
                </w:tcPr>
                <w:p>
                  <w:pPr>
                    <w:jc w:val="center"/>
                  </w:pPr>
                  <w:r>
                    <w:rPr>
                      <w:color w:val="000000"/>
                      <w:sz w:val="20"/>
                    </w:rPr>
                    <w:t>17958.000</w:t>
                  </w:r>
                </w:p>
              </w:tc>
            </w:tr>
            <w:tr>
              <w:tc>
                <w:tcPr>
                  <w:tcW w:type="dxa" w:w="655"/>
                  <w:tcBorders>
                    <w:top w:val="none" w:color="000000" w:sz="4"/>
                    <w:left w:val="single" w:color="000000" w:sz="4"/>
                    <w:bottom w:val="single" w:color="000000" w:sz="4"/>
                    <w:right w:val="single" w:color="000000" w:sz="4"/>
                  </w:tcBorders>
                  <w:shd w:fill="FFFFFF"/>
                  <w:vAlign w:val="top"/>
                </w:tcPr>
                <w:p>
                  <w:pPr>
                    <w:jc w:val="center"/>
                  </w:pPr>
                  <w:r>
                    <w:rPr>
                      <w:color w:val="000000"/>
                      <w:sz w:val="20"/>
                    </w:rPr>
                    <w:t>21</w:t>
                  </w:r>
                </w:p>
              </w:tc>
              <w:tc>
                <w:tcPr>
                  <w:tcW w:type="dxa" w:w="753"/>
                  <w:tcBorders>
                    <w:top w:val="none" w:color="000000" w:sz="4"/>
                    <w:left w:val="none" w:color="000000" w:sz="4"/>
                    <w:bottom w:val="single" w:color="000000" w:sz="4"/>
                    <w:right w:val="single" w:color="000000" w:sz="4"/>
                  </w:tcBorders>
                  <w:shd w:fill="FFFFFF"/>
                  <w:vAlign w:val="top"/>
                </w:tcPr>
                <w:p>
                  <w:pPr>
                    <w:jc w:val="left"/>
                  </w:pPr>
                  <w:r>
                    <w:rPr>
                      <w:color w:val="000000"/>
                      <w:sz w:val="20"/>
                    </w:rPr>
                    <w:t>电费</w:t>
                  </w:r>
                </w:p>
              </w:tc>
              <w:tc>
                <w:tcPr>
                  <w:tcW w:type="dxa" w:w="2446"/>
                  <w:tcBorders>
                    <w:top w:val="none" w:color="000000" w:sz="4"/>
                    <w:left w:val="none" w:color="000000" w:sz="4"/>
                    <w:bottom w:val="single" w:color="000000" w:sz="4"/>
                    <w:right w:val="single" w:color="000000" w:sz="4"/>
                  </w:tcBorders>
                  <w:shd w:fill="FFFFFF"/>
                  <w:vAlign w:val="top"/>
                </w:tcPr>
                <w:p>
                  <w:pPr>
                    <w:jc w:val="left"/>
                  </w:pPr>
                  <w:r>
                    <w:rPr>
                      <w:color w:val="000000"/>
                      <w:sz w:val="20"/>
                    </w:rPr>
                    <w:t>1、电子监控设备电费</w:t>
                  </w:r>
                  <w:r>
                    <w:br/>
                  </w:r>
                  <w:r>
                    <w:rPr>
                      <w:color w:val="000000"/>
                      <w:sz w:val="20"/>
                    </w:rPr>
                    <w:t>2、100W/组/小时，24小时，共11组</w:t>
                  </w:r>
                  <w:r>
                    <w:br/>
                  </w:r>
                  <w:r>
                    <w:rPr>
                      <w:color w:val="000000"/>
                      <w:sz w:val="20"/>
                    </w:rPr>
                    <w:t>3、管理期一年</w:t>
                  </w:r>
                </w:p>
              </w:tc>
              <w:tc>
                <w:tcPr>
                  <w:tcW w:type="dxa" w:w="665"/>
                  <w:tcBorders>
                    <w:top w:val="none" w:color="000000" w:sz="4"/>
                    <w:left w:val="none" w:color="000000" w:sz="4"/>
                    <w:bottom w:val="single" w:color="000000" w:sz="4"/>
                    <w:right w:val="single" w:color="000000" w:sz="4"/>
                  </w:tcBorders>
                  <w:shd w:fill="FFFFFF"/>
                  <w:vAlign w:val="top"/>
                </w:tcPr>
                <w:p>
                  <w:pPr>
                    <w:jc w:val="center"/>
                  </w:pPr>
                  <w:r>
                    <w:rPr>
                      <w:color w:val="000000"/>
                      <w:sz w:val="20"/>
                    </w:rPr>
                    <w:t>kW·h</w:t>
                  </w:r>
                </w:p>
              </w:tc>
              <w:tc>
                <w:tcPr>
                  <w:tcW w:type="dxa" w:w="1047"/>
                  <w:tcBorders>
                    <w:top w:val="none" w:color="000000" w:sz="4"/>
                    <w:left w:val="none" w:color="000000" w:sz="4"/>
                    <w:bottom w:val="single" w:color="000000" w:sz="4"/>
                    <w:right w:val="single" w:color="000000" w:sz="4"/>
                  </w:tcBorders>
                  <w:shd w:fill="FFFFFF"/>
                  <w:vAlign w:val="top"/>
                </w:tcPr>
                <w:p>
                  <w:pPr>
                    <w:jc w:val="center"/>
                  </w:pPr>
                  <w:r>
                    <w:rPr>
                      <w:color w:val="000000"/>
                      <w:sz w:val="20"/>
                    </w:rPr>
                    <w:t>9636.000</w:t>
                  </w:r>
                </w:p>
              </w:tc>
            </w:tr>
            <w:tr>
              <w:tc>
                <w:tcPr>
                  <w:tcW w:type="dxa" w:w="655"/>
                  <w:tcBorders>
                    <w:top w:val="none" w:color="000000" w:sz="4"/>
                    <w:left w:val="single" w:color="000000" w:sz="4"/>
                    <w:bottom w:val="single" w:color="000000" w:sz="4"/>
                    <w:right w:val="single" w:color="000000" w:sz="4"/>
                  </w:tcBorders>
                  <w:shd w:fill="FFFFFF"/>
                  <w:vAlign w:val="top"/>
                </w:tcPr>
                <w:p>
                  <w:pPr>
                    <w:jc w:val="center"/>
                  </w:pPr>
                  <w:r>
                    <w:rPr>
                      <w:color w:val="000000"/>
                      <w:sz w:val="20"/>
                    </w:rPr>
                    <w:t>22</w:t>
                  </w:r>
                </w:p>
              </w:tc>
              <w:tc>
                <w:tcPr>
                  <w:tcW w:type="dxa" w:w="753"/>
                  <w:tcBorders>
                    <w:top w:val="none" w:color="000000" w:sz="4"/>
                    <w:left w:val="none" w:color="000000" w:sz="4"/>
                    <w:bottom w:val="single" w:color="000000" w:sz="4"/>
                    <w:right w:val="single" w:color="000000" w:sz="4"/>
                  </w:tcBorders>
                  <w:shd w:fill="FFFFFF"/>
                  <w:vAlign w:val="top"/>
                </w:tcPr>
                <w:p>
                  <w:pPr>
                    <w:jc w:val="left"/>
                  </w:pPr>
                  <w:r>
                    <w:rPr>
                      <w:color w:val="000000"/>
                      <w:sz w:val="20"/>
                    </w:rPr>
                    <w:t>电费</w:t>
                  </w:r>
                </w:p>
              </w:tc>
              <w:tc>
                <w:tcPr>
                  <w:tcW w:type="dxa" w:w="2446"/>
                  <w:tcBorders>
                    <w:top w:val="none" w:color="000000" w:sz="4"/>
                    <w:left w:val="none" w:color="000000" w:sz="4"/>
                    <w:bottom w:val="single" w:color="000000" w:sz="4"/>
                    <w:right w:val="single" w:color="000000" w:sz="4"/>
                  </w:tcBorders>
                  <w:shd w:fill="FFFFFF"/>
                  <w:vAlign w:val="top"/>
                </w:tcPr>
                <w:p>
                  <w:pPr>
                    <w:jc w:val="left"/>
                  </w:pPr>
                  <w:r>
                    <w:rPr>
                      <w:color w:val="000000"/>
                      <w:sz w:val="20"/>
                    </w:rPr>
                    <w:t>1、电子监控设备电费</w:t>
                  </w:r>
                  <w:r>
                    <w:br/>
                  </w:r>
                  <w:r>
                    <w:rPr>
                      <w:color w:val="000000"/>
                      <w:sz w:val="20"/>
                    </w:rPr>
                    <w:t>2、400W/组/小时，24小时，共4组</w:t>
                  </w:r>
                  <w:r>
                    <w:br/>
                  </w:r>
                  <w:r>
                    <w:rPr>
                      <w:color w:val="000000"/>
                      <w:sz w:val="20"/>
                    </w:rPr>
                    <w:t>3、管理期一年</w:t>
                  </w:r>
                </w:p>
              </w:tc>
              <w:tc>
                <w:tcPr>
                  <w:tcW w:type="dxa" w:w="665"/>
                  <w:tcBorders>
                    <w:top w:val="none" w:color="000000" w:sz="4"/>
                    <w:left w:val="none" w:color="000000" w:sz="4"/>
                    <w:bottom w:val="single" w:color="000000" w:sz="4"/>
                    <w:right w:val="single" w:color="000000" w:sz="4"/>
                  </w:tcBorders>
                  <w:shd w:fill="FFFFFF"/>
                  <w:vAlign w:val="top"/>
                </w:tcPr>
                <w:p>
                  <w:pPr>
                    <w:jc w:val="center"/>
                  </w:pPr>
                  <w:r>
                    <w:rPr>
                      <w:color w:val="000000"/>
                      <w:sz w:val="20"/>
                    </w:rPr>
                    <w:t>kW·h</w:t>
                  </w:r>
                </w:p>
              </w:tc>
              <w:tc>
                <w:tcPr>
                  <w:tcW w:type="dxa" w:w="1047"/>
                  <w:tcBorders>
                    <w:top w:val="none" w:color="000000" w:sz="4"/>
                    <w:left w:val="none" w:color="000000" w:sz="4"/>
                    <w:bottom w:val="single" w:color="000000" w:sz="4"/>
                    <w:right w:val="single" w:color="000000" w:sz="4"/>
                  </w:tcBorders>
                  <w:shd w:fill="FFFFFF"/>
                  <w:vAlign w:val="top"/>
                </w:tcPr>
                <w:p>
                  <w:pPr>
                    <w:jc w:val="center"/>
                  </w:pPr>
                  <w:r>
                    <w:rPr>
                      <w:color w:val="000000"/>
                      <w:sz w:val="20"/>
                    </w:rPr>
                    <w:t>14016.000</w:t>
                  </w:r>
                </w:p>
              </w:tc>
            </w:tr>
            <w:tr>
              <w:tc>
                <w:tcPr>
                  <w:tcW w:type="dxa" w:w="655"/>
                  <w:tcBorders>
                    <w:top w:val="none" w:color="000000" w:sz="4"/>
                    <w:left w:val="single" w:color="000000" w:sz="4"/>
                    <w:bottom w:val="single" w:color="000000" w:sz="4"/>
                    <w:right w:val="single" w:color="000000" w:sz="4"/>
                  </w:tcBorders>
                  <w:shd w:fill="FFFFFF"/>
                  <w:vAlign w:val="top"/>
                </w:tcPr>
                <w:p>
                  <w:pPr>
                    <w:jc w:val="center"/>
                  </w:pPr>
                  <w:r>
                    <w:rPr>
                      <w:color w:val="000000"/>
                      <w:sz w:val="20"/>
                    </w:rPr>
                    <w:t>23</w:t>
                  </w:r>
                </w:p>
              </w:tc>
              <w:tc>
                <w:tcPr>
                  <w:tcW w:type="dxa" w:w="753"/>
                  <w:tcBorders>
                    <w:top w:val="none" w:color="000000" w:sz="4"/>
                    <w:left w:val="none" w:color="000000" w:sz="4"/>
                    <w:bottom w:val="single" w:color="000000" w:sz="4"/>
                    <w:right w:val="single" w:color="000000" w:sz="4"/>
                  </w:tcBorders>
                  <w:shd w:fill="FFFFFF"/>
                  <w:vAlign w:val="top"/>
                </w:tcPr>
                <w:p>
                  <w:pPr>
                    <w:jc w:val="left"/>
                  </w:pPr>
                  <w:r>
                    <w:rPr>
                      <w:color w:val="000000"/>
                      <w:sz w:val="20"/>
                    </w:rPr>
                    <w:t>电费</w:t>
                  </w:r>
                </w:p>
              </w:tc>
              <w:tc>
                <w:tcPr>
                  <w:tcW w:type="dxa" w:w="2446"/>
                  <w:tcBorders>
                    <w:top w:val="none" w:color="000000" w:sz="4"/>
                    <w:left w:val="none" w:color="000000" w:sz="4"/>
                    <w:bottom w:val="single" w:color="000000" w:sz="4"/>
                    <w:right w:val="single" w:color="000000" w:sz="4"/>
                  </w:tcBorders>
                  <w:shd w:fill="FFFFFF"/>
                  <w:vAlign w:val="top"/>
                </w:tcPr>
                <w:p>
                  <w:pPr>
                    <w:jc w:val="left"/>
                  </w:pPr>
                  <w:r>
                    <w:rPr>
                      <w:color w:val="000000"/>
                      <w:sz w:val="20"/>
                    </w:rPr>
                    <w:t>1、电子监控设备电费</w:t>
                  </w:r>
                  <w:r>
                    <w:br/>
                  </w:r>
                  <w:r>
                    <w:rPr>
                      <w:color w:val="000000"/>
                      <w:sz w:val="20"/>
                    </w:rPr>
                    <w:t>2、600W/组/小时，24小时，共5组</w:t>
                  </w:r>
                  <w:r>
                    <w:br/>
                  </w:r>
                  <w:r>
                    <w:rPr>
                      <w:color w:val="000000"/>
                      <w:sz w:val="20"/>
                    </w:rPr>
                    <w:t>3、管理期一年</w:t>
                  </w:r>
                </w:p>
              </w:tc>
              <w:tc>
                <w:tcPr>
                  <w:tcW w:type="dxa" w:w="665"/>
                  <w:tcBorders>
                    <w:top w:val="none" w:color="000000" w:sz="4"/>
                    <w:left w:val="none" w:color="000000" w:sz="4"/>
                    <w:bottom w:val="single" w:color="000000" w:sz="4"/>
                    <w:right w:val="single" w:color="000000" w:sz="4"/>
                  </w:tcBorders>
                  <w:shd w:fill="FFFFFF"/>
                  <w:vAlign w:val="top"/>
                </w:tcPr>
                <w:p>
                  <w:pPr>
                    <w:jc w:val="center"/>
                  </w:pPr>
                  <w:r>
                    <w:rPr>
                      <w:color w:val="000000"/>
                      <w:sz w:val="20"/>
                    </w:rPr>
                    <w:t>kW·h</w:t>
                  </w:r>
                </w:p>
              </w:tc>
              <w:tc>
                <w:tcPr>
                  <w:tcW w:type="dxa" w:w="1047"/>
                  <w:tcBorders>
                    <w:top w:val="none" w:color="000000" w:sz="4"/>
                    <w:left w:val="none" w:color="000000" w:sz="4"/>
                    <w:bottom w:val="single" w:color="000000" w:sz="4"/>
                    <w:right w:val="single" w:color="000000" w:sz="4"/>
                  </w:tcBorders>
                  <w:shd w:fill="FFFFFF"/>
                  <w:vAlign w:val="top"/>
                </w:tcPr>
                <w:p>
                  <w:pPr>
                    <w:jc w:val="center"/>
                  </w:pPr>
                  <w:r>
                    <w:rPr>
                      <w:color w:val="000000"/>
                      <w:sz w:val="20"/>
                    </w:rPr>
                    <w:t>26280.000</w:t>
                  </w:r>
                </w:p>
              </w:tc>
            </w:tr>
            <w:tr>
              <w:tc>
                <w:tcPr>
                  <w:tcW w:type="dxa" w:w="655"/>
                  <w:tcBorders>
                    <w:top w:val="none" w:color="000000" w:sz="4"/>
                    <w:left w:val="single" w:color="000000" w:sz="4"/>
                    <w:bottom w:val="single" w:color="000000" w:sz="4"/>
                    <w:right w:val="single" w:color="000000" w:sz="4"/>
                  </w:tcBorders>
                  <w:shd w:fill="FFFFFF"/>
                  <w:vAlign w:val="top"/>
                </w:tcPr>
                <w:p>
                  <w:pPr>
                    <w:jc w:val="center"/>
                  </w:pPr>
                  <w:r>
                    <w:rPr>
                      <w:color w:val="000000"/>
                      <w:sz w:val="20"/>
                    </w:rPr>
                    <w:t>24</w:t>
                  </w:r>
                </w:p>
              </w:tc>
              <w:tc>
                <w:tcPr>
                  <w:tcW w:type="dxa" w:w="753"/>
                  <w:tcBorders>
                    <w:top w:val="none" w:color="000000" w:sz="4"/>
                    <w:left w:val="none" w:color="000000" w:sz="4"/>
                    <w:bottom w:val="single" w:color="000000" w:sz="4"/>
                    <w:right w:val="single" w:color="000000" w:sz="4"/>
                  </w:tcBorders>
                  <w:shd w:fill="FFFFFF"/>
                  <w:vAlign w:val="top"/>
                </w:tcPr>
                <w:p>
                  <w:pPr>
                    <w:jc w:val="left"/>
                  </w:pPr>
                  <w:r>
                    <w:rPr>
                      <w:color w:val="000000"/>
                      <w:sz w:val="20"/>
                    </w:rPr>
                    <w:t>电费</w:t>
                  </w:r>
                </w:p>
              </w:tc>
              <w:tc>
                <w:tcPr>
                  <w:tcW w:type="dxa" w:w="2446"/>
                  <w:tcBorders>
                    <w:top w:val="none" w:color="000000" w:sz="4"/>
                    <w:left w:val="none" w:color="000000" w:sz="4"/>
                    <w:bottom w:val="single" w:color="000000" w:sz="4"/>
                    <w:right w:val="single" w:color="000000" w:sz="4"/>
                  </w:tcBorders>
                  <w:shd w:fill="FFFFFF"/>
                  <w:vAlign w:val="top"/>
                </w:tcPr>
                <w:p>
                  <w:pPr>
                    <w:jc w:val="left"/>
                  </w:pPr>
                  <w:r>
                    <w:rPr>
                      <w:color w:val="000000"/>
                      <w:sz w:val="20"/>
                    </w:rPr>
                    <w:t>1、电子监控设备电费</w:t>
                  </w:r>
                  <w:r>
                    <w:br/>
                  </w:r>
                  <w:r>
                    <w:rPr>
                      <w:color w:val="000000"/>
                      <w:sz w:val="20"/>
                    </w:rPr>
                    <w:t>2、800W/组/小时，24小时，共18组</w:t>
                  </w:r>
                  <w:r>
                    <w:br/>
                  </w:r>
                  <w:r>
                    <w:rPr>
                      <w:color w:val="000000"/>
                      <w:sz w:val="20"/>
                    </w:rPr>
                    <w:t>3、管理期一年</w:t>
                  </w:r>
                </w:p>
              </w:tc>
              <w:tc>
                <w:tcPr>
                  <w:tcW w:type="dxa" w:w="665"/>
                  <w:tcBorders>
                    <w:top w:val="none" w:color="000000" w:sz="4"/>
                    <w:left w:val="none" w:color="000000" w:sz="4"/>
                    <w:bottom w:val="single" w:color="000000" w:sz="4"/>
                    <w:right w:val="single" w:color="000000" w:sz="4"/>
                  </w:tcBorders>
                  <w:shd w:fill="FFFFFF"/>
                  <w:vAlign w:val="top"/>
                </w:tcPr>
                <w:p>
                  <w:pPr>
                    <w:jc w:val="center"/>
                  </w:pPr>
                  <w:r>
                    <w:rPr>
                      <w:color w:val="000000"/>
                      <w:sz w:val="20"/>
                    </w:rPr>
                    <w:t>kW·h</w:t>
                  </w:r>
                </w:p>
              </w:tc>
              <w:tc>
                <w:tcPr>
                  <w:tcW w:type="dxa" w:w="1047"/>
                  <w:tcBorders>
                    <w:top w:val="none" w:color="000000" w:sz="4"/>
                    <w:left w:val="none" w:color="000000" w:sz="4"/>
                    <w:bottom w:val="single" w:color="000000" w:sz="4"/>
                    <w:right w:val="single" w:color="000000" w:sz="4"/>
                  </w:tcBorders>
                  <w:shd w:fill="FFFFFF"/>
                  <w:vAlign w:val="top"/>
                </w:tcPr>
                <w:p>
                  <w:pPr>
                    <w:jc w:val="center"/>
                  </w:pPr>
                  <w:r>
                    <w:rPr>
                      <w:color w:val="000000"/>
                      <w:sz w:val="20"/>
                    </w:rPr>
                    <w:t>126144.000</w:t>
                  </w:r>
                </w:p>
              </w:tc>
            </w:tr>
            <w:tr>
              <w:tc>
                <w:tcPr>
                  <w:tcW w:type="dxa" w:w="655"/>
                  <w:tcBorders>
                    <w:top w:val="none" w:color="000000" w:sz="4"/>
                    <w:left w:val="single" w:color="000000" w:sz="4"/>
                    <w:bottom w:val="single" w:color="000000" w:sz="4"/>
                    <w:right w:val="single" w:color="000000" w:sz="4"/>
                  </w:tcBorders>
                  <w:shd w:fill="FFFFFF"/>
                  <w:vAlign w:val="top"/>
                </w:tcPr>
                <w:p>
                  <w:pPr>
                    <w:jc w:val="center"/>
                  </w:pPr>
                  <w:r>
                    <w:rPr>
                      <w:color w:val="000000"/>
                      <w:sz w:val="20"/>
                    </w:rPr>
                    <w:t>25</w:t>
                  </w:r>
                </w:p>
              </w:tc>
              <w:tc>
                <w:tcPr>
                  <w:tcW w:type="dxa" w:w="753"/>
                  <w:tcBorders>
                    <w:top w:val="none" w:color="000000" w:sz="4"/>
                    <w:left w:val="none" w:color="000000" w:sz="4"/>
                    <w:bottom w:val="single" w:color="000000" w:sz="4"/>
                    <w:right w:val="single" w:color="000000" w:sz="4"/>
                  </w:tcBorders>
                  <w:shd w:fill="FFFFFF"/>
                  <w:vAlign w:val="top"/>
                </w:tcPr>
                <w:p>
                  <w:pPr>
                    <w:jc w:val="left"/>
                  </w:pPr>
                  <w:r>
                    <w:rPr>
                      <w:color w:val="000000"/>
                      <w:sz w:val="20"/>
                    </w:rPr>
                    <w:t>电费</w:t>
                  </w:r>
                </w:p>
              </w:tc>
              <w:tc>
                <w:tcPr>
                  <w:tcW w:type="dxa" w:w="2446"/>
                  <w:tcBorders>
                    <w:top w:val="none" w:color="000000" w:sz="4"/>
                    <w:left w:val="none" w:color="000000" w:sz="4"/>
                    <w:bottom w:val="single" w:color="000000" w:sz="4"/>
                    <w:right w:val="single" w:color="000000" w:sz="4"/>
                  </w:tcBorders>
                  <w:shd w:fill="FFFFFF"/>
                  <w:vAlign w:val="top"/>
                </w:tcPr>
                <w:p>
                  <w:pPr>
                    <w:jc w:val="left"/>
                  </w:pPr>
                  <w:r>
                    <w:rPr>
                      <w:color w:val="000000"/>
                      <w:sz w:val="20"/>
                    </w:rPr>
                    <w:t>1、用电线损（按供电部门标准）</w:t>
                  </w:r>
                </w:p>
              </w:tc>
              <w:tc>
                <w:tcPr>
                  <w:tcW w:type="dxa" w:w="665"/>
                  <w:tcBorders>
                    <w:top w:val="none" w:color="000000" w:sz="4"/>
                    <w:left w:val="none" w:color="000000" w:sz="4"/>
                    <w:bottom w:val="single" w:color="000000" w:sz="4"/>
                    <w:right w:val="single" w:color="000000" w:sz="4"/>
                  </w:tcBorders>
                  <w:shd w:fill="FFFFFF"/>
                  <w:vAlign w:val="top"/>
                </w:tcPr>
                <w:p>
                  <w:pPr>
                    <w:jc w:val="center"/>
                  </w:pPr>
                  <w:r>
                    <w:rPr>
                      <w:color w:val="000000"/>
                      <w:sz w:val="20"/>
                    </w:rPr>
                    <w:t>kW·h</w:t>
                  </w:r>
                </w:p>
              </w:tc>
              <w:tc>
                <w:tcPr>
                  <w:tcW w:type="dxa" w:w="1047"/>
                  <w:tcBorders>
                    <w:top w:val="none" w:color="000000" w:sz="4"/>
                    <w:left w:val="none" w:color="000000" w:sz="4"/>
                    <w:bottom w:val="single" w:color="000000" w:sz="4"/>
                    <w:right w:val="single" w:color="000000" w:sz="4"/>
                  </w:tcBorders>
                  <w:shd w:fill="FFFFFF"/>
                  <w:vAlign w:val="top"/>
                </w:tcPr>
                <w:p>
                  <w:pPr>
                    <w:jc w:val="center"/>
                  </w:pPr>
                  <w:r>
                    <w:rPr>
                      <w:color w:val="000000"/>
                      <w:sz w:val="20"/>
                    </w:rPr>
                    <w:t>20533.440</w:t>
                  </w:r>
                </w:p>
              </w:tc>
            </w:tr>
            <w:tr>
              <w:tc>
                <w:tcPr>
                  <w:tcW w:type="dxa" w:w="655"/>
                  <w:tcBorders>
                    <w:top w:val="none" w:color="000000" w:sz="4"/>
                    <w:left w:val="single" w:color="000000" w:sz="4"/>
                    <w:bottom w:val="single" w:color="000000" w:sz="4"/>
                    <w:right w:val="single" w:color="000000" w:sz="4"/>
                  </w:tcBorders>
                  <w:shd w:fill="FFFFFF"/>
                  <w:vAlign w:val="top"/>
                </w:tcPr>
                <w:p>
                  <w:pPr>
                    <w:jc w:val="center"/>
                  </w:pPr>
                  <w:r>
                    <w:rPr>
                      <w:color w:val="000000"/>
                      <w:sz w:val="20"/>
                    </w:rPr>
                    <w:t>26</w:t>
                  </w:r>
                </w:p>
              </w:tc>
              <w:tc>
                <w:tcPr>
                  <w:tcW w:type="dxa" w:w="753"/>
                  <w:tcBorders>
                    <w:top w:val="none" w:color="000000" w:sz="4"/>
                    <w:left w:val="none" w:color="000000" w:sz="4"/>
                    <w:bottom w:val="single" w:color="000000" w:sz="4"/>
                    <w:right w:val="single" w:color="000000" w:sz="4"/>
                  </w:tcBorders>
                  <w:shd w:fill="FFFFFF"/>
                  <w:vAlign w:val="top"/>
                </w:tcPr>
                <w:p>
                  <w:pPr>
                    <w:jc w:val="left"/>
                  </w:pPr>
                  <w:r>
                    <w:rPr>
                      <w:color w:val="000000"/>
                      <w:sz w:val="20"/>
                    </w:rPr>
                    <w:t>电费</w:t>
                  </w:r>
                </w:p>
              </w:tc>
              <w:tc>
                <w:tcPr>
                  <w:tcW w:type="dxa" w:w="2446"/>
                  <w:tcBorders>
                    <w:top w:val="none" w:color="000000" w:sz="4"/>
                    <w:left w:val="none" w:color="000000" w:sz="4"/>
                    <w:bottom w:val="single" w:color="000000" w:sz="4"/>
                    <w:right w:val="single" w:color="000000" w:sz="4"/>
                  </w:tcBorders>
                  <w:shd w:fill="FFFFFF"/>
                  <w:vAlign w:val="top"/>
                </w:tcPr>
                <w:p>
                  <w:pPr>
                    <w:jc w:val="left"/>
                  </w:pPr>
                  <w:r>
                    <w:rPr>
                      <w:color w:val="000000"/>
                      <w:sz w:val="20"/>
                    </w:rPr>
                    <w:t>1、应急电源电费，柴油机发电</w:t>
                  </w:r>
                  <w:r>
                    <w:br/>
                  </w:r>
                  <w:r>
                    <w:rPr>
                      <w:color w:val="000000"/>
                      <w:sz w:val="20"/>
                    </w:rPr>
                    <w:t>2、按电费总量的百分之一</w:t>
                  </w:r>
                </w:p>
              </w:tc>
              <w:tc>
                <w:tcPr>
                  <w:tcW w:type="dxa" w:w="665"/>
                  <w:tcBorders>
                    <w:top w:val="none" w:color="000000" w:sz="4"/>
                    <w:left w:val="none" w:color="000000" w:sz="4"/>
                    <w:bottom w:val="single" w:color="000000" w:sz="4"/>
                    <w:right w:val="single" w:color="000000" w:sz="4"/>
                  </w:tcBorders>
                  <w:shd w:fill="FFFFFF"/>
                  <w:vAlign w:val="top"/>
                </w:tcPr>
                <w:p>
                  <w:pPr>
                    <w:jc w:val="center"/>
                  </w:pPr>
                  <w:r>
                    <w:rPr>
                      <w:color w:val="000000"/>
                      <w:sz w:val="20"/>
                    </w:rPr>
                    <w:t>kW·h</w:t>
                  </w:r>
                </w:p>
              </w:tc>
              <w:tc>
                <w:tcPr>
                  <w:tcW w:type="dxa" w:w="1047"/>
                  <w:tcBorders>
                    <w:top w:val="none" w:color="000000" w:sz="4"/>
                    <w:left w:val="none" w:color="000000" w:sz="4"/>
                    <w:bottom w:val="single" w:color="000000" w:sz="4"/>
                    <w:right w:val="single" w:color="000000" w:sz="4"/>
                  </w:tcBorders>
                  <w:shd w:fill="FFFFFF"/>
                  <w:vAlign w:val="top"/>
                </w:tcPr>
                <w:p>
                  <w:pPr>
                    <w:jc w:val="center"/>
                  </w:pPr>
                  <w:r>
                    <w:rPr>
                      <w:color w:val="000000"/>
                      <w:sz w:val="20"/>
                    </w:rPr>
                    <w:t>4106.688</w:t>
                  </w:r>
                </w:p>
              </w:tc>
            </w:tr>
          </w:tbl>
          <w:p>
            <w:pPr>
              <w:ind w:firstLine="210"/>
              <w:jc w:val="both"/>
            </w:pPr>
            <w:r>
              <w:rPr>
                <w:sz w:val="21"/>
              </w:rPr>
              <w:t>1.2</w:t>
            </w:r>
            <w:r>
              <w:rPr>
                <w:color w:val="000000"/>
                <w:sz w:val="21"/>
              </w:rPr>
              <w:t>在服务期内，若因道路交通需要而增加交通信号灯、太阳能黄闪灯等设施，且新增设施数量不多于</w:t>
            </w:r>
            <w:r>
              <w:rPr>
                <w:color w:val="000000"/>
                <w:sz w:val="21"/>
              </w:rPr>
              <w:t>6组（含6组）时，成交供应商必须负责其新增设施的维护服务，采购人不作任何补偿。</w:t>
            </w:r>
          </w:p>
          <w:p>
            <w:pPr>
              <w:jc w:val="both"/>
            </w:pPr>
            <w:r>
              <w:rPr>
                <w:color w:val="000000"/>
                <w:sz w:val="21"/>
              </w:rPr>
              <w:t>1.3在服务期内，若有新增交通信号灯、太阳能黄闪灯等设施，成交供应商应配合相关单位进行验收，并对质保期满的设施进行接收并维护。</w:t>
            </w:r>
          </w:p>
        </w:tc>
      </w:tr>
      <w:tr>
        <w:tc>
          <w:tcPr>
            <w:tcW w:type="dxa" w:w="2076"/>
          </w:tcPr>
          <w:p/>
        </w:tc>
        <w:tc>
          <w:tcPr>
            <w:tcW w:type="dxa" w:w="415"/>
          </w:tcPr>
          <w:p>
            <w:r>
              <w:rPr/>
              <w:t>2</w:t>
            </w:r>
          </w:p>
        </w:tc>
        <w:tc>
          <w:tcPr>
            <w:tcW w:type="dxa" w:w="5814"/>
          </w:tcPr>
          <w:p>
            <w:pPr>
              <w:jc w:val="left"/>
            </w:pPr>
            <w:r>
              <w:rPr>
                <w:sz w:val="21"/>
              </w:rPr>
              <w:t>2.1</w:t>
            </w:r>
            <w:r>
              <w:rPr>
                <w:sz w:val="21"/>
              </w:rPr>
              <w:t>服务要求</w:t>
            </w:r>
          </w:p>
          <w:p>
            <w:pPr>
              <w:jc w:val="both"/>
            </w:pPr>
            <w:r>
              <w:rPr>
                <w:sz w:val="21"/>
              </w:rPr>
              <w:t>（</w:t>
            </w:r>
            <w:r>
              <w:rPr>
                <w:sz w:val="21"/>
              </w:rPr>
              <w:t>1</w:t>
            </w:r>
            <w:r>
              <w:rPr>
                <w:sz w:val="21"/>
              </w:rPr>
              <w:t>）成交供应商以包工包料包维护、包服务全方位形式全包干。</w:t>
            </w:r>
          </w:p>
          <w:p>
            <w:pPr>
              <w:jc w:val="both"/>
            </w:pPr>
            <w:r>
              <w:rPr>
                <w:sz w:val="21"/>
              </w:rPr>
              <w:t>（</w:t>
            </w:r>
            <w:r>
              <w:rPr>
                <w:sz w:val="21"/>
              </w:rPr>
              <w:t>2</w:t>
            </w:r>
            <w:r>
              <w:rPr>
                <w:sz w:val="21"/>
              </w:rPr>
              <w:t>）成交供应商必须对本项目的服务内容做到两天巡查一次，并作记录。</w:t>
            </w:r>
          </w:p>
          <w:p>
            <w:pPr>
              <w:jc w:val="both"/>
            </w:pPr>
            <w:r>
              <w:rPr>
                <w:sz w:val="21"/>
              </w:rPr>
              <w:t>（</w:t>
            </w:r>
            <w:r>
              <w:rPr>
                <w:sz w:val="21"/>
              </w:rPr>
              <w:t>3</w:t>
            </w:r>
            <w:r>
              <w:rPr>
                <w:sz w:val="21"/>
              </w:rPr>
              <w:t>）成交供应商自身应备有后备电源、后备交通信号灯、后备太阳能黄闪灯等设施以作应急之用，为采购人提供全天候的冗余服务。</w:t>
            </w:r>
          </w:p>
          <w:p>
            <w:pPr>
              <w:jc w:val="both"/>
            </w:pPr>
            <w:r>
              <w:rPr>
                <w:sz w:val="21"/>
              </w:rPr>
              <w:t>（</w:t>
            </w:r>
            <w:r>
              <w:rPr>
                <w:sz w:val="21"/>
              </w:rPr>
              <w:t>4</w:t>
            </w:r>
            <w:r>
              <w:rPr>
                <w:sz w:val="21"/>
              </w:rPr>
              <w:t>）如有雷击、大雨、台风等自然灾害或交通事故等因素造成服务范围内设备的损坏时，成交供应商仍须免费对损坏设备进行修复，采购人不再支付服务费以外的任何费用。</w:t>
            </w:r>
          </w:p>
          <w:p>
            <w:pPr>
              <w:jc w:val="both"/>
            </w:pPr>
            <w:r>
              <w:rPr>
                <w:sz w:val="21"/>
              </w:rPr>
              <w:t>（</w:t>
            </w:r>
            <w:r>
              <w:rPr>
                <w:sz w:val="21"/>
              </w:rPr>
              <w:t>5</w:t>
            </w:r>
            <w:r>
              <w:rPr>
                <w:sz w:val="21"/>
              </w:rPr>
              <w:t>）成交供应商必须配备专职工作人员</w:t>
            </w:r>
            <w:r>
              <w:rPr>
                <w:sz w:val="21"/>
              </w:rPr>
              <w:t>5</w:t>
            </w:r>
            <w:r>
              <w:rPr>
                <w:sz w:val="21"/>
              </w:rPr>
              <w:t>人或以上（其中不少于</w:t>
            </w:r>
            <w:r>
              <w:rPr>
                <w:sz w:val="21"/>
              </w:rPr>
              <w:t>2</w:t>
            </w:r>
            <w:r>
              <w:rPr>
                <w:sz w:val="21"/>
              </w:rPr>
              <w:t>人持有电工证，不少于</w:t>
            </w:r>
            <w:r>
              <w:rPr>
                <w:sz w:val="21"/>
              </w:rPr>
              <w:t>1</w:t>
            </w:r>
            <w:r>
              <w:rPr>
                <w:sz w:val="21"/>
              </w:rPr>
              <w:t>人有机动车驾驶证）；配备不少于</w:t>
            </w:r>
            <w:r>
              <w:rPr>
                <w:sz w:val="21"/>
              </w:rPr>
              <w:t>1</w:t>
            </w:r>
            <w:r>
              <w:rPr>
                <w:sz w:val="21"/>
              </w:rPr>
              <w:t>辆的专用维修车辆和</w:t>
            </w:r>
            <w:r>
              <w:rPr>
                <w:sz w:val="21"/>
              </w:rPr>
              <w:t>1</w:t>
            </w:r>
            <w:r>
              <w:rPr>
                <w:sz w:val="21"/>
              </w:rPr>
              <w:t>部登高车辆。采购人在签订合同前，将对前述要求进行检查，成交供应商必须提供相关的证明资料。</w:t>
            </w:r>
          </w:p>
          <w:p>
            <w:pPr>
              <w:jc w:val="both"/>
            </w:pPr>
            <w:r>
              <w:rPr>
                <w:sz w:val="21"/>
              </w:rPr>
              <w:t>（</w:t>
            </w:r>
            <w:r>
              <w:rPr>
                <w:sz w:val="21"/>
              </w:rPr>
              <w:t>6</w:t>
            </w:r>
            <w:r>
              <w:rPr>
                <w:sz w:val="21"/>
              </w:rPr>
              <w:t>）成交供应商不能将采购人提供的技术资料和相关图纸转让给其他单位或个人，也不能侵害采购人的相关知识产权，一经发现，采购人可终止委托。</w:t>
            </w:r>
          </w:p>
          <w:p>
            <w:pPr>
              <w:jc w:val="both"/>
            </w:pPr>
            <w:r>
              <w:rPr>
                <w:sz w:val="21"/>
              </w:rPr>
              <w:t>（</w:t>
            </w:r>
            <w:r>
              <w:rPr>
                <w:sz w:val="21"/>
              </w:rPr>
              <w:t>7</w:t>
            </w:r>
            <w:r>
              <w:rPr>
                <w:sz w:val="21"/>
              </w:rPr>
              <w:t>）经成交供应商修复的插件板，应具备与原设备相同的功能和技术性能，并要有维修记录。</w:t>
            </w:r>
          </w:p>
          <w:p>
            <w:pPr>
              <w:jc w:val="both"/>
            </w:pPr>
            <w:r>
              <w:rPr>
                <w:sz w:val="21"/>
              </w:rPr>
              <w:t>（</w:t>
            </w:r>
            <w:r>
              <w:rPr>
                <w:sz w:val="21"/>
              </w:rPr>
              <w:t>8</w:t>
            </w:r>
            <w:r>
              <w:rPr>
                <w:sz w:val="21"/>
              </w:rPr>
              <w:t>）路口信号控制方式的改变，控制软件的更换由采购人负责，成交供应商按照采购人的要求做好配合工作；根据采购人的要求制作施工方案，经采购人同意后按标准和规范施工，竣工后制作竣工图和验收报告。</w:t>
            </w:r>
          </w:p>
          <w:p>
            <w:pPr>
              <w:jc w:val="both"/>
            </w:pPr>
            <w:r>
              <w:rPr>
                <w:sz w:val="21"/>
              </w:rPr>
              <w:t>（</w:t>
            </w:r>
            <w:r>
              <w:rPr>
                <w:sz w:val="21"/>
              </w:rPr>
              <w:t>9</w:t>
            </w:r>
            <w:r>
              <w:rPr>
                <w:sz w:val="21"/>
              </w:rPr>
              <w:t>）成交供应商要有完善的规章制度和奖惩制度，以监督各维护部门的工作态度、快速反应能力和维护水平。维护单位每年要对自身的工作表现进行综合的评价和总结。</w:t>
            </w:r>
          </w:p>
          <w:p>
            <w:pPr>
              <w:jc w:val="both"/>
            </w:pPr>
            <w:r>
              <w:rPr>
                <w:sz w:val="21"/>
              </w:rPr>
              <w:t>（</w:t>
            </w:r>
            <w:r>
              <w:rPr>
                <w:sz w:val="21"/>
              </w:rPr>
              <w:t>10</w:t>
            </w:r>
            <w:r>
              <w:rPr>
                <w:sz w:val="21"/>
              </w:rPr>
              <w:t>）在服务期内，成交供应商必须要同所有员工购买社保，并要求管理人员及工作人员在日常工作中，必须做好安全措施，穿着统一的反光工作服，如果发生交通事故、工伤事故等，一切责任由成交供应商负责。</w:t>
            </w:r>
          </w:p>
          <w:p>
            <w:pPr>
              <w:jc w:val="both"/>
            </w:pPr>
            <w:r>
              <w:rPr>
                <w:sz w:val="21"/>
              </w:rPr>
              <w:t>2.2</w:t>
            </w:r>
            <w:r>
              <w:rPr>
                <w:sz w:val="21"/>
              </w:rPr>
              <w:t>安全作业</w:t>
            </w:r>
          </w:p>
          <w:p>
            <w:pPr>
              <w:jc w:val="both"/>
            </w:pPr>
            <w:r>
              <w:rPr>
                <w:sz w:val="21"/>
              </w:rPr>
              <w:t>（</w:t>
            </w:r>
            <w:r>
              <w:rPr>
                <w:sz w:val="21"/>
              </w:rPr>
              <w:t>1</w:t>
            </w:r>
            <w:r>
              <w:rPr>
                <w:sz w:val="21"/>
              </w:rPr>
              <w:t>）按施工规范做好安全生产工作，按规定设置道路施工安全设施。不因施工对交通造成较严重的影响，在施工中造成的事故损害由成交供应商负责。</w:t>
            </w:r>
          </w:p>
          <w:p>
            <w:pPr>
              <w:jc w:val="both"/>
            </w:pPr>
            <w:r>
              <w:rPr>
                <w:sz w:val="21"/>
              </w:rPr>
              <w:t>（</w:t>
            </w:r>
            <w:r>
              <w:rPr>
                <w:sz w:val="21"/>
              </w:rPr>
              <w:t>2</w:t>
            </w:r>
            <w:r>
              <w:rPr>
                <w:sz w:val="21"/>
              </w:rPr>
              <w:t>）若成交供应商的日常维护作业需要作交通限流措施或其他可能影响路面交通时，成交供应商必须经当地交通管理部门和采购人同意方可实施。</w:t>
            </w:r>
          </w:p>
          <w:p>
            <w:pPr>
              <w:jc w:val="both"/>
            </w:pPr>
            <w:r>
              <w:rPr>
                <w:sz w:val="21"/>
              </w:rPr>
              <w:t>（</w:t>
            </w:r>
            <w:r>
              <w:rPr>
                <w:sz w:val="21"/>
              </w:rPr>
              <w:t>3</w:t>
            </w:r>
            <w:r>
              <w:rPr>
                <w:sz w:val="21"/>
              </w:rPr>
              <w:t>）成交供应商在服务期内，应按安全施工有关规定，采取严格、科学的安全防护措施，确保施工安全和第三方的安全，并承担由于自身安全措施不力造成事故的责任和所产生的费用。</w:t>
            </w:r>
          </w:p>
          <w:p>
            <w:pPr>
              <w:jc w:val="both"/>
            </w:pPr>
            <w:r>
              <w:rPr>
                <w:sz w:val="21"/>
              </w:rPr>
              <w:t>（</w:t>
            </w:r>
            <w:r>
              <w:rPr>
                <w:sz w:val="21"/>
              </w:rPr>
              <w:t>4</w:t>
            </w:r>
            <w:r>
              <w:rPr>
                <w:sz w:val="21"/>
              </w:rPr>
              <w:t>）对本项目的设施不得擅自占用和改变使用功能，如需在本项目内改、扩建或完善配套项目，须与采购人协商，并经采购人同意后报有关部门批准方可实施。</w:t>
            </w:r>
          </w:p>
          <w:p>
            <w:pPr>
              <w:jc w:val="both"/>
            </w:pPr>
            <w:r>
              <w:rPr>
                <w:sz w:val="21"/>
              </w:rPr>
              <w:t>2.3</w:t>
            </w:r>
            <w:r>
              <w:rPr>
                <w:sz w:val="21"/>
              </w:rPr>
              <w:t>其他注意事项</w:t>
            </w:r>
          </w:p>
          <w:p>
            <w:pPr>
              <w:jc w:val="both"/>
            </w:pPr>
            <w:r>
              <w:rPr>
                <w:sz w:val="21"/>
              </w:rPr>
              <w:t>（</w:t>
            </w:r>
            <w:r>
              <w:rPr>
                <w:sz w:val="21"/>
              </w:rPr>
              <w:t>1</w:t>
            </w:r>
            <w:r>
              <w:rPr>
                <w:sz w:val="21"/>
              </w:rPr>
              <w:t>）投标人应自行到达现场踏勘，考察容桂街道现时交通信号灯等设施的现状，充分理解本项目的采购要求，否则由此而产生的不利后果由投标人自行承担。</w:t>
            </w:r>
          </w:p>
          <w:p>
            <w:pPr>
              <w:jc w:val="both"/>
            </w:pPr>
            <w:r>
              <w:rPr>
                <w:sz w:val="21"/>
              </w:rPr>
              <w:t>（</w:t>
            </w:r>
            <w:r>
              <w:rPr>
                <w:sz w:val="21"/>
              </w:rPr>
              <w:t>2</w:t>
            </w:r>
            <w:r>
              <w:rPr>
                <w:sz w:val="21"/>
              </w:rPr>
              <w:t>）如因成交供应商不按服务要求进行维护而造成责任事故的，一切赔偿责任由成交供应商负责。</w:t>
            </w:r>
          </w:p>
          <w:p>
            <w:pPr>
              <w:jc w:val="both"/>
            </w:pPr>
            <w:r>
              <w:rPr>
                <w:sz w:val="21"/>
              </w:rPr>
              <w:t>2.4</w:t>
            </w:r>
            <w:r>
              <w:rPr>
                <w:sz w:val="21"/>
              </w:rPr>
              <w:t>服务质量的评价与考核</w:t>
            </w:r>
          </w:p>
          <w:p>
            <w:pPr>
              <w:jc w:val="both"/>
            </w:pPr>
            <w:r>
              <w:rPr>
                <w:sz w:val="21"/>
              </w:rPr>
              <w:t>（</w:t>
            </w:r>
            <w:r>
              <w:rPr>
                <w:sz w:val="21"/>
              </w:rPr>
              <w:t>1</w:t>
            </w:r>
            <w:r>
              <w:rPr>
                <w:sz w:val="21"/>
              </w:rPr>
              <w:t>）采取扣分制，季度扣除分值直接与当季度的服务管理费挂钩，成交供应商达到规定的扣分分值，采购人将按规定扣除相应的服务管理费。</w:t>
            </w:r>
          </w:p>
          <w:p>
            <w:pPr>
              <w:jc w:val="both"/>
            </w:pPr>
            <w:r>
              <w:rPr>
                <w:sz w:val="21"/>
              </w:rPr>
              <w:t>（</w:t>
            </w:r>
            <w:r>
              <w:rPr>
                <w:sz w:val="21"/>
              </w:rPr>
              <w:t>2</w:t>
            </w:r>
            <w:r>
              <w:rPr>
                <w:sz w:val="21"/>
              </w:rPr>
              <w:t>）季度扣除总分＝季度内不定期考核扣分累加。</w:t>
            </w:r>
          </w:p>
          <w:p>
            <w:pPr>
              <w:jc w:val="both"/>
            </w:pPr>
            <w:r>
              <w:rPr>
                <w:sz w:val="21"/>
              </w:rPr>
              <w:t>（</w:t>
            </w:r>
            <w:r>
              <w:rPr>
                <w:sz w:val="21"/>
              </w:rPr>
              <w:t>3</w:t>
            </w:r>
            <w:r>
              <w:rPr>
                <w:sz w:val="21"/>
              </w:rPr>
              <w:t>）采购人将对成交供应商进行不定期考核，成交供应商必须随时接受采购人的考核并必须无条件配合考核工作。</w:t>
            </w:r>
          </w:p>
          <w:p>
            <w:pPr>
              <w:jc w:val="both"/>
            </w:pPr>
            <w:r>
              <w:rPr>
                <w:sz w:val="21"/>
              </w:rPr>
              <w:t>（</w:t>
            </w:r>
            <w:r>
              <w:rPr>
                <w:sz w:val="21"/>
              </w:rPr>
              <w:t>4</w:t>
            </w:r>
            <w:r>
              <w:rPr>
                <w:sz w:val="21"/>
              </w:rPr>
              <w:t>）经评定，季度扣除总分数不大于</w:t>
            </w:r>
            <w:r>
              <w:rPr>
                <w:sz w:val="21"/>
              </w:rPr>
              <w:t>10</w:t>
            </w:r>
            <w:r>
              <w:rPr>
                <w:sz w:val="21"/>
              </w:rPr>
              <w:t>分的为合格，大于</w:t>
            </w:r>
            <w:r>
              <w:rPr>
                <w:sz w:val="21"/>
              </w:rPr>
              <w:t>10</w:t>
            </w:r>
            <w:r>
              <w:rPr>
                <w:sz w:val="21"/>
              </w:rPr>
              <w:t>分为不合格。检查评分不合格的，按以下的标准计算。所罚金额在当季度的服务管理费中扣除。</w:t>
            </w:r>
          </w:p>
          <w:p>
            <w:pPr>
              <w:jc w:val="both"/>
            </w:pPr>
            <w:r>
              <w:rPr>
                <w:sz w:val="21"/>
              </w:rPr>
              <w:t>（</w:t>
            </w:r>
            <w:r>
              <w:rPr>
                <w:sz w:val="21"/>
              </w:rPr>
              <w:t>1</w:t>
            </w:r>
            <w:r>
              <w:rPr>
                <w:sz w:val="21"/>
              </w:rPr>
              <w:t>）季度扣除总分数在</w:t>
            </w:r>
            <w:r>
              <w:rPr>
                <w:sz w:val="21"/>
              </w:rPr>
              <w:t>10</w:t>
            </w:r>
            <w:r>
              <w:rPr>
                <w:sz w:val="21"/>
              </w:rPr>
              <w:t>—</w:t>
            </w:r>
            <w:r>
              <w:rPr>
                <w:sz w:val="21"/>
              </w:rPr>
              <w:t>15</w:t>
            </w:r>
            <w:r>
              <w:rPr>
                <w:sz w:val="21"/>
              </w:rPr>
              <w:t>（不含</w:t>
            </w:r>
            <w:r>
              <w:rPr>
                <w:sz w:val="21"/>
              </w:rPr>
              <w:t>10</w:t>
            </w:r>
            <w:r>
              <w:rPr>
                <w:sz w:val="21"/>
              </w:rPr>
              <w:t>）的，扣除当季度服务管理费的</w:t>
            </w:r>
            <w:r>
              <w:rPr>
                <w:sz w:val="21"/>
              </w:rPr>
              <w:t>5%</w:t>
            </w:r>
            <w:r>
              <w:rPr>
                <w:sz w:val="21"/>
              </w:rPr>
              <w:t>；</w:t>
            </w:r>
          </w:p>
          <w:p>
            <w:pPr>
              <w:jc w:val="both"/>
            </w:pPr>
            <w:r>
              <w:rPr>
                <w:sz w:val="21"/>
              </w:rPr>
              <w:t>（</w:t>
            </w:r>
            <w:r>
              <w:rPr>
                <w:sz w:val="21"/>
              </w:rPr>
              <w:t>2</w:t>
            </w:r>
            <w:r>
              <w:rPr>
                <w:sz w:val="21"/>
              </w:rPr>
              <w:t>）季度扣除总分数在</w:t>
            </w:r>
            <w:r>
              <w:rPr>
                <w:sz w:val="21"/>
              </w:rPr>
              <w:t>15</w:t>
            </w:r>
            <w:r>
              <w:rPr>
                <w:sz w:val="21"/>
              </w:rPr>
              <w:t>—</w:t>
            </w:r>
            <w:r>
              <w:rPr>
                <w:sz w:val="21"/>
              </w:rPr>
              <w:t>20</w:t>
            </w:r>
            <w:r>
              <w:rPr>
                <w:sz w:val="21"/>
              </w:rPr>
              <w:t>（不含</w:t>
            </w:r>
            <w:r>
              <w:rPr>
                <w:sz w:val="21"/>
              </w:rPr>
              <w:t>15</w:t>
            </w:r>
            <w:r>
              <w:rPr>
                <w:sz w:val="21"/>
              </w:rPr>
              <w:t>）的，扣除当季度服务管理费的</w:t>
            </w:r>
            <w:r>
              <w:rPr>
                <w:sz w:val="21"/>
              </w:rPr>
              <w:t>10%</w:t>
            </w:r>
            <w:r>
              <w:rPr>
                <w:sz w:val="21"/>
              </w:rPr>
              <w:t>；</w:t>
            </w:r>
          </w:p>
          <w:p>
            <w:pPr>
              <w:jc w:val="both"/>
            </w:pPr>
            <w:r>
              <w:rPr>
                <w:sz w:val="21"/>
              </w:rPr>
              <w:t>（</w:t>
            </w:r>
            <w:r>
              <w:rPr>
                <w:sz w:val="21"/>
              </w:rPr>
              <w:t>3</w:t>
            </w:r>
            <w:r>
              <w:rPr>
                <w:sz w:val="21"/>
              </w:rPr>
              <w:t>）季度扣除总分数在</w:t>
            </w:r>
            <w:r>
              <w:rPr>
                <w:sz w:val="21"/>
              </w:rPr>
              <w:t>20</w:t>
            </w:r>
            <w:r>
              <w:rPr>
                <w:sz w:val="21"/>
              </w:rPr>
              <w:t>—</w:t>
            </w:r>
            <w:r>
              <w:rPr>
                <w:sz w:val="21"/>
              </w:rPr>
              <w:t>25</w:t>
            </w:r>
            <w:r>
              <w:rPr>
                <w:sz w:val="21"/>
              </w:rPr>
              <w:t>（不含</w:t>
            </w:r>
            <w:r>
              <w:rPr>
                <w:sz w:val="21"/>
              </w:rPr>
              <w:t>20</w:t>
            </w:r>
            <w:r>
              <w:rPr>
                <w:sz w:val="21"/>
              </w:rPr>
              <w:t>）的，扣除当季度服务管理费的</w:t>
            </w:r>
            <w:r>
              <w:rPr>
                <w:sz w:val="21"/>
              </w:rPr>
              <w:t>15%</w:t>
            </w:r>
            <w:r>
              <w:rPr>
                <w:sz w:val="21"/>
              </w:rPr>
              <w:t>；</w:t>
            </w:r>
          </w:p>
          <w:p>
            <w:pPr>
              <w:jc w:val="both"/>
            </w:pPr>
            <w:r>
              <w:rPr>
                <w:sz w:val="21"/>
              </w:rPr>
              <w:t>（</w:t>
            </w:r>
            <w:r>
              <w:rPr>
                <w:sz w:val="21"/>
              </w:rPr>
              <w:t>4</w:t>
            </w:r>
            <w:r>
              <w:rPr>
                <w:sz w:val="21"/>
              </w:rPr>
              <w:t>）季度扣除总分数在</w:t>
            </w:r>
            <w:r>
              <w:rPr>
                <w:sz w:val="21"/>
              </w:rPr>
              <w:t>25</w:t>
            </w:r>
            <w:r>
              <w:rPr>
                <w:sz w:val="21"/>
              </w:rPr>
              <w:t>—</w:t>
            </w:r>
            <w:r>
              <w:rPr>
                <w:sz w:val="21"/>
              </w:rPr>
              <w:t>30</w:t>
            </w:r>
            <w:r>
              <w:rPr>
                <w:sz w:val="21"/>
              </w:rPr>
              <w:t>（不含</w:t>
            </w:r>
            <w:r>
              <w:rPr>
                <w:sz w:val="21"/>
              </w:rPr>
              <w:t>25</w:t>
            </w:r>
            <w:r>
              <w:rPr>
                <w:sz w:val="21"/>
              </w:rPr>
              <w:t>）的，扣除当季度服务管理费的</w:t>
            </w:r>
            <w:r>
              <w:rPr>
                <w:sz w:val="21"/>
              </w:rPr>
              <w:t>20%</w:t>
            </w:r>
            <w:r>
              <w:rPr>
                <w:sz w:val="21"/>
              </w:rPr>
              <w:t>。</w:t>
            </w:r>
          </w:p>
          <w:p>
            <w:pPr>
              <w:jc w:val="both"/>
            </w:pPr>
            <w:r>
              <w:rPr>
                <w:sz w:val="21"/>
              </w:rPr>
              <w:t>（</w:t>
            </w:r>
            <w:r>
              <w:rPr>
                <w:sz w:val="21"/>
              </w:rPr>
              <w:t>5</w:t>
            </w:r>
            <w:r>
              <w:rPr>
                <w:sz w:val="21"/>
              </w:rPr>
              <w:t>）如季度扣除总分大于</w:t>
            </w:r>
            <w:r>
              <w:rPr>
                <w:sz w:val="21"/>
              </w:rPr>
              <w:t>30</w:t>
            </w:r>
            <w:r>
              <w:rPr>
                <w:sz w:val="21"/>
              </w:rPr>
              <w:t>分，或连续三次考核扣分大于</w:t>
            </w:r>
            <w:r>
              <w:rPr>
                <w:sz w:val="21"/>
              </w:rPr>
              <w:t>15</w:t>
            </w:r>
            <w:r>
              <w:rPr>
                <w:sz w:val="21"/>
              </w:rPr>
              <w:t>分，采购人有权无条件终止及解除本合同，并没收成交供应商的履约保证金。</w:t>
            </w:r>
          </w:p>
          <w:p>
            <w:pPr>
              <w:jc w:val="both"/>
            </w:pPr>
            <w:r>
              <w:rPr>
                <w:b/>
                <w:color w:val="000000"/>
                <w:sz w:val="21"/>
              </w:rPr>
              <w:t>附件</w:t>
            </w:r>
            <w:r>
              <w:rPr>
                <w:b/>
                <w:color w:val="000000"/>
                <w:sz w:val="21"/>
              </w:rPr>
              <w:t>二</w:t>
            </w:r>
            <w:r>
              <w:rPr>
                <w:b/>
                <w:color w:val="000000"/>
                <w:sz w:val="21"/>
              </w:rPr>
              <w:t>：</w:t>
            </w:r>
          </w:p>
          <w:p>
            <w:pPr>
              <w:jc w:val="center"/>
            </w:pPr>
            <w:r>
              <w:rPr>
                <w:b/>
                <w:color w:val="000000"/>
                <w:sz w:val="28"/>
              </w:rPr>
              <w:t>容桂街道交通号灯维护服务质量考评表</w:t>
            </w:r>
          </w:p>
          <w:p>
            <w:pPr>
              <w:jc w:val="both"/>
            </w:pPr>
            <w:r>
              <w:rPr>
                <w:color w:val="000000"/>
                <w:sz w:val="18"/>
              </w:rPr>
              <w:t>甲方：</w:t>
            </w:r>
            <w:r>
              <w:rPr>
                <w:color w:val="000000"/>
                <w:sz w:val="18"/>
                <w:u w:val="single"/>
              </w:rPr>
              <w:t>佛山市顺德区容桂街道综合行政执法办公室</w:t>
            </w:r>
          </w:p>
          <w:p>
            <w:pPr>
              <w:jc w:val="both"/>
            </w:pPr>
            <w:r>
              <w:rPr>
                <w:color w:val="000000"/>
                <w:sz w:val="18"/>
              </w:rPr>
              <w:t>乙方：</w:t>
            </w:r>
            <w:r>
              <w:rPr>
                <w:sz w:val="21"/>
                <w:u w:val="single"/>
              </w:rPr>
              <w:t xml:space="preserve">                                        </w:t>
            </w:r>
          </w:p>
          <w:p>
            <w:pPr>
              <w:jc w:val="both"/>
            </w:pPr>
            <w:r>
              <w:rPr>
                <w:color w:val="000000"/>
                <w:sz w:val="18"/>
              </w:rPr>
              <w:t>考评起止时间：</w:t>
            </w:r>
            <w:r>
              <w:rPr>
                <w:sz w:val="21"/>
                <w:u w:val="single"/>
              </w:rPr>
              <w:t xml:space="preserve">     </w:t>
            </w:r>
            <w:r>
              <w:rPr>
                <w:color w:val="000000"/>
                <w:sz w:val="18"/>
                <w:u w:val="single"/>
              </w:rPr>
              <w:t>年</w:t>
            </w:r>
            <w:r>
              <w:rPr>
                <w:sz w:val="21"/>
                <w:u w:val="single"/>
              </w:rPr>
              <w:t xml:space="preserve">    </w:t>
            </w:r>
            <w:r>
              <w:rPr>
                <w:color w:val="000000"/>
                <w:sz w:val="18"/>
                <w:u w:val="single"/>
              </w:rPr>
              <w:t>月</w:t>
            </w:r>
            <w:r>
              <w:rPr>
                <w:sz w:val="21"/>
                <w:u w:val="single"/>
              </w:rPr>
              <w:t xml:space="preserve">    </w:t>
            </w:r>
            <w:r>
              <w:rPr>
                <w:color w:val="000000"/>
                <w:sz w:val="18"/>
                <w:u w:val="single"/>
              </w:rPr>
              <w:t>日至</w:t>
            </w:r>
            <w:r>
              <w:rPr>
                <w:sz w:val="21"/>
                <w:u w:val="single"/>
              </w:rPr>
              <w:t xml:space="preserve">     </w:t>
            </w:r>
            <w:r>
              <w:rPr>
                <w:color w:val="000000"/>
                <w:sz w:val="18"/>
                <w:u w:val="single"/>
              </w:rPr>
              <w:t>年</w:t>
            </w:r>
            <w:r>
              <w:rPr>
                <w:sz w:val="21"/>
                <w:u w:val="single"/>
              </w:rPr>
              <w:t xml:space="preserve">    </w:t>
            </w:r>
            <w:r>
              <w:rPr>
                <w:color w:val="000000"/>
                <w:sz w:val="18"/>
                <w:u w:val="single"/>
              </w:rPr>
              <w:t>月</w:t>
            </w:r>
            <w:r>
              <w:rPr>
                <w:sz w:val="21"/>
                <w:u w:val="single"/>
              </w:rPr>
              <w:t xml:space="preserve">    </w:t>
            </w:r>
            <w:r>
              <w:rPr>
                <w:color w:val="000000"/>
                <w:sz w:val="18"/>
                <w:u w:val="single"/>
              </w:rPr>
              <w:t>日</w:t>
            </w:r>
          </w:p>
          <w:tbl>
            <w:tblPr>
              <w:tblBorders>
                <w:top w:val="none" w:color="000000" w:sz="4"/>
                <w:left w:val="none" w:color="000000" w:sz="4"/>
                <w:bottom w:val="none" w:color="000000" w:sz="4"/>
                <w:right w:val="none" w:color="000000" w:sz="4"/>
                <w:insideH w:val="none"/>
                <w:insideV w:val="none"/>
              </w:tblBorders>
            </w:tblPr>
            <w:tblGrid>
              <w:gridCol w:w="585"/>
              <w:gridCol w:w="1292"/>
              <w:gridCol w:w="3082"/>
              <w:gridCol w:w="628"/>
            </w:tblGrid>
            <w:tr>
              <w:tc>
                <w:tcPr>
                  <w:tcW w:type="dxa" w:w="585"/>
                  <w:tcBorders>
                    <w:top w:val="single" w:color="000000" w:sz="4"/>
                    <w:left w:val="single" w:color="000000" w:sz="4"/>
                    <w:bottom w:val="single" w:color="000000" w:sz="4"/>
                    <w:right w:val="single" w:color="000000" w:sz="4"/>
                  </w:tcBorders>
                  <w:shd w:fill="E6E6E6"/>
                  <w:vAlign w:val="top"/>
                </w:tcPr>
                <w:p>
                  <w:pPr>
                    <w:jc w:val="center"/>
                  </w:pPr>
                  <w:r>
                    <w:rPr>
                      <w:b/>
                      <w:color w:val="000000"/>
                      <w:sz w:val="18"/>
                    </w:rPr>
                    <w:t>序号</w:t>
                  </w:r>
                </w:p>
              </w:tc>
              <w:tc>
                <w:tcPr>
                  <w:tcW w:type="dxa" w:w="1292"/>
                  <w:tcBorders>
                    <w:top w:val="single" w:color="000000" w:sz="4"/>
                    <w:left w:val="none" w:color="000000" w:sz="4"/>
                    <w:bottom w:val="single" w:color="000000" w:sz="4"/>
                    <w:right w:val="single" w:color="000000" w:sz="4"/>
                  </w:tcBorders>
                  <w:shd w:fill="E6E6E6"/>
                  <w:vAlign w:val="top"/>
                </w:tcPr>
                <w:p>
                  <w:pPr>
                    <w:jc w:val="center"/>
                  </w:pPr>
                  <w:r>
                    <w:rPr>
                      <w:b/>
                      <w:color w:val="000000"/>
                      <w:sz w:val="18"/>
                    </w:rPr>
                    <w:t>考评内容</w:t>
                  </w:r>
                </w:p>
              </w:tc>
              <w:tc>
                <w:tcPr>
                  <w:tcW w:type="dxa" w:w="3082"/>
                  <w:tcBorders>
                    <w:top w:val="single" w:color="000000" w:sz="4"/>
                    <w:left w:val="none" w:color="000000" w:sz="4"/>
                    <w:bottom w:val="single" w:color="000000" w:sz="4"/>
                    <w:right w:val="single" w:color="000000" w:sz="4"/>
                  </w:tcBorders>
                  <w:shd w:fill="E6E6E6"/>
                  <w:vAlign w:val="top"/>
                </w:tcPr>
                <w:p>
                  <w:pPr>
                    <w:jc w:val="center"/>
                  </w:pPr>
                  <w:r>
                    <w:rPr>
                      <w:b/>
                      <w:color w:val="000000"/>
                      <w:sz w:val="18"/>
                    </w:rPr>
                    <w:t>考核标准</w:t>
                  </w:r>
                </w:p>
              </w:tc>
              <w:tc>
                <w:tcPr>
                  <w:tcW w:type="dxa" w:w="628"/>
                  <w:tcBorders>
                    <w:top w:val="single" w:color="000000" w:sz="4"/>
                    <w:left w:val="none" w:color="000000" w:sz="4"/>
                    <w:bottom w:val="single" w:color="000000" w:sz="4"/>
                    <w:right w:val="single" w:color="000000" w:sz="4"/>
                  </w:tcBorders>
                  <w:shd w:fill="E6E6E6"/>
                  <w:vAlign w:val="top"/>
                </w:tcPr>
                <w:p>
                  <w:pPr>
                    <w:jc w:val="center"/>
                  </w:pPr>
                  <w:r>
                    <w:rPr>
                      <w:b/>
                      <w:color w:val="000000"/>
                      <w:sz w:val="18"/>
                    </w:rPr>
                    <w:t>得分</w:t>
                  </w:r>
                </w:p>
              </w:tc>
            </w:tr>
            <w:tr>
              <w:tc>
                <w:tcPr>
                  <w:tcW w:type="dxa" w:w="585"/>
                  <w:vMerge w:val="restart"/>
                  <w:tcBorders>
                    <w:top w:val="none" w:color="000000" w:sz="4"/>
                    <w:left w:val="single" w:color="000000" w:sz="4"/>
                    <w:bottom w:val="single" w:color="000000" w:sz="4"/>
                    <w:right w:val="single" w:color="000000" w:sz="4"/>
                  </w:tcBorders>
                  <w:vAlign w:val="top"/>
                </w:tcPr>
                <w:p>
                  <w:pPr>
                    <w:jc w:val="both"/>
                  </w:pPr>
                  <w:r>
                    <w:rPr>
                      <w:color w:val="000000"/>
                      <w:sz w:val="18"/>
                    </w:rPr>
                    <w:t>1</w:t>
                  </w:r>
                </w:p>
              </w:tc>
              <w:tc>
                <w:tcPr>
                  <w:tcW w:type="dxa" w:w="1292"/>
                  <w:vMerge w:val="restart"/>
                  <w:tcBorders>
                    <w:top w:val="none" w:color="000000" w:sz="4"/>
                    <w:left w:val="none" w:color="000000" w:sz="4"/>
                    <w:bottom w:val="single" w:color="000000" w:sz="4"/>
                    <w:right w:val="single" w:color="000000" w:sz="4"/>
                  </w:tcBorders>
                  <w:vAlign w:val="top"/>
                </w:tcPr>
                <w:p>
                  <w:pPr>
                    <w:jc w:val="both"/>
                  </w:pPr>
                  <w:r>
                    <w:rPr>
                      <w:color w:val="000000"/>
                      <w:sz w:val="18"/>
                    </w:rPr>
                    <w:t>对路口设备（信号机、信号灯、倒计时等）故障的现场抢修、抢修响应时间及抢修方式是否与维护规范要求相符合。</w:t>
                  </w:r>
                </w:p>
              </w:tc>
              <w:tc>
                <w:tcPr>
                  <w:tcW w:type="dxa" w:w="3082"/>
                  <w:tcBorders>
                    <w:top w:val="none" w:color="000000" w:sz="4"/>
                    <w:left w:val="none" w:color="000000" w:sz="4"/>
                    <w:bottom w:val="single" w:color="000000" w:sz="4"/>
                    <w:right w:val="single" w:color="000000" w:sz="4"/>
                  </w:tcBorders>
                  <w:vAlign w:val="top"/>
                </w:tcPr>
                <w:p>
                  <w:pPr>
                    <w:jc w:val="both"/>
                  </w:pPr>
                  <w:r>
                    <w:rPr>
                      <w:color w:val="000000"/>
                      <w:sz w:val="18"/>
                    </w:rPr>
                    <w:t xml:space="preserve">1、服务单位在接到相关单位的报修电话时起计算，应在30分钟内到达故障交通灯路口现场。如服务单位不能在规定时间到达故障路口现场的，则按15分钟为一个计算时间段（不足15分钟均按一个计算时间段），每迟到一个计算时间段扣2分，扣分按累计进行计算。     </w:t>
                  </w:r>
                </w:p>
              </w:tc>
              <w:tc>
                <w:tcPr>
                  <w:tcW w:type="dxa" w:w="628"/>
                  <w:tcBorders>
                    <w:top w:val="none" w:color="000000" w:sz="4"/>
                    <w:left w:val="none" w:color="000000" w:sz="4"/>
                    <w:bottom w:val="single" w:color="000000" w:sz="4"/>
                    <w:right w:val="single" w:color="000000" w:sz="4"/>
                  </w:tcBorders>
                  <w:vAlign w:val="top"/>
                </w:tcPr>
                <w:p>
                  <w:pPr>
                    <w:jc w:val="both"/>
                  </w:pPr>
                </w:p>
              </w:tc>
            </w:tr>
            <w:tr>
              <w:tc>
                <w:tcPr>
                  <w:tcW w:type="dxa" w:w="585"/>
                  <w:vMerge/>
                  <w:tcBorders>
                    <w:top w:val="none" w:color="000000" w:sz="4"/>
                    <w:left w:val="single" w:color="000000" w:sz="4"/>
                    <w:bottom w:val="single" w:color="000000" w:sz="4"/>
                    <w:right w:val="single" w:color="000000" w:sz="4"/>
                  </w:tcBorders>
                </w:tcPr>
                <w:p/>
              </w:tc>
              <w:tc>
                <w:tcPr>
                  <w:tcW w:type="dxa" w:w="1292"/>
                  <w:vMerge/>
                  <w:tcBorders>
                    <w:top w:val="none" w:color="000000" w:sz="4"/>
                    <w:left w:val="none" w:color="000000" w:sz="4"/>
                    <w:bottom w:val="single" w:color="000000" w:sz="4"/>
                    <w:right w:val="single" w:color="000000" w:sz="4"/>
                  </w:tcBorders>
                </w:tcPr>
                <w:p/>
              </w:tc>
              <w:tc>
                <w:tcPr>
                  <w:tcW w:type="dxa" w:w="3082"/>
                  <w:tcBorders>
                    <w:top w:val="none" w:color="000000" w:sz="4"/>
                    <w:left w:val="none" w:color="000000" w:sz="4"/>
                    <w:bottom w:val="single" w:color="000000" w:sz="4"/>
                    <w:right w:val="single" w:color="000000" w:sz="4"/>
                  </w:tcBorders>
                  <w:vAlign w:val="top"/>
                </w:tcPr>
                <w:p>
                  <w:pPr>
                    <w:jc w:val="both"/>
                  </w:pPr>
                  <w:r>
                    <w:rPr>
                      <w:color w:val="000000"/>
                      <w:sz w:val="18"/>
                    </w:rPr>
                    <w:t>2、服务单位到达现场后，对于非供电线路的故障造成的的故障，应在2小时内完成维修任务，并将维修结果通知报修单位或业主。若不符合要求的，每次扣2分。</w:t>
                  </w:r>
                </w:p>
              </w:tc>
              <w:tc>
                <w:tcPr>
                  <w:tcW w:type="dxa" w:w="628"/>
                  <w:tcBorders>
                    <w:top w:val="none" w:color="000000" w:sz="4"/>
                    <w:left w:val="none" w:color="000000" w:sz="4"/>
                    <w:bottom w:val="single" w:color="000000" w:sz="4"/>
                    <w:right w:val="single" w:color="000000" w:sz="4"/>
                  </w:tcBorders>
                  <w:vAlign w:val="top"/>
                </w:tcPr>
                <w:p>
                  <w:pPr>
                    <w:jc w:val="both"/>
                  </w:pPr>
                </w:p>
              </w:tc>
            </w:tr>
            <w:tr>
              <w:tc>
                <w:tcPr>
                  <w:tcW w:type="dxa" w:w="585"/>
                  <w:vMerge/>
                  <w:tcBorders>
                    <w:top w:val="none" w:color="000000" w:sz="4"/>
                    <w:left w:val="single" w:color="000000" w:sz="4"/>
                    <w:bottom w:val="single" w:color="000000" w:sz="4"/>
                    <w:right w:val="single" w:color="000000" w:sz="4"/>
                  </w:tcBorders>
                </w:tcPr>
                <w:p/>
              </w:tc>
              <w:tc>
                <w:tcPr>
                  <w:tcW w:type="dxa" w:w="1292"/>
                  <w:vMerge/>
                  <w:tcBorders>
                    <w:top w:val="none" w:color="000000" w:sz="4"/>
                    <w:left w:val="none" w:color="000000" w:sz="4"/>
                    <w:bottom w:val="single" w:color="000000" w:sz="4"/>
                    <w:right w:val="single" w:color="000000" w:sz="4"/>
                  </w:tcBorders>
                </w:tcPr>
                <w:p/>
              </w:tc>
              <w:tc>
                <w:tcPr>
                  <w:tcW w:type="dxa" w:w="3082"/>
                  <w:tcBorders>
                    <w:top w:val="none" w:color="000000" w:sz="4"/>
                    <w:left w:val="none" w:color="000000" w:sz="4"/>
                    <w:bottom w:val="single" w:color="000000" w:sz="4"/>
                    <w:right w:val="single" w:color="000000" w:sz="4"/>
                  </w:tcBorders>
                  <w:vAlign w:val="top"/>
                </w:tcPr>
                <w:p>
                  <w:pPr>
                    <w:jc w:val="both"/>
                  </w:pPr>
                  <w:r>
                    <w:rPr>
                      <w:color w:val="000000"/>
                      <w:sz w:val="18"/>
                    </w:rPr>
                    <w:t>3、对于供电线路的故障，应及时通知业主及报修单位，由业主联系相关单位尽快恢复供电，或使用应急电源，1小时内必须恢复通电。在供电线路恢复正常供电起1小计时内应完成维修任务。</w:t>
                  </w:r>
                  <w:r>
                    <w:rPr>
                      <w:color w:val="000000"/>
                      <w:sz w:val="18"/>
                    </w:rPr>
                    <w:t>若不符合要求的，每次扣</w:t>
                  </w:r>
                  <w:r>
                    <w:rPr>
                      <w:color w:val="000000"/>
                      <w:sz w:val="18"/>
                    </w:rPr>
                    <w:t>2</w:t>
                  </w:r>
                  <w:r>
                    <w:rPr>
                      <w:color w:val="000000"/>
                      <w:sz w:val="18"/>
                    </w:rPr>
                    <w:t>分；</w:t>
                  </w:r>
                </w:p>
              </w:tc>
              <w:tc>
                <w:tcPr>
                  <w:tcW w:type="dxa" w:w="628"/>
                  <w:tcBorders>
                    <w:top w:val="none" w:color="000000" w:sz="4"/>
                    <w:left w:val="none" w:color="000000" w:sz="4"/>
                    <w:bottom w:val="single" w:color="000000" w:sz="4"/>
                    <w:right w:val="single" w:color="000000" w:sz="4"/>
                  </w:tcBorders>
                  <w:vAlign w:val="top"/>
                </w:tcPr>
                <w:p>
                  <w:pPr>
                    <w:jc w:val="both"/>
                  </w:pPr>
                </w:p>
              </w:tc>
            </w:tr>
            <w:tr>
              <w:tc>
                <w:tcPr>
                  <w:tcW w:type="dxa" w:w="585"/>
                  <w:vMerge/>
                  <w:tcBorders>
                    <w:top w:val="none" w:color="000000" w:sz="4"/>
                    <w:left w:val="single" w:color="000000" w:sz="4"/>
                    <w:bottom w:val="single" w:color="000000" w:sz="4"/>
                    <w:right w:val="single" w:color="000000" w:sz="4"/>
                  </w:tcBorders>
                </w:tcPr>
                <w:p/>
              </w:tc>
              <w:tc>
                <w:tcPr>
                  <w:tcW w:type="dxa" w:w="1292"/>
                  <w:vMerge/>
                  <w:tcBorders>
                    <w:top w:val="none" w:color="000000" w:sz="4"/>
                    <w:left w:val="none" w:color="000000" w:sz="4"/>
                    <w:bottom w:val="single" w:color="000000" w:sz="4"/>
                    <w:right w:val="single" w:color="000000" w:sz="4"/>
                  </w:tcBorders>
                </w:tcPr>
                <w:p/>
              </w:tc>
              <w:tc>
                <w:tcPr>
                  <w:tcW w:type="dxa" w:w="3082"/>
                  <w:tcBorders>
                    <w:top w:val="none" w:color="000000" w:sz="4"/>
                    <w:left w:val="none" w:color="000000" w:sz="4"/>
                    <w:bottom w:val="single" w:color="000000" w:sz="4"/>
                    <w:right w:val="single" w:color="000000" w:sz="4"/>
                  </w:tcBorders>
                  <w:vAlign w:val="top"/>
                </w:tcPr>
                <w:p>
                  <w:pPr>
                    <w:jc w:val="both"/>
                  </w:pPr>
                  <w:r>
                    <w:rPr>
                      <w:color w:val="000000"/>
                      <w:sz w:val="18"/>
                    </w:rPr>
                    <w:t>4、每当在台风、大雨或雷电天气结束时，必须立即对服务范围内的路口进行巡查，发现故障的进行抢修。保证信号机、信号灯、倒计时器等各类设备的正常运作；如因特殊原因造成无法及时修复全部故障的，应及时通知业主说明情况，得到业主的允许后可按先急后缓原则进行选择性抢修，但必须在48小时内完成全部修复任务。如有不符合要求的，发现一处扣2分；</w:t>
                  </w:r>
                </w:p>
              </w:tc>
              <w:tc>
                <w:tcPr>
                  <w:tcW w:type="dxa" w:w="628"/>
                  <w:tcBorders>
                    <w:top w:val="none" w:color="000000" w:sz="4"/>
                    <w:left w:val="none" w:color="000000" w:sz="4"/>
                    <w:bottom w:val="single" w:color="000000" w:sz="4"/>
                    <w:right w:val="single" w:color="000000" w:sz="4"/>
                  </w:tcBorders>
                  <w:vAlign w:val="top"/>
                </w:tcPr>
                <w:p>
                  <w:pPr>
                    <w:jc w:val="both"/>
                  </w:pPr>
                </w:p>
              </w:tc>
            </w:tr>
            <w:tr>
              <w:tc>
                <w:tcPr>
                  <w:tcW w:type="dxa" w:w="585"/>
                  <w:vMerge/>
                  <w:tcBorders>
                    <w:top w:val="none" w:color="000000" w:sz="4"/>
                    <w:left w:val="single" w:color="000000" w:sz="4"/>
                    <w:bottom w:val="single" w:color="000000" w:sz="4"/>
                    <w:right w:val="single" w:color="000000" w:sz="4"/>
                  </w:tcBorders>
                </w:tcPr>
                <w:p/>
              </w:tc>
              <w:tc>
                <w:tcPr>
                  <w:tcW w:type="dxa" w:w="1292"/>
                  <w:vMerge/>
                  <w:tcBorders>
                    <w:top w:val="none" w:color="000000" w:sz="4"/>
                    <w:left w:val="none" w:color="000000" w:sz="4"/>
                    <w:bottom w:val="single" w:color="000000" w:sz="4"/>
                    <w:right w:val="single" w:color="000000" w:sz="4"/>
                  </w:tcBorders>
                </w:tcPr>
                <w:p/>
              </w:tc>
              <w:tc>
                <w:tcPr>
                  <w:tcW w:type="dxa" w:w="3082"/>
                  <w:tcBorders>
                    <w:top w:val="none" w:color="000000" w:sz="4"/>
                    <w:left w:val="none" w:color="000000" w:sz="4"/>
                    <w:bottom w:val="single" w:color="000000" w:sz="4"/>
                    <w:right w:val="single" w:color="000000" w:sz="4"/>
                  </w:tcBorders>
                  <w:vAlign w:val="top"/>
                </w:tcPr>
                <w:p>
                  <w:pPr>
                    <w:jc w:val="both"/>
                  </w:pPr>
                  <w:r>
                    <w:rPr>
                      <w:color w:val="000000"/>
                      <w:sz w:val="18"/>
                    </w:rPr>
                    <w:t>5、若因停电原因或其他不可控原因造成无法按规定及时完成维修任务时，需及时通知报修单位或业主，经确认后，可不扣分；否则按第前述1、2、3条进行扣分。</w:t>
                  </w:r>
                </w:p>
              </w:tc>
              <w:tc>
                <w:tcPr>
                  <w:tcW w:type="dxa" w:w="628"/>
                  <w:tcBorders>
                    <w:top w:val="none" w:color="000000" w:sz="4"/>
                    <w:left w:val="none" w:color="000000" w:sz="4"/>
                    <w:bottom w:val="single" w:color="000000" w:sz="4"/>
                    <w:right w:val="single" w:color="000000" w:sz="4"/>
                  </w:tcBorders>
                  <w:vAlign w:val="top"/>
                </w:tcPr>
                <w:p>
                  <w:pPr>
                    <w:jc w:val="both"/>
                  </w:pPr>
                </w:p>
              </w:tc>
            </w:tr>
            <w:tr>
              <w:tc>
                <w:tcPr>
                  <w:tcW w:type="dxa" w:w="585"/>
                  <w:vMerge w:val="restart"/>
                  <w:tcBorders>
                    <w:top w:val="none" w:color="000000" w:sz="4"/>
                    <w:left w:val="single" w:color="000000" w:sz="4"/>
                    <w:bottom w:val="single" w:color="000000" w:sz="4"/>
                    <w:right w:val="single" w:color="000000" w:sz="4"/>
                  </w:tcBorders>
                  <w:vAlign w:val="top"/>
                </w:tcPr>
                <w:p>
                  <w:pPr>
                    <w:jc w:val="center"/>
                  </w:pPr>
                  <w:r>
                    <w:rPr>
                      <w:color w:val="000000"/>
                      <w:sz w:val="18"/>
                    </w:rPr>
                    <w:t>2</w:t>
                  </w:r>
                </w:p>
              </w:tc>
              <w:tc>
                <w:tcPr>
                  <w:tcW w:type="dxa" w:w="1292"/>
                  <w:vMerge w:val="restart"/>
                  <w:tcBorders>
                    <w:top w:val="none" w:color="000000" w:sz="4"/>
                    <w:left w:val="none" w:color="000000" w:sz="4"/>
                    <w:bottom w:val="single" w:color="000000" w:sz="4"/>
                    <w:right w:val="single" w:color="000000" w:sz="4"/>
                  </w:tcBorders>
                  <w:vAlign w:val="top"/>
                </w:tcPr>
                <w:p>
                  <w:pPr>
                    <w:jc w:val="both"/>
                  </w:pPr>
                  <w:r>
                    <w:rPr>
                      <w:color w:val="000000"/>
                      <w:sz w:val="18"/>
                    </w:rPr>
                    <w:t>对路口的交通信号机控制箱、机动车灯灯杆、人行灯灯杆、黄闪灯灯杆的日常例行检查，确认灯杆是否安装牢固垂直、紧固件无松动现象，杆体清洁干净，无生锈变形。</w:t>
                  </w:r>
                </w:p>
              </w:tc>
              <w:tc>
                <w:tcPr>
                  <w:tcW w:type="dxa" w:w="3082"/>
                  <w:tcBorders>
                    <w:top w:val="none" w:color="000000" w:sz="4"/>
                    <w:left w:val="none" w:color="000000" w:sz="4"/>
                    <w:bottom w:val="single" w:color="000000" w:sz="4"/>
                    <w:right w:val="single" w:color="000000" w:sz="4"/>
                  </w:tcBorders>
                  <w:vAlign w:val="top"/>
                </w:tcPr>
                <w:p>
                  <w:pPr>
                    <w:jc w:val="both"/>
                  </w:pPr>
                  <w:r>
                    <w:rPr>
                      <w:color w:val="000000"/>
                      <w:sz w:val="18"/>
                    </w:rPr>
                    <w:t>1、检查信号机控制箱是否安装紧固，箱内是否干燥、洁净、是否存在鼠虫害，若不符合要求的，发现一处扣2分；</w:t>
                  </w:r>
                </w:p>
              </w:tc>
              <w:tc>
                <w:tcPr>
                  <w:tcW w:type="dxa" w:w="628"/>
                  <w:tcBorders>
                    <w:top w:val="none" w:color="000000" w:sz="4"/>
                    <w:left w:val="none" w:color="000000" w:sz="4"/>
                    <w:bottom w:val="single" w:color="000000" w:sz="4"/>
                    <w:right w:val="single" w:color="000000" w:sz="4"/>
                  </w:tcBorders>
                  <w:vAlign w:val="top"/>
                </w:tcPr>
                <w:p>
                  <w:pPr>
                    <w:jc w:val="both"/>
                  </w:pPr>
                </w:p>
              </w:tc>
            </w:tr>
            <w:tr>
              <w:tc>
                <w:tcPr>
                  <w:tcW w:type="dxa" w:w="585"/>
                  <w:vMerge/>
                  <w:tcBorders>
                    <w:top w:val="none" w:color="000000" w:sz="4"/>
                    <w:left w:val="single" w:color="000000" w:sz="4"/>
                    <w:bottom w:val="single" w:color="000000" w:sz="4"/>
                    <w:right w:val="single" w:color="000000" w:sz="4"/>
                  </w:tcBorders>
                </w:tcPr>
                <w:p/>
              </w:tc>
              <w:tc>
                <w:tcPr>
                  <w:tcW w:type="dxa" w:w="1292"/>
                  <w:vMerge/>
                  <w:tcBorders>
                    <w:top w:val="none" w:color="000000" w:sz="4"/>
                    <w:left w:val="none" w:color="000000" w:sz="4"/>
                    <w:bottom w:val="single" w:color="000000" w:sz="4"/>
                    <w:right w:val="single" w:color="000000" w:sz="4"/>
                  </w:tcBorders>
                </w:tcPr>
                <w:p/>
              </w:tc>
              <w:tc>
                <w:tcPr>
                  <w:tcW w:type="dxa" w:w="3082"/>
                  <w:tcBorders>
                    <w:top w:val="none" w:color="000000" w:sz="4"/>
                    <w:left w:val="none" w:color="000000" w:sz="4"/>
                    <w:bottom w:val="single" w:color="000000" w:sz="4"/>
                    <w:right w:val="single" w:color="000000" w:sz="4"/>
                  </w:tcBorders>
                  <w:vAlign w:val="top"/>
                </w:tcPr>
                <w:p>
                  <w:pPr>
                    <w:jc w:val="both"/>
                  </w:pPr>
                  <w:r>
                    <w:rPr>
                      <w:color w:val="000000"/>
                      <w:sz w:val="18"/>
                    </w:rPr>
                    <w:t>2、路口信号灯杆安装螺栓是否紧固，杆体垂直无松动现象，灯杆表面无生锈变形，若不符合要求的，出现一处扣1分；</w:t>
                  </w:r>
                </w:p>
              </w:tc>
              <w:tc>
                <w:tcPr>
                  <w:tcW w:type="dxa" w:w="628"/>
                  <w:tcBorders>
                    <w:top w:val="none" w:color="000000" w:sz="4"/>
                    <w:left w:val="none" w:color="000000" w:sz="4"/>
                    <w:bottom w:val="single" w:color="000000" w:sz="4"/>
                    <w:right w:val="single" w:color="000000" w:sz="4"/>
                  </w:tcBorders>
                  <w:vAlign w:val="top"/>
                </w:tcPr>
                <w:p>
                  <w:pPr>
                    <w:jc w:val="both"/>
                  </w:pPr>
                </w:p>
              </w:tc>
            </w:tr>
            <w:tr>
              <w:tc>
                <w:tcPr>
                  <w:tcW w:type="dxa" w:w="585"/>
                  <w:vMerge/>
                  <w:tcBorders>
                    <w:top w:val="none" w:color="000000" w:sz="4"/>
                    <w:left w:val="single" w:color="000000" w:sz="4"/>
                    <w:bottom w:val="single" w:color="000000" w:sz="4"/>
                    <w:right w:val="single" w:color="000000" w:sz="4"/>
                  </w:tcBorders>
                </w:tcPr>
                <w:p/>
              </w:tc>
              <w:tc>
                <w:tcPr>
                  <w:tcW w:type="dxa" w:w="1292"/>
                  <w:vMerge/>
                  <w:tcBorders>
                    <w:top w:val="none" w:color="000000" w:sz="4"/>
                    <w:left w:val="none" w:color="000000" w:sz="4"/>
                    <w:bottom w:val="single" w:color="000000" w:sz="4"/>
                    <w:right w:val="single" w:color="000000" w:sz="4"/>
                  </w:tcBorders>
                </w:tcPr>
                <w:p/>
              </w:tc>
              <w:tc>
                <w:tcPr>
                  <w:tcW w:type="dxa" w:w="3082"/>
                  <w:tcBorders>
                    <w:top w:val="none" w:color="000000" w:sz="4"/>
                    <w:left w:val="none" w:color="000000" w:sz="4"/>
                    <w:bottom w:val="single" w:color="000000" w:sz="4"/>
                    <w:right w:val="single" w:color="000000" w:sz="4"/>
                  </w:tcBorders>
                  <w:vAlign w:val="top"/>
                </w:tcPr>
                <w:p>
                  <w:pPr>
                    <w:jc w:val="both"/>
                  </w:pPr>
                  <w:r>
                    <w:rPr>
                      <w:color w:val="000000"/>
                      <w:sz w:val="18"/>
                    </w:rPr>
                    <w:t>3、对检查发现的问题应在24小时内完成修复，若不能按时完成修复，按未修复处数每处扣2分。</w:t>
                  </w:r>
                </w:p>
              </w:tc>
              <w:tc>
                <w:tcPr>
                  <w:tcW w:type="dxa" w:w="628"/>
                  <w:tcBorders>
                    <w:top w:val="none" w:color="000000" w:sz="4"/>
                    <w:left w:val="none" w:color="000000" w:sz="4"/>
                    <w:bottom w:val="single" w:color="000000" w:sz="4"/>
                    <w:right w:val="single" w:color="000000" w:sz="4"/>
                  </w:tcBorders>
                  <w:vAlign w:val="top"/>
                </w:tcPr>
                <w:p>
                  <w:pPr>
                    <w:jc w:val="both"/>
                  </w:pPr>
                </w:p>
              </w:tc>
            </w:tr>
            <w:tr>
              <w:tc>
                <w:tcPr>
                  <w:tcW w:type="dxa" w:w="585"/>
                  <w:vMerge w:val="restart"/>
                  <w:tcBorders>
                    <w:top w:val="none" w:color="000000" w:sz="4"/>
                    <w:left w:val="single" w:color="000000" w:sz="4"/>
                    <w:bottom w:val="single" w:color="000000" w:sz="4"/>
                    <w:right w:val="single" w:color="000000" w:sz="4"/>
                  </w:tcBorders>
                  <w:vAlign w:val="top"/>
                </w:tcPr>
                <w:p>
                  <w:pPr>
                    <w:jc w:val="both"/>
                  </w:pPr>
                  <w:r>
                    <w:rPr>
                      <w:color w:val="000000"/>
                      <w:sz w:val="18"/>
                    </w:rPr>
                    <w:t>3</w:t>
                  </w:r>
                </w:p>
              </w:tc>
              <w:tc>
                <w:tcPr>
                  <w:tcW w:type="dxa" w:w="1292"/>
                  <w:vMerge w:val="restart"/>
                  <w:tcBorders>
                    <w:top w:val="none" w:color="000000" w:sz="4"/>
                    <w:left w:val="none" w:color="000000" w:sz="4"/>
                    <w:bottom w:val="single" w:color="000000" w:sz="4"/>
                    <w:right w:val="single" w:color="000000" w:sz="4"/>
                  </w:tcBorders>
                  <w:vAlign w:val="top"/>
                </w:tcPr>
                <w:p>
                  <w:pPr>
                    <w:jc w:val="both"/>
                  </w:pPr>
                  <w:r>
                    <w:rPr>
                      <w:color w:val="000000"/>
                      <w:sz w:val="18"/>
                    </w:rPr>
                    <w:t>对路口信号灯的交通管井、地下管线、地下电缆的日常例行检查，要求保持井内清洁干燥、无鼠虫害，井内电缆无盘绕、打结现象等。</w:t>
                  </w:r>
                </w:p>
              </w:tc>
              <w:tc>
                <w:tcPr>
                  <w:tcW w:type="dxa" w:w="3082"/>
                  <w:tcBorders>
                    <w:top w:val="none" w:color="000000" w:sz="4"/>
                    <w:left w:val="none" w:color="000000" w:sz="4"/>
                    <w:bottom w:val="single" w:color="000000" w:sz="4"/>
                    <w:right w:val="single" w:color="000000" w:sz="4"/>
                  </w:tcBorders>
                  <w:vAlign w:val="top"/>
                </w:tcPr>
                <w:p>
                  <w:pPr>
                    <w:jc w:val="both"/>
                  </w:pPr>
                  <w:r>
                    <w:rPr>
                      <w:color w:val="000000"/>
                      <w:sz w:val="18"/>
                    </w:rPr>
                    <w:t>1、检查路口交通灯管线穿线井的井盖是否完整并密封，如发现井盖因破损的，发现一处扣2分；</w:t>
                  </w:r>
                </w:p>
              </w:tc>
              <w:tc>
                <w:tcPr>
                  <w:tcW w:type="dxa" w:w="628"/>
                  <w:tcBorders>
                    <w:top w:val="none" w:color="000000" w:sz="4"/>
                    <w:left w:val="none" w:color="000000" w:sz="4"/>
                    <w:bottom w:val="single" w:color="000000" w:sz="4"/>
                    <w:right w:val="single" w:color="000000" w:sz="4"/>
                  </w:tcBorders>
                  <w:vAlign w:val="top"/>
                </w:tcPr>
                <w:p>
                  <w:pPr>
                    <w:jc w:val="both"/>
                  </w:pPr>
                </w:p>
              </w:tc>
            </w:tr>
            <w:tr>
              <w:tc>
                <w:tcPr>
                  <w:tcW w:type="dxa" w:w="585"/>
                  <w:vMerge/>
                  <w:tcBorders>
                    <w:top w:val="none" w:color="000000" w:sz="4"/>
                    <w:left w:val="single" w:color="000000" w:sz="4"/>
                    <w:bottom w:val="single" w:color="000000" w:sz="4"/>
                    <w:right w:val="single" w:color="000000" w:sz="4"/>
                  </w:tcBorders>
                </w:tcPr>
                <w:p/>
              </w:tc>
              <w:tc>
                <w:tcPr>
                  <w:tcW w:type="dxa" w:w="1292"/>
                  <w:vMerge/>
                  <w:tcBorders>
                    <w:top w:val="none" w:color="000000" w:sz="4"/>
                    <w:left w:val="none" w:color="000000" w:sz="4"/>
                    <w:bottom w:val="single" w:color="000000" w:sz="4"/>
                    <w:right w:val="single" w:color="000000" w:sz="4"/>
                  </w:tcBorders>
                </w:tcPr>
                <w:p/>
              </w:tc>
              <w:tc>
                <w:tcPr>
                  <w:tcW w:type="dxa" w:w="3082"/>
                  <w:tcBorders>
                    <w:top w:val="none" w:color="000000" w:sz="4"/>
                    <w:left w:val="none" w:color="000000" w:sz="4"/>
                    <w:bottom w:val="single" w:color="000000" w:sz="4"/>
                    <w:right w:val="single" w:color="000000" w:sz="4"/>
                  </w:tcBorders>
                  <w:vAlign w:val="top"/>
                </w:tcPr>
                <w:p>
                  <w:pPr>
                    <w:jc w:val="both"/>
                  </w:pPr>
                  <w:r>
                    <w:rPr>
                      <w:color w:val="000000"/>
                      <w:sz w:val="18"/>
                    </w:rPr>
                    <w:t>2、检查交通灯管线穿线井井内是否干燥，应无</w:t>
                  </w:r>
                  <w:r>
                    <w:rPr>
                      <w:color w:val="000000"/>
                      <w:sz w:val="18"/>
                    </w:rPr>
                    <w:t>鼠害，无淤泥，井壁水泥批荡完整，若不符合要求的，</w:t>
                  </w:r>
                  <w:r>
                    <w:rPr>
                      <w:color w:val="000000"/>
                      <w:sz w:val="18"/>
                    </w:rPr>
                    <w:t>发现一处扣</w:t>
                  </w:r>
                  <w:r>
                    <w:rPr>
                      <w:color w:val="000000"/>
                      <w:sz w:val="18"/>
                    </w:rPr>
                    <w:t>1分；</w:t>
                  </w:r>
                </w:p>
              </w:tc>
              <w:tc>
                <w:tcPr>
                  <w:tcW w:type="dxa" w:w="628"/>
                  <w:tcBorders>
                    <w:top w:val="none" w:color="000000" w:sz="4"/>
                    <w:left w:val="none" w:color="000000" w:sz="4"/>
                    <w:bottom w:val="single" w:color="000000" w:sz="4"/>
                    <w:right w:val="single" w:color="000000" w:sz="4"/>
                  </w:tcBorders>
                  <w:vAlign w:val="top"/>
                </w:tcPr>
                <w:p>
                  <w:pPr>
                    <w:jc w:val="both"/>
                  </w:pPr>
                </w:p>
              </w:tc>
            </w:tr>
            <w:tr>
              <w:tc>
                <w:tcPr>
                  <w:tcW w:type="dxa" w:w="585"/>
                  <w:vMerge/>
                  <w:tcBorders>
                    <w:top w:val="none" w:color="000000" w:sz="4"/>
                    <w:left w:val="single" w:color="000000" w:sz="4"/>
                    <w:bottom w:val="single" w:color="000000" w:sz="4"/>
                    <w:right w:val="single" w:color="000000" w:sz="4"/>
                  </w:tcBorders>
                </w:tcPr>
                <w:p/>
              </w:tc>
              <w:tc>
                <w:tcPr>
                  <w:tcW w:type="dxa" w:w="1292"/>
                  <w:vMerge/>
                  <w:tcBorders>
                    <w:top w:val="none" w:color="000000" w:sz="4"/>
                    <w:left w:val="none" w:color="000000" w:sz="4"/>
                    <w:bottom w:val="single" w:color="000000" w:sz="4"/>
                    <w:right w:val="single" w:color="000000" w:sz="4"/>
                  </w:tcBorders>
                </w:tcPr>
                <w:p/>
              </w:tc>
              <w:tc>
                <w:tcPr>
                  <w:tcW w:type="dxa" w:w="3082"/>
                  <w:tcBorders>
                    <w:top w:val="none" w:color="000000" w:sz="4"/>
                    <w:left w:val="none" w:color="000000" w:sz="4"/>
                    <w:bottom w:val="single" w:color="000000" w:sz="4"/>
                    <w:right w:val="single" w:color="000000" w:sz="4"/>
                  </w:tcBorders>
                  <w:vAlign w:val="top"/>
                </w:tcPr>
                <w:p>
                  <w:pPr>
                    <w:jc w:val="both"/>
                  </w:pPr>
                  <w:r>
                    <w:rPr>
                      <w:color w:val="000000"/>
                      <w:sz w:val="18"/>
                    </w:rPr>
                    <w:t>3、电缆管道应保持畅通，穿线井内电缆无盘绕、打结现象，若不符合要求的，发现一处扣1分；</w:t>
                  </w:r>
                </w:p>
              </w:tc>
              <w:tc>
                <w:tcPr>
                  <w:tcW w:type="dxa" w:w="628"/>
                  <w:tcBorders>
                    <w:top w:val="none" w:color="000000" w:sz="4"/>
                    <w:left w:val="none" w:color="000000" w:sz="4"/>
                    <w:bottom w:val="single" w:color="000000" w:sz="4"/>
                    <w:right w:val="single" w:color="000000" w:sz="4"/>
                  </w:tcBorders>
                  <w:vAlign w:val="top"/>
                </w:tcPr>
                <w:p>
                  <w:pPr>
                    <w:jc w:val="both"/>
                  </w:pPr>
                </w:p>
              </w:tc>
            </w:tr>
            <w:tr>
              <w:tc>
                <w:tcPr>
                  <w:tcW w:type="dxa" w:w="585"/>
                  <w:vMerge/>
                  <w:tcBorders>
                    <w:top w:val="none" w:color="000000" w:sz="4"/>
                    <w:left w:val="single" w:color="000000" w:sz="4"/>
                    <w:bottom w:val="single" w:color="000000" w:sz="4"/>
                    <w:right w:val="single" w:color="000000" w:sz="4"/>
                  </w:tcBorders>
                </w:tcPr>
                <w:p/>
              </w:tc>
              <w:tc>
                <w:tcPr>
                  <w:tcW w:type="dxa" w:w="1292"/>
                  <w:vMerge/>
                  <w:tcBorders>
                    <w:top w:val="none" w:color="000000" w:sz="4"/>
                    <w:left w:val="none" w:color="000000" w:sz="4"/>
                    <w:bottom w:val="single" w:color="000000" w:sz="4"/>
                    <w:right w:val="single" w:color="000000" w:sz="4"/>
                  </w:tcBorders>
                </w:tcPr>
                <w:p/>
              </w:tc>
              <w:tc>
                <w:tcPr>
                  <w:tcW w:type="dxa" w:w="3082"/>
                  <w:tcBorders>
                    <w:top w:val="none" w:color="000000" w:sz="4"/>
                    <w:left w:val="none" w:color="000000" w:sz="4"/>
                    <w:bottom w:val="single" w:color="000000" w:sz="4"/>
                    <w:right w:val="single" w:color="000000" w:sz="4"/>
                  </w:tcBorders>
                  <w:vAlign w:val="top"/>
                </w:tcPr>
                <w:p>
                  <w:pPr>
                    <w:jc w:val="both"/>
                  </w:pPr>
                  <w:r>
                    <w:rPr>
                      <w:color w:val="000000"/>
                      <w:sz w:val="18"/>
                    </w:rPr>
                    <w:t>4、对检查发现的问题应在24小时内完成修复，若不能按时完成修复，按未修复处数每处扣2分。</w:t>
                  </w:r>
                </w:p>
              </w:tc>
              <w:tc>
                <w:tcPr>
                  <w:tcW w:type="dxa" w:w="628"/>
                  <w:tcBorders>
                    <w:top w:val="none" w:color="000000" w:sz="4"/>
                    <w:left w:val="none" w:color="000000" w:sz="4"/>
                    <w:bottom w:val="single" w:color="000000" w:sz="4"/>
                    <w:right w:val="single" w:color="000000" w:sz="4"/>
                  </w:tcBorders>
                  <w:vAlign w:val="top"/>
                </w:tcPr>
                <w:p>
                  <w:pPr>
                    <w:jc w:val="both"/>
                  </w:pPr>
                </w:p>
              </w:tc>
            </w:tr>
            <w:tr>
              <w:tc>
                <w:tcPr>
                  <w:tcW w:type="dxa" w:w="585"/>
                  <w:vMerge w:val="restart"/>
                  <w:tcBorders>
                    <w:top w:val="none" w:color="000000" w:sz="4"/>
                    <w:left w:val="single" w:color="000000" w:sz="4"/>
                    <w:bottom w:val="single" w:color="000000" w:sz="4"/>
                    <w:right w:val="single" w:color="000000" w:sz="4"/>
                  </w:tcBorders>
                  <w:vAlign w:val="top"/>
                </w:tcPr>
                <w:p>
                  <w:pPr>
                    <w:jc w:val="both"/>
                  </w:pPr>
                  <w:r>
                    <w:rPr>
                      <w:color w:val="000000"/>
                      <w:sz w:val="18"/>
                    </w:rPr>
                    <w:t>4</w:t>
                  </w:r>
                </w:p>
              </w:tc>
              <w:tc>
                <w:tcPr>
                  <w:tcW w:type="dxa" w:w="1292"/>
                  <w:vMerge w:val="restart"/>
                  <w:tcBorders>
                    <w:top w:val="none" w:color="000000" w:sz="4"/>
                    <w:left w:val="none" w:color="000000" w:sz="4"/>
                    <w:bottom w:val="single" w:color="000000" w:sz="4"/>
                    <w:right w:val="single" w:color="000000" w:sz="4"/>
                  </w:tcBorders>
                  <w:vAlign w:val="top"/>
                </w:tcPr>
                <w:p>
                  <w:pPr>
                    <w:jc w:val="both"/>
                  </w:pPr>
                  <w:r>
                    <w:rPr>
                      <w:color w:val="000000"/>
                      <w:sz w:val="18"/>
                    </w:rPr>
                    <w:t>对路口信号灯、倒计时器、太阳能黄闪灯的日常例行巡查，要求巡视所有灯具及信号显示单元，发现有损坏的信号灯设备须立刻进行维修并记录。</w:t>
                  </w:r>
                </w:p>
              </w:tc>
              <w:tc>
                <w:tcPr>
                  <w:tcW w:type="dxa" w:w="3082"/>
                  <w:tcBorders>
                    <w:top w:val="none" w:color="000000" w:sz="4"/>
                    <w:left w:val="none" w:color="000000" w:sz="4"/>
                    <w:bottom w:val="single" w:color="000000" w:sz="4"/>
                    <w:right w:val="single" w:color="000000" w:sz="4"/>
                  </w:tcBorders>
                  <w:vAlign w:val="top"/>
                </w:tcPr>
                <w:p>
                  <w:pPr>
                    <w:jc w:val="both"/>
                  </w:pPr>
                  <w:r>
                    <w:rPr>
                      <w:color w:val="000000"/>
                      <w:sz w:val="18"/>
                    </w:rPr>
                    <w:t>1、服务单位两天一次对信号灯设施进行定期检查，并作巡查记录。每少一次，扣2分。</w:t>
                  </w:r>
                </w:p>
              </w:tc>
              <w:tc>
                <w:tcPr>
                  <w:tcW w:type="dxa" w:w="628"/>
                  <w:tcBorders>
                    <w:top w:val="none" w:color="000000" w:sz="4"/>
                    <w:left w:val="none" w:color="000000" w:sz="4"/>
                    <w:bottom w:val="single" w:color="000000" w:sz="4"/>
                    <w:right w:val="single" w:color="000000" w:sz="4"/>
                  </w:tcBorders>
                  <w:vAlign w:val="top"/>
                </w:tcPr>
                <w:p>
                  <w:pPr>
                    <w:jc w:val="both"/>
                  </w:pPr>
                </w:p>
              </w:tc>
            </w:tr>
            <w:tr>
              <w:tc>
                <w:tcPr>
                  <w:tcW w:type="dxa" w:w="585"/>
                  <w:vMerge/>
                  <w:tcBorders>
                    <w:top w:val="none" w:color="000000" w:sz="4"/>
                    <w:left w:val="single" w:color="000000" w:sz="4"/>
                    <w:bottom w:val="single" w:color="000000" w:sz="4"/>
                    <w:right w:val="single" w:color="000000" w:sz="4"/>
                  </w:tcBorders>
                </w:tcPr>
                <w:p/>
              </w:tc>
              <w:tc>
                <w:tcPr>
                  <w:tcW w:type="dxa" w:w="1292"/>
                  <w:vMerge/>
                  <w:tcBorders>
                    <w:top w:val="none" w:color="000000" w:sz="4"/>
                    <w:left w:val="none" w:color="000000" w:sz="4"/>
                    <w:bottom w:val="single" w:color="000000" w:sz="4"/>
                    <w:right w:val="single" w:color="000000" w:sz="4"/>
                  </w:tcBorders>
                </w:tcPr>
                <w:p/>
              </w:tc>
              <w:tc>
                <w:tcPr>
                  <w:tcW w:type="dxa" w:w="3082"/>
                  <w:tcBorders>
                    <w:top w:val="none" w:color="000000" w:sz="4"/>
                    <w:left w:val="none" w:color="000000" w:sz="4"/>
                    <w:bottom w:val="single" w:color="000000" w:sz="4"/>
                    <w:right w:val="single" w:color="000000" w:sz="4"/>
                  </w:tcBorders>
                  <w:vAlign w:val="top"/>
                </w:tcPr>
                <w:p>
                  <w:pPr>
                    <w:jc w:val="both"/>
                  </w:pPr>
                  <w:r>
                    <w:rPr>
                      <w:color w:val="000000"/>
                      <w:sz w:val="18"/>
                    </w:rPr>
                    <w:t>2、对合同范围内的各路口的交通信号灯外壳，各组信号灯的显示单元进行检查，各灯具外壳应无破损，各信号灯单元的LED管正常发光率应不低于90%。发现灯壳破损、LED管发光率不足的应在规定时间内完成维修或更换，以保证各设备均正常运作。如不能在规定时间内完成修复任务的，每发现一处扣1分；</w:t>
                  </w:r>
                </w:p>
              </w:tc>
              <w:tc>
                <w:tcPr>
                  <w:tcW w:type="dxa" w:w="628"/>
                  <w:tcBorders>
                    <w:top w:val="none" w:color="000000" w:sz="4"/>
                    <w:left w:val="none" w:color="000000" w:sz="4"/>
                    <w:bottom w:val="single" w:color="000000" w:sz="4"/>
                    <w:right w:val="single" w:color="000000" w:sz="4"/>
                  </w:tcBorders>
                  <w:vAlign w:val="top"/>
                </w:tcPr>
                <w:p>
                  <w:pPr>
                    <w:jc w:val="both"/>
                  </w:pPr>
                </w:p>
              </w:tc>
            </w:tr>
            <w:tr>
              <w:tc>
                <w:tcPr>
                  <w:tcW w:type="dxa" w:w="585"/>
                  <w:vMerge/>
                  <w:tcBorders>
                    <w:top w:val="none" w:color="000000" w:sz="4"/>
                    <w:left w:val="single" w:color="000000" w:sz="4"/>
                    <w:bottom w:val="single" w:color="000000" w:sz="4"/>
                    <w:right w:val="single" w:color="000000" w:sz="4"/>
                  </w:tcBorders>
                </w:tcPr>
                <w:p/>
              </w:tc>
              <w:tc>
                <w:tcPr>
                  <w:tcW w:type="dxa" w:w="1292"/>
                  <w:vMerge/>
                  <w:tcBorders>
                    <w:top w:val="none" w:color="000000" w:sz="4"/>
                    <w:left w:val="none" w:color="000000" w:sz="4"/>
                    <w:bottom w:val="single" w:color="000000" w:sz="4"/>
                    <w:right w:val="single" w:color="000000" w:sz="4"/>
                  </w:tcBorders>
                </w:tcPr>
                <w:p/>
              </w:tc>
              <w:tc>
                <w:tcPr>
                  <w:tcW w:type="dxa" w:w="3082"/>
                  <w:tcBorders>
                    <w:top w:val="none" w:color="000000" w:sz="4"/>
                    <w:left w:val="none" w:color="000000" w:sz="4"/>
                    <w:bottom w:val="single" w:color="000000" w:sz="4"/>
                    <w:right w:val="single" w:color="000000" w:sz="4"/>
                  </w:tcBorders>
                  <w:vAlign w:val="top"/>
                </w:tcPr>
                <w:p>
                  <w:pPr>
                    <w:jc w:val="both"/>
                  </w:pPr>
                  <w:r>
                    <w:rPr>
                      <w:color w:val="000000"/>
                      <w:sz w:val="18"/>
                    </w:rPr>
                    <w:t>3、检查路口倒计时各“笔划”是否正常发亮，显示数值是否正确。如不正常应在规定时间内完成维修或更换，以保证倒计时器均正常运作。如不能在规定时间内完成修复任务的，每发现一处扣1分；</w:t>
                  </w:r>
                </w:p>
              </w:tc>
              <w:tc>
                <w:tcPr>
                  <w:tcW w:type="dxa" w:w="628"/>
                  <w:tcBorders>
                    <w:top w:val="none" w:color="000000" w:sz="4"/>
                    <w:left w:val="none" w:color="000000" w:sz="4"/>
                    <w:bottom w:val="single" w:color="000000" w:sz="4"/>
                    <w:right w:val="single" w:color="000000" w:sz="4"/>
                  </w:tcBorders>
                  <w:vAlign w:val="top"/>
                </w:tcPr>
                <w:p>
                  <w:pPr>
                    <w:jc w:val="both"/>
                  </w:pPr>
                </w:p>
              </w:tc>
            </w:tr>
            <w:tr>
              <w:tc>
                <w:tcPr>
                  <w:tcW w:type="dxa" w:w="585"/>
                  <w:vMerge/>
                  <w:tcBorders>
                    <w:top w:val="none" w:color="000000" w:sz="4"/>
                    <w:left w:val="single" w:color="000000" w:sz="4"/>
                    <w:bottom w:val="single" w:color="000000" w:sz="4"/>
                    <w:right w:val="single" w:color="000000" w:sz="4"/>
                  </w:tcBorders>
                </w:tcPr>
                <w:p/>
              </w:tc>
              <w:tc>
                <w:tcPr>
                  <w:tcW w:type="dxa" w:w="1292"/>
                  <w:vMerge/>
                  <w:tcBorders>
                    <w:top w:val="none" w:color="000000" w:sz="4"/>
                    <w:left w:val="none" w:color="000000" w:sz="4"/>
                    <w:bottom w:val="single" w:color="000000" w:sz="4"/>
                    <w:right w:val="single" w:color="000000" w:sz="4"/>
                  </w:tcBorders>
                </w:tcPr>
                <w:p/>
              </w:tc>
              <w:tc>
                <w:tcPr>
                  <w:tcW w:type="dxa" w:w="3082"/>
                  <w:tcBorders>
                    <w:top w:val="none" w:color="000000" w:sz="4"/>
                    <w:left w:val="none" w:color="000000" w:sz="4"/>
                    <w:bottom w:val="single" w:color="000000" w:sz="4"/>
                    <w:right w:val="single" w:color="000000" w:sz="4"/>
                  </w:tcBorders>
                  <w:vAlign w:val="top"/>
                </w:tcPr>
                <w:p>
                  <w:pPr>
                    <w:jc w:val="both"/>
                  </w:pPr>
                  <w:r>
                    <w:rPr>
                      <w:color w:val="000000"/>
                      <w:sz w:val="18"/>
                    </w:rPr>
                    <w:t>4、对检查发现的问题应在12小时内完成修复，若不能按时完成修复，按未修复处数每处扣2分。</w:t>
                  </w:r>
                </w:p>
              </w:tc>
              <w:tc>
                <w:tcPr>
                  <w:tcW w:type="dxa" w:w="628"/>
                  <w:tcBorders>
                    <w:top w:val="none" w:color="000000" w:sz="4"/>
                    <w:left w:val="none" w:color="000000" w:sz="4"/>
                    <w:bottom w:val="single" w:color="000000" w:sz="4"/>
                    <w:right w:val="single" w:color="000000" w:sz="4"/>
                  </w:tcBorders>
                  <w:vAlign w:val="top"/>
                </w:tcPr>
                <w:p>
                  <w:pPr>
                    <w:jc w:val="both"/>
                  </w:pPr>
                </w:p>
              </w:tc>
            </w:tr>
            <w:tr>
              <w:tc>
                <w:tcPr>
                  <w:tcW w:type="dxa" w:w="585"/>
                  <w:vMerge w:val="restart"/>
                  <w:tcBorders>
                    <w:top w:val="none" w:color="000000" w:sz="4"/>
                    <w:left w:val="single" w:color="000000" w:sz="4"/>
                    <w:bottom w:val="single" w:color="000000" w:sz="4"/>
                    <w:right w:val="single" w:color="000000" w:sz="4"/>
                  </w:tcBorders>
                  <w:vAlign w:val="top"/>
                </w:tcPr>
                <w:p>
                  <w:pPr>
                    <w:jc w:val="both"/>
                  </w:pPr>
                  <w:r>
                    <w:rPr>
                      <w:color w:val="000000"/>
                      <w:sz w:val="18"/>
                    </w:rPr>
                    <w:t>5</w:t>
                  </w:r>
                </w:p>
              </w:tc>
              <w:tc>
                <w:tcPr>
                  <w:tcW w:type="dxa" w:w="1292"/>
                  <w:vMerge w:val="restart"/>
                  <w:tcBorders>
                    <w:top w:val="none" w:color="000000" w:sz="4"/>
                    <w:left w:val="none" w:color="000000" w:sz="4"/>
                    <w:bottom w:val="single" w:color="000000" w:sz="4"/>
                    <w:right w:val="single" w:color="000000" w:sz="4"/>
                  </w:tcBorders>
                  <w:vAlign w:val="top"/>
                </w:tcPr>
                <w:p>
                  <w:pPr>
                    <w:jc w:val="both"/>
                  </w:pPr>
                  <w:r>
                    <w:rPr>
                      <w:color w:val="000000"/>
                      <w:sz w:val="18"/>
                    </w:rPr>
                    <w:t>对交通灯控制机箱、信号灯杆杆体、灯具外壳等进行定期的清洁。</w:t>
                  </w:r>
                </w:p>
              </w:tc>
              <w:tc>
                <w:tcPr>
                  <w:tcW w:type="dxa" w:w="3082"/>
                  <w:tcBorders>
                    <w:top w:val="none" w:color="000000" w:sz="4"/>
                    <w:left w:val="none" w:color="000000" w:sz="4"/>
                    <w:bottom w:val="single" w:color="000000" w:sz="4"/>
                    <w:right w:val="single" w:color="000000" w:sz="4"/>
                  </w:tcBorders>
                  <w:vAlign w:val="top"/>
                </w:tcPr>
                <w:p>
                  <w:pPr>
                    <w:jc w:val="both"/>
                  </w:pPr>
                  <w:r>
                    <w:rPr>
                      <w:color w:val="000000"/>
                      <w:sz w:val="18"/>
                    </w:rPr>
                    <w:t>1、每季度的首月10日前安排对路口的交通信号灯控制机箱外壳、信号灯灯具外壳及灯色透光镜、杆杆体表面进行全面清洁。清洁后应立限通知业主进行检查，检查时注意是否按时清洁，如发现未进行清洁，则每发现一处扣1分；对检查发现的问题应在24小时内完成修复，若不能按时完成修复，按未修复处数每处扣2分。</w:t>
                  </w:r>
                </w:p>
              </w:tc>
              <w:tc>
                <w:tcPr>
                  <w:tcW w:type="dxa" w:w="628"/>
                  <w:tcBorders>
                    <w:top w:val="none" w:color="000000" w:sz="4"/>
                    <w:left w:val="none" w:color="000000" w:sz="4"/>
                    <w:bottom w:val="single" w:color="000000" w:sz="4"/>
                    <w:right w:val="single" w:color="000000" w:sz="4"/>
                  </w:tcBorders>
                  <w:vAlign w:val="top"/>
                </w:tcPr>
                <w:p>
                  <w:pPr>
                    <w:jc w:val="both"/>
                  </w:pPr>
                </w:p>
              </w:tc>
            </w:tr>
            <w:tr>
              <w:tc>
                <w:tcPr>
                  <w:tcW w:type="dxa" w:w="585"/>
                  <w:vMerge/>
                  <w:tcBorders>
                    <w:top w:val="none" w:color="000000" w:sz="4"/>
                    <w:left w:val="single" w:color="000000" w:sz="4"/>
                    <w:bottom w:val="single" w:color="000000" w:sz="4"/>
                    <w:right w:val="single" w:color="000000" w:sz="4"/>
                  </w:tcBorders>
                </w:tcPr>
                <w:p/>
              </w:tc>
              <w:tc>
                <w:tcPr>
                  <w:tcW w:type="dxa" w:w="1292"/>
                  <w:vMerge/>
                  <w:tcBorders>
                    <w:top w:val="none" w:color="000000" w:sz="4"/>
                    <w:left w:val="none" w:color="000000" w:sz="4"/>
                    <w:bottom w:val="single" w:color="000000" w:sz="4"/>
                    <w:right w:val="single" w:color="000000" w:sz="4"/>
                  </w:tcBorders>
                </w:tcPr>
                <w:p/>
              </w:tc>
              <w:tc>
                <w:tcPr>
                  <w:tcW w:type="dxa" w:w="3082"/>
                  <w:tcBorders>
                    <w:top w:val="none" w:color="000000" w:sz="4"/>
                    <w:left w:val="none" w:color="000000" w:sz="4"/>
                    <w:bottom w:val="single" w:color="000000" w:sz="4"/>
                    <w:right w:val="single" w:color="000000" w:sz="4"/>
                  </w:tcBorders>
                  <w:vAlign w:val="top"/>
                </w:tcPr>
                <w:p>
                  <w:pPr>
                    <w:jc w:val="both"/>
                  </w:pPr>
                  <w:r>
                    <w:rPr>
                      <w:color w:val="000000"/>
                      <w:sz w:val="18"/>
                    </w:rPr>
                    <w:t>2、对机箱及灯杆外表存在的乱张贴乱涂画进行清理的，服务单位自发现起24小时内自行清理，清洁后应立限通知业主进行检查。如未按时进行清洁，每发现一处扣1分；</w:t>
                  </w:r>
                </w:p>
              </w:tc>
              <w:tc>
                <w:tcPr>
                  <w:tcW w:type="dxa" w:w="628"/>
                  <w:tcBorders>
                    <w:top w:val="none" w:color="000000" w:sz="4"/>
                    <w:left w:val="none" w:color="000000" w:sz="4"/>
                    <w:bottom w:val="single" w:color="000000" w:sz="4"/>
                    <w:right w:val="single" w:color="000000" w:sz="4"/>
                  </w:tcBorders>
                  <w:vAlign w:val="top"/>
                </w:tcPr>
                <w:p>
                  <w:pPr>
                    <w:jc w:val="both"/>
                  </w:pPr>
                </w:p>
              </w:tc>
            </w:tr>
            <w:tr>
              <w:tc>
                <w:tcPr>
                  <w:tcW w:type="dxa" w:w="585"/>
                  <w:vMerge w:val="restart"/>
                  <w:tcBorders>
                    <w:top w:val="none" w:color="000000" w:sz="4"/>
                    <w:left w:val="single" w:color="000000" w:sz="4"/>
                    <w:bottom w:val="single" w:color="000000" w:sz="4"/>
                    <w:right w:val="single" w:color="000000" w:sz="4"/>
                  </w:tcBorders>
                  <w:vAlign w:val="top"/>
                </w:tcPr>
                <w:p>
                  <w:pPr>
                    <w:jc w:val="both"/>
                  </w:pPr>
                  <w:r>
                    <w:rPr>
                      <w:color w:val="000000"/>
                      <w:sz w:val="18"/>
                    </w:rPr>
                    <w:t>6</w:t>
                  </w:r>
                </w:p>
              </w:tc>
              <w:tc>
                <w:tcPr>
                  <w:tcW w:type="dxa" w:w="1292"/>
                  <w:vMerge w:val="restart"/>
                  <w:tcBorders>
                    <w:top w:val="none" w:color="000000" w:sz="4"/>
                    <w:left w:val="none" w:color="000000" w:sz="4"/>
                    <w:bottom w:val="single" w:color="000000" w:sz="4"/>
                    <w:right w:val="single" w:color="000000" w:sz="4"/>
                  </w:tcBorders>
                  <w:vAlign w:val="top"/>
                </w:tcPr>
                <w:p>
                  <w:pPr>
                    <w:jc w:val="both"/>
                  </w:pPr>
                  <w:r>
                    <w:rPr>
                      <w:color w:val="000000"/>
                      <w:sz w:val="18"/>
                    </w:rPr>
                    <w:t>按要求配备各类维修工具、备用冗余设备配件，随时接受业主的检查。</w:t>
                  </w:r>
                </w:p>
              </w:tc>
              <w:tc>
                <w:tcPr>
                  <w:tcW w:type="dxa" w:w="3082"/>
                  <w:tcBorders>
                    <w:top w:val="none" w:color="000000" w:sz="4"/>
                    <w:left w:val="none" w:color="000000" w:sz="4"/>
                    <w:bottom w:val="single" w:color="000000" w:sz="4"/>
                    <w:right w:val="single" w:color="000000" w:sz="4"/>
                  </w:tcBorders>
                  <w:vAlign w:val="top"/>
                </w:tcPr>
                <w:p>
                  <w:pPr>
                    <w:jc w:val="both"/>
                  </w:pPr>
                  <w:r>
                    <w:rPr>
                      <w:color w:val="000000"/>
                      <w:sz w:val="18"/>
                    </w:rPr>
                    <w:t>1、检查是否按要求配备各类维修工具且应保证各工具能正常使用；如不符合要求的，则每次扣1分；</w:t>
                  </w:r>
                </w:p>
              </w:tc>
              <w:tc>
                <w:tcPr>
                  <w:tcW w:type="dxa" w:w="628"/>
                  <w:tcBorders>
                    <w:top w:val="none" w:color="000000" w:sz="4"/>
                    <w:left w:val="none" w:color="000000" w:sz="4"/>
                    <w:bottom w:val="single" w:color="000000" w:sz="4"/>
                    <w:right w:val="single" w:color="000000" w:sz="4"/>
                  </w:tcBorders>
                  <w:vAlign w:val="top"/>
                </w:tcPr>
                <w:p>
                  <w:pPr>
                    <w:jc w:val="both"/>
                  </w:pPr>
                </w:p>
              </w:tc>
            </w:tr>
            <w:tr>
              <w:tc>
                <w:tcPr>
                  <w:tcW w:type="dxa" w:w="585"/>
                  <w:vMerge/>
                  <w:tcBorders>
                    <w:top w:val="none" w:color="000000" w:sz="4"/>
                    <w:left w:val="single" w:color="000000" w:sz="4"/>
                    <w:bottom w:val="single" w:color="000000" w:sz="4"/>
                    <w:right w:val="single" w:color="000000" w:sz="4"/>
                  </w:tcBorders>
                </w:tcPr>
                <w:p/>
              </w:tc>
              <w:tc>
                <w:tcPr>
                  <w:tcW w:type="dxa" w:w="1292"/>
                  <w:vMerge/>
                  <w:tcBorders>
                    <w:top w:val="none" w:color="000000" w:sz="4"/>
                    <w:left w:val="none" w:color="000000" w:sz="4"/>
                    <w:bottom w:val="single" w:color="000000" w:sz="4"/>
                    <w:right w:val="single" w:color="000000" w:sz="4"/>
                  </w:tcBorders>
                </w:tcPr>
                <w:p/>
              </w:tc>
              <w:tc>
                <w:tcPr>
                  <w:tcW w:type="dxa" w:w="3082"/>
                  <w:tcBorders>
                    <w:top w:val="none" w:color="000000" w:sz="4"/>
                    <w:left w:val="none" w:color="000000" w:sz="4"/>
                    <w:bottom w:val="single" w:color="000000" w:sz="4"/>
                    <w:right w:val="single" w:color="000000" w:sz="4"/>
                  </w:tcBorders>
                  <w:vAlign w:val="top"/>
                </w:tcPr>
                <w:p>
                  <w:pPr>
                    <w:jc w:val="both"/>
                  </w:pPr>
                  <w:r>
                    <w:rPr>
                      <w:color w:val="000000"/>
                      <w:sz w:val="18"/>
                    </w:rPr>
                    <w:t>2、检查是否按要求配备足够的备用冗余设备及维修配件且必须保证其能正常使用；如发现数量不符的，每欠1件扣1分；</w:t>
                  </w:r>
                </w:p>
              </w:tc>
              <w:tc>
                <w:tcPr>
                  <w:tcW w:type="dxa" w:w="628"/>
                  <w:tcBorders>
                    <w:top w:val="none" w:color="000000" w:sz="4"/>
                    <w:left w:val="none" w:color="000000" w:sz="4"/>
                    <w:bottom w:val="single" w:color="000000" w:sz="4"/>
                    <w:right w:val="single" w:color="000000" w:sz="4"/>
                  </w:tcBorders>
                  <w:vAlign w:val="top"/>
                </w:tcPr>
                <w:p>
                  <w:pPr>
                    <w:jc w:val="both"/>
                  </w:pPr>
                </w:p>
              </w:tc>
            </w:tr>
            <w:tr>
              <w:tc>
                <w:tcPr>
                  <w:tcW w:type="dxa" w:w="585"/>
                  <w:vMerge/>
                  <w:tcBorders>
                    <w:top w:val="none" w:color="000000" w:sz="4"/>
                    <w:left w:val="single" w:color="000000" w:sz="4"/>
                    <w:bottom w:val="single" w:color="000000" w:sz="4"/>
                    <w:right w:val="single" w:color="000000" w:sz="4"/>
                  </w:tcBorders>
                </w:tcPr>
                <w:p/>
              </w:tc>
              <w:tc>
                <w:tcPr>
                  <w:tcW w:type="dxa" w:w="1292"/>
                  <w:vMerge/>
                  <w:tcBorders>
                    <w:top w:val="none" w:color="000000" w:sz="4"/>
                    <w:left w:val="none" w:color="000000" w:sz="4"/>
                    <w:bottom w:val="single" w:color="000000" w:sz="4"/>
                    <w:right w:val="single" w:color="000000" w:sz="4"/>
                  </w:tcBorders>
                </w:tcPr>
                <w:p/>
              </w:tc>
              <w:tc>
                <w:tcPr>
                  <w:tcW w:type="dxa" w:w="3082"/>
                  <w:tcBorders>
                    <w:top w:val="none" w:color="000000" w:sz="4"/>
                    <w:left w:val="none" w:color="000000" w:sz="4"/>
                    <w:bottom w:val="single" w:color="000000" w:sz="4"/>
                    <w:right w:val="single" w:color="000000" w:sz="4"/>
                  </w:tcBorders>
                  <w:vAlign w:val="top"/>
                </w:tcPr>
                <w:p>
                  <w:pPr>
                    <w:jc w:val="both"/>
                  </w:pPr>
                  <w:r>
                    <w:rPr>
                      <w:color w:val="000000"/>
                      <w:sz w:val="18"/>
                    </w:rPr>
                    <w:t>3、对所欠的各类维修工具、备用冗余设备配件应在48小时内完成补充，若不能按时完成的，则每次扣2分。</w:t>
                  </w:r>
                </w:p>
              </w:tc>
              <w:tc>
                <w:tcPr>
                  <w:tcW w:type="dxa" w:w="628"/>
                  <w:tcBorders>
                    <w:top w:val="none" w:color="000000" w:sz="4"/>
                    <w:left w:val="none" w:color="000000" w:sz="4"/>
                    <w:bottom w:val="single" w:color="000000" w:sz="4"/>
                    <w:right w:val="single" w:color="000000" w:sz="4"/>
                  </w:tcBorders>
                  <w:vAlign w:val="top"/>
                </w:tcPr>
                <w:p>
                  <w:pPr>
                    <w:jc w:val="both"/>
                  </w:pPr>
                </w:p>
              </w:tc>
            </w:tr>
            <w:tr>
              <w:tc>
                <w:tcPr>
                  <w:tcW w:type="dxa" w:w="585"/>
                  <w:vMerge w:val="restart"/>
                  <w:tcBorders>
                    <w:top w:val="none" w:color="000000" w:sz="4"/>
                    <w:left w:val="single" w:color="000000" w:sz="4"/>
                    <w:bottom w:val="single" w:color="000000" w:sz="4"/>
                    <w:right w:val="single" w:color="000000" w:sz="4"/>
                  </w:tcBorders>
                  <w:vAlign w:val="top"/>
                </w:tcPr>
                <w:p>
                  <w:pPr>
                    <w:jc w:val="both"/>
                  </w:pPr>
                  <w:r>
                    <w:rPr>
                      <w:color w:val="000000"/>
                      <w:sz w:val="18"/>
                    </w:rPr>
                    <w:t>7</w:t>
                  </w:r>
                </w:p>
              </w:tc>
              <w:tc>
                <w:tcPr>
                  <w:tcW w:type="dxa" w:w="1292"/>
                  <w:vMerge w:val="restart"/>
                  <w:tcBorders>
                    <w:top w:val="none" w:color="000000" w:sz="4"/>
                    <w:left w:val="none" w:color="000000" w:sz="4"/>
                    <w:bottom w:val="single" w:color="000000" w:sz="4"/>
                    <w:right w:val="single" w:color="000000" w:sz="4"/>
                  </w:tcBorders>
                  <w:vAlign w:val="top"/>
                </w:tcPr>
                <w:p>
                  <w:pPr>
                    <w:jc w:val="both"/>
                  </w:pPr>
                  <w:r>
                    <w:rPr>
                      <w:color w:val="000000"/>
                      <w:sz w:val="18"/>
                    </w:rPr>
                    <w:t>对维护挡案库的定期整理、及时更新维护记录。</w:t>
                  </w:r>
                </w:p>
              </w:tc>
              <w:tc>
                <w:tcPr>
                  <w:tcW w:type="dxa" w:w="3082"/>
                  <w:tcBorders>
                    <w:top w:val="none" w:color="000000" w:sz="4"/>
                    <w:left w:val="none" w:color="000000" w:sz="4"/>
                    <w:bottom w:val="single" w:color="000000" w:sz="4"/>
                    <w:right w:val="single" w:color="000000" w:sz="4"/>
                  </w:tcBorders>
                  <w:vAlign w:val="top"/>
                </w:tcPr>
                <w:p>
                  <w:pPr>
                    <w:jc w:val="both"/>
                  </w:pPr>
                  <w:r>
                    <w:rPr>
                      <w:color w:val="000000"/>
                      <w:sz w:val="18"/>
                    </w:rPr>
                    <w:t>1、是否按要求进行定期整理、更新资料库，要求能随时提供最新档案库，当业主要求提供最新档案库时，应在1小时内提供完整真实的数据资料，如不能提供的，一次扣2分；</w:t>
                  </w:r>
                </w:p>
              </w:tc>
              <w:tc>
                <w:tcPr>
                  <w:tcW w:type="dxa" w:w="628"/>
                  <w:tcBorders>
                    <w:top w:val="none" w:color="000000" w:sz="4"/>
                    <w:left w:val="none" w:color="000000" w:sz="4"/>
                    <w:bottom w:val="single" w:color="000000" w:sz="4"/>
                    <w:right w:val="single" w:color="000000" w:sz="4"/>
                  </w:tcBorders>
                  <w:vAlign w:val="top"/>
                </w:tcPr>
                <w:p>
                  <w:pPr>
                    <w:jc w:val="both"/>
                  </w:pPr>
                </w:p>
              </w:tc>
            </w:tr>
            <w:tr>
              <w:tc>
                <w:tcPr>
                  <w:tcW w:type="dxa" w:w="585"/>
                  <w:vMerge/>
                  <w:tcBorders>
                    <w:top w:val="none" w:color="000000" w:sz="4"/>
                    <w:left w:val="single" w:color="000000" w:sz="4"/>
                    <w:bottom w:val="single" w:color="000000" w:sz="4"/>
                    <w:right w:val="single" w:color="000000" w:sz="4"/>
                  </w:tcBorders>
                </w:tcPr>
                <w:p/>
              </w:tc>
              <w:tc>
                <w:tcPr>
                  <w:tcW w:type="dxa" w:w="1292"/>
                  <w:vMerge/>
                  <w:tcBorders>
                    <w:top w:val="none" w:color="000000" w:sz="4"/>
                    <w:left w:val="none" w:color="000000" w:sz="4"/>
                    <w:bottom w:val="single" w:color="000000" w:sz="4"/>
                    <w:right w:val="single" w:color="000000" w:sz="4"/>
                  </w:tcBorders>
                </w:tcPr>
                <w:p/>
              </w:tc>
              <w:tc>
                <w:tcPr>
                  <w:tcW w:type="dxa" w:w="3082"/>
                  <w:tcBorders>
                    <w:top w:val="none" w:color="000000" w:sz="4"/>
                    <w:left w:val="none" w:color="000000" w:sz="4"/>
                    <w:bottom w:val="single" w:color="000000" w:sz="4"/>
                    <w:right w:val="single" w:color="000000" w:sz="4"/>
                  </w:tcBorders>
                  <w:vAlign w:val="top"/>
                </w:tcPr>
                <w:p>
                  <w:pPr>
                    <w:jc w:val="both"/>
                  </w:pPr>
                  <w:r>
                    <w:rPr>
                      <w:color w:val="000000"/>
                      <w:sz w:val="18"/>
                    </w:rPr>
                    <w:t>2、提供的资料应完整真实，如发现有弄虚作假的现象。经核实，发现一处扣2分。</w:t>
                  </w:r>
                </w:p>
              </w:tc>
              <w:tc>
                <w:tcPr>
                  <w:tcW w:type="dxa" w:w="628"/>
                  <w:tcBorders>
                    <w:top w:val="none" w:color="000000" w:sz="4"/>
                    <w:left w:val="none" w:color="000000" w:sz="4"/>
                    <w:bottom w:val="single" w:color="000000" w:sz="4"/>
                    <w:right w:val="single" w:color="000000" w:sz="4"/>
                  </w:tcBorders>
                  <w:vAlign w:val="top"/>
                </w:tcPr>
                <w:p>
                  <w:pPr>
                    <w:jc w:val="both"/>
                  </w:pPr>
                </w:p>
              </w:tc>
            </w:tr>
            <w:tr>
              <w:tc>
                <w:tcPr>
                  <w:tcW w:type="dxa" w:w="585"/>
                  <w:tcBorders>
                    <w:top w:val="none" w:color="000000" w:sz="4"/>
                    <w:left w:val="single" w:color="000000" w:sz="4"/>
                    <w:bottom w:val="single" w:color="000000" w:sz="4"/>
                    <w:right w:val="single" w:color="000000" w:sz="4"/>
                  </w:tcBorders>
                  <w:vAlign w:val="top"/>
                </w:tcPr>
                <w:p>
                  <w:pPr>
                    <w:jc w:val="both"/>
                  </w:pPr>
                  <w:r>
                    <w:rPr>
                      <w:color w:val="000000"/>
                      <w:sz w:val="18"/>
                    </w:rPr>
                    <w:t>8</w:t>
                  </w:r>
                </w:p>
              </w:tc>
              <w:tc>
                <w:tcPr>
                  <w:tcW w:type="dxa" w:w="5002"/>
                  <w:gridSpan w:val="3"/>
                  <w:tcBorders>
                    <w:top w:val="none" w:color="000000" w:sz="4"/>
                    <w:left w:val="none" w:color="000000" w:sz="4"/>
                    <w:bottom w:val="single" w:color="000000" w:sz="4"/>
                    <w:right w:val="single" w:color="000000" w:sz="4"/>
                  </w:tcBorders>
                  <w:vAlign w:val="top"/>
                </w:tcPr>
                <w:p>
                  <w:pPr>
                    <w:jc w:val="both"/>
                  </w:pPr>
                  <w:r>
                    <w:rPr>
                      <w:color w:val="000000"/>
                      <w:sz w:val="18"/>
                    </w:rPr>
                    <w:t>维护服务质量综合评定意见</w:t>
                  </w:r>
                  <w:r>
                    <w:rPr>
                      <w:color w:val="000000"/>
                      <w:sz w:val="18"/>
                    </w:rPr>
                    <w:t>/</w:t>
                  </w:r>
                  <w:r>
                    <w:rPr>
                      <w:color w:val="000000"/>
                      <w:sz w:val="18"/>
                    </w:rPr>
                    <w:t>分数：实扣分：</w:t>
                  </w:r>
                  <w:r>
                    <w:rPr>
                      <w:sz w:val="21"/>
                      <w:u w:val="single"/>
                    </w:rPr>
                    <w:t xml:space="preserve">       </w:t>
                  </w:r>
                </w:p>
                <w:p>
                  <w:pPr>
                    <w:jc w:val="both"/>
                  </w:pPr>
                </w:p>
                <w:p>
                  <w:pPr>
                    <w:jc w:val="both"/>
                  </w:pPr>
                  <w:r>
                    <w:rPr>
                      <w:color w:val="000000"/>
                      <w:sz w:val="18"/>
                    </w:rPr>
                    <w:t>评分人签名：</w:t>
                  </w:r>
                  <w:r>
                    <w:rPr>
                      <w:color w:val="000000"/>
                      <w:sz w:val="18"/>
                    </w:rPr>
                    <w:t xml:space="preserve">                                                 </w:t>
                  </w:r>
                  <w:r>
                    <w:rPr>
                      <w:color w:val="000000"/>
                      <w:sz w:val="18"/>
                    </w:rPr>
                    <w:t>检查时间：</w:t>
                  </w:r>
                  <w:r>
                    <w:rPr>
                      <w:color w:val="000000"/>
                      <w:sz w:val="18"/>
                    </w:rPr>
                    <w:t xml:space="preserve">        </w:t>
                  </w:r>
                  <w:r>
                    <w:rPr>
                      <w:color w:val="000000"/>
                      <w:sz w:val="18"/>
                    </w:rPr>
                    <w:t>年</w:t>
                  </w:r>
                  <w:r>
                    <w:rPr>
                      <w:color w:val="000000"/>
                      <w:sz w:val="18"/>
                    </w:rPr>
                    <w:t xml:space="preserve">   </w:t>
                  </w:r>
                  <w:r>
                    <w:rPr>
                      <w:color w:val="000000"/>
                      <w:sz w:val="18"/>
                    </w:rPr>
                    <w:t>月</w:t>
                  </w:r>
                  <w:r>
                    <w:rPr>
                      <w:color w:val="000000"/>
                      <w:sz w:val="18"/>
                    </w:rPr>
                    <w:t xml:space="preserve">   </w:t>
                  </w:r>
                  <w:r>
                    <w:rPr>
                      <w:color w:val="000000"/>
                      <w:sz w:val="18"/>
                    </w:rPr>
                    <w:t>日</w:t>
                  </w:r>
                </w:p>
              </w:tc>
            </w:tr>
          </w:tbl>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1.采购代理机构：本项目是指广东华伦招标有限公司，负责整个采购活动的组织，依法负责编制和发布磋商文件，对磋商文件拥有最终的解释权，不以任何身份出任磋商小组成员。</w:t>
      </w:r>
    </w:p>
    <w:p>
      <w:pPr>
        <w:ind w:firstLine="480"/>
      </w:pPr>
      <w:r>
        <w:rPr/>
        <w:t>2.采购人：本项目是指</w:t>
      </w:r>
      <w:r>
        <w:rPr/>
        <w:t>佛山市顺德区容桂街道综合行政执法办公室</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远程电子开标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按国家计委颁布的《招标代理服务收费管理暂行办法》（计价格〔2002〕1980号）及《国家发展改革委关于降低部分建设项目收费标准规范收费行为等有关问题的通知》（发改价格〔2011〕534号）中的招标代理服务费收费标准“服务类”执行。</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pPr>
              <w:ind w:firstLine="480"/>
            </w:pPr>
            <w:r>
              <w:rPr>
                <w:b/>
              </w:rPr>
              <w:t>一、电子响应文件（必须提供）：</w:t>
            </w:r>
          </w:p>
          <w:p>
            <w:pPr>
              <w:ind w:firstLine="480"/>
            </w:pPr>
            <w:r>
              <w:rPr/>
              <w:t>（1）加密的电子响应文件 1 份（需在递交响应文件截止时间前成功上传至云平台项目采购系统）。</w:t>
            </w:r>
          </w:p>
          <w:p>
            <w:pPr>
              <w:ind w:firstLine="480"/>
            </w:pPr>
            <w:r>
              <w:rPr/>
              <w:t>（2）非加密电子版文件 U 盘(或光盘)</w:t>
            </w:r>
            <w:r>
              <w:rPr/>
              <w:t>0</w:t>
            </w:r>
            <w:r>
              <w:rPr/>
              <w:t>份，加密的电子响应文件与非加密的电子响应文件必须完全一致。</w:t>
            </w:r>
          </w:p>
          <w:p>
            <w:pPr>
              <w:ind w:firstLine="480"/>
            </w:pPr>
            <w:r>
              <w:rPr>
                <w:b/>
              </w:rPr>
              <w:t>非加密电子版响应文件使用情形:</w:t>
            </w:r>
            <w:r>
              <w:rPr/>
              <w:t>当无法使用 CA 证书在云平台项目采购系统进行电子响应文件开标解密时，供应商须在代理机构指引下启用非加密电子版响应文件。</w:t>
            </w:r>
          </w:p>
          <w:p>
            <w:pPr>
              <w:ind w:firstLine="480"/>
            </w:pPr>
          </w:p>
        </w:tc>
      </w:tr>
      <w:tr>
        <w:tc>
          <w:tcPr>
            <w:tcW w:type="dxa" w:w="1051"/>
          </w:tcPr>
          <w:p>
            <w:pPr>
              <w:jc w:val="center"/>
            </w:pPr>
            <w:r>
              <w:rPr/>
              <w:t>18</w:t>
            </w:r>
          </w:p>
        </w:tc>
        <w:tc>
          <w:tcPr>
            <w:tcW w:type="dxa" w:w="2252"/>
          </w:tcPr>
          <w:p>
            <w:r>
              <w:rPr/>
              <w:t>其他</w:t>
            </w:r>
          </w:p>
        </w:tc>
        <w:tc>
          <w:tcPr>
            <w:tcW w:type="dxa" w:w="5004"/>
          </w:tcPr>
          <w:p/>
        </w:tc>
      </w:tr>
      <w:tr>
        <w:tc>
          <w:tcPr>
            <w:tcW w:type="dxa" w:w="1051"/>
          </w:tcPr>
          <w:p>
            <w:pPr>
              <w:jc w:val="center"/>
            </w:pPr>
            <w:r>
              <w:rPr/>
              <w:t>19</w:t>
            </w:r>
          </w:p>
        </w:tc>
        <w:tc>
          <w:tcPr>
            <w:tcW w:type="dxa" w:w="2252"/>
          </w:tcPr>
          <w:p>
            <w:r>
              <w:rPr/>
              <w:t>开标解密时长</w:t>
            </w:r>
          </w:p>
        </w:tc>
        <w:tc>
          <w:tcPr>
            <w:tcW w:type="dxa" w:w="5004"/>
          </w:tcPr>
          <w:p>
            <w:r>
              <w:rPr/>
              <w:t>30分钟</w:t>
            </w: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广东华伦招标有限公司</w:t>
      </w:r>
      <w:r>
        <w:rPr/>
        <w:t>代收。具体操作要求详见</w:t>
      </w:r>
      <w:r>
        <w:rPr/>
        <w:t>广东华伦招标有限公司</w:t>
      </w:r>
      <w:r>
        <w:rPr/>
        <w:t>有关指引，递交事宜请自行咨询</w:t>
      </w:r>
      <w:r>
        <w:rPr/>
        <w:t>广东华伦招标有限公司</w:t>
      </w:r>
      <w:r>
        <w:rPr/>
        <w:t>；请各供应商在响应文件递交截止时间前按须知前附表规定的金额递交至</w:t>
      </w:r>
      <w:r>
        <w:rPr/>
        <w:t>广东华伦招标有限公司</w:t>
      </w:r>
      <w:r>
        <w:rPr/>
        <w:t>，到账情况以开启时</w:t>
      </w:r>
      <w:r>
        <w:rPr/>
        <w:t>广东华伦招标有限公司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周小姐</w:t>
      </w:r>
    </w:p>
    <w:p>
      <w:pPr>
        <w:ind w:firstLine="480"/>
      </w:pPr>
      <w:r>
        <w:rPr/>
        <w:t>电话：</w:t>
      </w:r>
      <w:r>
        <w:rPr/>
        <w:t>0757-22332909</w:t>
      </w:r>
    </w:p>
    <w:p>
      <w:pPr>
        <w:ind w:firstLine="480"/>
      </w:pPr>
      <w:r>
        <w:rPr/>
        <w:t>传真：</w:t>
      </w:r>
      <w:r>
        <w:rPr/>
        <w:t>0757-22332901</w:t>
      </w:r>
    </w:p>
    <w:p>
      <w:pPr>
        <w:ind w:firstLine="480"/>
      </w:pPr>
      <w:r>
        <w:rPr/>
        <w:t>邮箱：</w:t>
      </w:r>
      <w:r>
        <w:rPr/>
        <w:t>gdhlsd@126.com</w:t>
      </w:r>
    </w:p>
    <w:p>
      <w:pPr>
        <w:ind w:firstLine="480"/>
      </w:pPr>
      <w:r>
        <w:rPr/>
        <w:t>地址：</w:t>
      </w:r>
      <w:r>
        <w:rPr/>
        <w:t>佛山市顺德区大良沿江北路121号龙威大厦20楼CD区</w:t>
      </w:r>
    </w:p>
    <w:p>
      <w:pPr>
        <w:ind w:firstLine="480"/>
      </w:pPr>
      <w:r>
        <w:rPr/>
        <w:t>邮编：</w:t>
      </w:r>
      <w:r>
        <w:rPr/>
        <w:t>528300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政府采购监督管理机构名称：广东省佛山市顺德区财政局监督与绩效科</w:t>
      </w:r>
    </w:p>
    <w:p>
      <w:r>
        <w:rPr/>
        <w:t>地  址：佛山市顺德区大良德民路区政府行政大楼3楼</w:t>
      </w:r>
    </w:p>
    <w:p>
      <w:r>
        <w:rPr/>
        <w:t>电  话：0757-22831619、22831865</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容桂街道2023年3月-2024年2月容桂交通灯维修保养项目)：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广东华伦招标有限公司</w:t>
      </w:r>
      <w:r>
        <w:rPr/>
        <w:t>统一对外发布。</w:t>
      </w:r>
    </w:p>
    <w:p>
      <w:pPr>
        <w:ind w:firstLine="480"/>
      </w:pPr>
      <w:r>
        <w:rPr/>
        <w:t>（2）对</w:t>
      </w:r>
      <w:r>
        <w:rPr/>
        <w:t>广东华伦招标有限公司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采购包1（容桂街道2023年3月-2024年2月容桂交通灯维修保养项目）：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表一资格性审查表：</w:t>
      </w:r>
    </w:p>
    <w:p>
      <w:pPr>
        <w:ind w:firstLine="480"/>
      </w:pPr>
    </w:p>
    <w:p/>
    <w:p>
      <w:r>
        <w:rPr/>
        <w:t>采购包1（容桂街道2023年3月-2024年2月容桂交通灯维修保养项目）：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以下证明材料之一：①经第三方审计的财务报告（2021年度或2022年度）（包括资产负债表、利润表、现金流量表、所有者权益变动表及其附注），若2023年新成立的，提供成立至今的任意一个月的财务状况报告；②基本开户行出具的资信证明（证明应反映其基本开户行信息，未能反映的应提供相关证明材料）；③政府采购专业担保机构出具的投标担保函]。</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r>
              <w:rPr/>
              <w:t>8</w:t>
            </w:r>
          </w:p>
        </w:tc>
        <w:tc>
          <w:tcPr>
            <w:tcW w:type="dxa" w:w="3178"/>
          </w:tcPr>
          <w:p>
            <w:r>
              <w:rPr/>
              <w:t>接受联合体投标</w:t>
            </w:r>
          </w:p>
        </w:tc>
        <w:tc>
          <w:tcPr>
            <w:tcW w:type="dxa" w:w="4238"/>
          </w:tcPr>
          <w:p>
            <w:r>
              <w:rPr/>
              <w:t>本项目不接受联合体参与。</w:t>
            </w:r>
          </w:p>
        </w:tc>
      </w:tr>
      <w:tr>
        <w:tc>
          <w:tcPr>
            <w:tcW w:type="dxa" w:w="890"/>
          </w:tcPr>
          <w:p>
            <w:r>
              <w:rPr/>
              <w:t>9</w:t>
            </w:r>
          </w:p>
        </w:tc>
        <w:tc>
          <w:tcPr>
            <w:tcW w:type="dxa" w:w="3178"/>
          </w:tcPr>
          <w:p>
            <w:r>
              <w:rPr/>
              <w:t>本采购包专门面向中小企业采购</w:t>
            </w:r>
          </w:p>
        </w:tc>
        <w:tc>
          <w:tcPr>
            <w:tcW w:type="dxa" w:w="4238"/>
          </w:tcPr>
          <w:p>
            <w:r>
              <w:rPr/>
              <w:t>采购包整体专门面向中小企业（本项目属于专门面向中小企业采购的项目。参与磋商的供应商应为中小微企业。应按要求出具《中小企业声明函》；属于监狱企业的，提供由省级以上监狱管理局、戒毒管理局(含新疆生产建设兵团)出具的属于监狱企业的证明文件；属于残疾人福利性单位的，提供《残疾人福利性单位声明函》。）</w:t>
            </w:r>
          </w:p>
        </w:tc>
      </w:tr>
    </w:tbl>
    <w:p/>
    <w:p>
      <w:pPr>
        <w:ind w:firstLine="480"/>
      </w:pPr>
      <w:r>
        <w:rPr/>
        <w:t>表二符合性审查表：</w:t>
      </w:r>
    </w:p>
    <w:p>
      <w:pPr>
        <w:ind w:firstLine="480"/>
      </w:pPr>
    </w:p>
    <w:p/>
    <w:p>
      <w:r>
        <w:rPr/>
        <w:t>采购包1（容桂街道2023年3月-2024年2月容桂交通灯维修保养项目）：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投标文件有效性</w:t>
            </w:r>
          </w:p>
        </w:tc>
        <w:tc>
          <w:tcPr>
            <w:tcW w:type="dxa" w:w="4238"/>
          </w:tcPr>
          <w:p>
            <w:r>
              <w:rPr/>
              <w:t>投标文件的投标函、法定代表人证明书和法定代表人授权书（如有）按磋商文件规定签字、盖章（见投标函、法定代表人证明书、法定代表人授权书（如有））</w:t>
            </w:r>
          </w:p>
        </w:tc>
      </w:tr>
      <w:tr>
        <w:tc>
          <w:tcPr>
            <w:tcW w:type="dxa" w:w="890"/>
          </w:tcPr>
          <w:p>
            <w:r>
              <w:rPr/>
              <w:t>2</w:t>
            </w:r>
          </w:p>
        </w:tc>
        <w:tc>
          <w:tcPr>
            <w:tcW w:type="dxa" w:w="3178"/>
          </w:tcPr>
          <w:p>
            <w:r>
              <w:rPr/>
              <w:t>商务要求及合同响应</w:t>
            </w:r>
          </w:p>
        </w:tc>
        <w:tc>
          <w:tcPr>
            <w:tcW w:type="dxa" w:w="4238"/>
          </w:tcPr>
          <w:p>
            <w:r>
              <w:rPr/>
              <w:t>实质性响应磋商文件中的商务要求和合同条款（见《商务条件响应表》）</w:t>
            </w:r>
          </w:p>
        </w:tc>
      </w:tr>
      <w:tr>
        <w:tc>
          <w:tcPr>
            <w:tcW w:type="dxa" w:w="890"/>
          </w:tcPr>
          <w:p>
            <w:r>
              <w:rPr/>
              <w:t>3</w:t>
            </w:r>
          </w:p>
        </w:tc>
        <w:tc>
          <w:tcPr>
            <w:tcW w:type="dxa" w:w="3178"/>
          </w:tcPr>
          <w:p>
            <w:r>
              <w:rPr/>
              <w:t>技术要求</w:t>
            </w:r>
          </w:p>
        </w:tc>
        <w:tc>
          <w:tcPr>
            <w:tcW w:type="dxa" w:w="4238"/>
          </w:tcPr>
          <w:p>
            <w:r>
              <w:rPr/>
              <w:t>实质性响应磋商文件中的技术要求（见《技术和服务要求响应表》）</w:t>
            </w:r>
          </w:p>
        </w:tc>
      </w:tr>
      <w:tr>
        <w:tc>
          <w:tcPr>
            <w:tcW w:type="dxa" w:w="890"/>
          </w:tcPr>
          <w:p>
            <w:r>
              <w:rPr/>
              <w:t>4</w:t>
            </w:r>
          </w:p>
        </w:tc>
        <w:tc>
          <w:tcPr>
            <w:tcW w:type="dxa" w:w="3178"/>
          </w:tcPr>
          <w:p>
            <w:r>
              <w:rPr/>
              <w:t>投标报价要求</w:t>
            </w:r>
          </w:p>
        </w:tc>
        <w:tc>
          <w:tcPr>
            <w:tcW w:type="dxa" w:w="4238"/>
          </w:tcPr>
          <w:p>
            <w:r>
              <w:rPr/>
              <w:t>投标报价方案是唯一的，符合磋商文件的其他投标报价相关要求（见《开标一览表》）</w:t>
            </w:r>
          </w:p>
        </w:tc>
      </w:tr>
      <w:tr>
        <w:tc>
          <w:tcPr>
            <w:tcW w:type="dxa" w:w="890"/>
          </w:tcPr>
          <w:p>
            <w:r>
              <w:rPr/>
              <w:t>5</w:t>
            </w:r>
          </w:p>
        </w:tc>
        <w:tc>
          <w:tcPr>
            <w:tcW w:type="dxa" w:w="3178"/>
          </w:tcPr>
          <w:p>
            <w:r>
              <w:rPr/>
              <w:t>不可负偏离的重要项响应</w:t>
            </w:r>
          </w:p>
        </w:tc>
        <w:tc>
          <w:tcPr>
            <w:tcW w:type="dxa" w:w="4238"/>
          </w:tcPr>
          <w:p>
            <w:r>
              <w:rPr/>
              <w:t>实质性响应磋商文件中的不可负偏离的重要项（带“★”项）要求；投标文件未含有采购人不能接受的附加条款（见《技术和服务要求响应表》和《商务条件响应表》）</w:t>
            </w:r>
          </w:p>
        </w:tc>
      </w:tr>
      <w:tr>
        <w:tc>
          <w:tcPr>
            <w:tcW w:type="dxa" w:w="890"/>
          </w:tcPr>
          <w:p>
            <w:r>
              <w:rPr/>
              <w:t>6</w:t>
            </w:r>
          </w:p>
        </w:tc>
        <w:tc>
          <w:tcPr>
            <w:tcW w:type="dxa" w:w="3178"/>
          </w:tcPr>
          <w:p>
            <w:r>
              <w:rPr/>
              <w:t>其他</w:t>
            </w:r>
          </w:p>
        </w:tc>
        <w:tc>
          <w:tcPr>
            <w:tcW w:type="dxa" w:w="4238"/>
          </w:tcPr>
          <w:p>
            <w:r>
              <w:rPr/>
              <w:t>未发现法律、法规和磋商文件规定的其他无效情形（见《商务条件响应表》）</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采购包1(容桂街道2023年3月-2024年2月容桂交通灯维修保养项目):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商务部分20.0分</w:t>
            </w:r>
          </w:p>
          <w:p>
            <w:r>
              <w:rPr/>
              <w:t>技术部分60.0分</w:t>
            </w:r>
          </w:p>
          <w:p>
            <w:r>
              <w:rPr/>
              <w:t>报价得分20.0分</w:t>
            </w:r>
          </w:p>
        </w:tc>
      </w:tr>
      <w:tr>
        <w:tc>
          <w:tcPr>
            <w:tcW w:type="dxa" w:w="922"/>
            <w:gridSpan w:val="2"/>
            <w:vMerge w:val="restart"/>
          </w:tcPr>
          <w:p>
            <w:pPr>
              <w:jc w:val="center"/>
            </w:pPr>
            <w:r>
              <w:rPr/>
              <w:t>技术部分</w:t>
            </w:r>
          </w:p>
        </w:tc>
        <w:tc>
          <w:tcPr>
            <w:tcW w:type="dxa" w:w="2307"/>
          </w:tcPr>
          <w:p>
            <w:pPr>
              <w:jc w:val="left"/>
            </w:pPr>
            <w:r>
              <w:rPr/>
              <w:t>承接本项目的优势情况分析 (10.0分)</w:t>
            </w:r>
            <w:r>
              <w:rPr/>
              <w:t>，（等次分值选择：</w:t>
            </w:r>
            <w:r>
              <w:rPr/>
              <w:t>0.0;</w:t>
            </w:r>
            <w:r>
              <w:rPr/>
              <w:t>1.0;</w:t>
            </w:r>
            <w:r>
              <w:rPr/>
              <w:t>3.0;</w:t>
            </w:r>
            <w:r>
              <w:rPr/>
              <w:t>6.0;</w:t>
            </w:r>
            <w:r>
              <w:rPr/>
              <w:t>10.0;</w:t>
            </w:r>
            <w:r>
              <w:rPr/>
              <w:t>）</w:t>
            </w:r>
          </w:p>
        </w:tc>
        <w:tc>
          <w:tcPr>
            <w:tcW w:type="dxa" w:w="5076"/>
          </w:tcPr>
          <w:p>
            <w:pPr>
              <w:jc w:val="left"/>
            </w:pPr>
            <w:r>
              <w:rPr/>
              <w:t>根据各响应投标人承接本项目的优势情况分析进行综合评审： （1）非常熟悉、了解本项目的服务重点及难点，对重点、难点问题提出建设性的意见，并提供具有针对性的解决措施的，得10分； （2）基本了解本项目的服务重点及难点，对重点、难点问题提出了一般性意见，并提供了基本的应对措施的，得6分； （3）不完全了解本项目的服务重点及难点，对重点、难点问题提出了简易的意见及应对措施的，得3分； （4）对本项目的服务重点及难点不了解且未提供解决措施的，得1分。 （5）未提供方案不得分。</w:t>
            </w:r>
          </w:p>
        </w:tc>
      </w:tr>
      <w:tr>
        <w:tc>
          <w:tcPr>
            <w:tcW w:type="dxa" w:w="922"/>
            <w:gridSpan w:val="2"/>
            <w:vMerge/>
          </w:tcPr>
          <w:p/>
        </w:tc>
        <w:tc>
          <w:tcPr>
            <w:tcW w:type="dxa" w:w="2307"/>
          </w:tcPr>
          <w:p>
            <w:pPr>
              <w:jc w:val="left"/>
            </w:pPr>
            <w:r>
              <w:rPr/>
              <w:t>整体服务方案 (10.0分)</w:t>
            </w:r>
            <w:r>
              <w:rPr/>
              <w:t>，（等次分值选择：</w:t>
            </w:r>
            <w:r>
              <w:rPr/>
              <w:t>0.0;</w:t>
            </w:r>
            <w:r>
              <w:rPr/>
              <w:t>1.0;</w:t>
            </w:r>
            <w:r>
              <w:rPr/>
              <w:t>3.0;</w:t>
            </w:r>
            <w:r>
              <w:rPr/>
              <w:t>6.0;</w:t>
            </w:r>
            <w:r>
              <w:rPr/>
              <w:t>10.0;</w:t>
            </w:r>
            <w:r>
              <w:rPr/>
              <w:t>）</w:t>
            </w:r>
          </w:p>
        </w:tc>
        <w:tc>
          <w:tcPr>
            <w:tcW w:type="dxa" w:w="5076"/>
          </w:tcPr>
          <w:p>
            <w:pPr>
              <w:jc w:val="left"/>
            </w:pPr>
            <w:r>
              <w:rPr/>
              <w:t>根据各投标人提供的整体服务方案的内容进行综合评审： （1）内容完整、科学合理、切实可行，完全满足项目需求，得10分； （2）内容基本完整、欠科学合理、基本可行，基本能满足项目需求，得6分； （3）内容欠完整、欠科学合理、基本可行，部分满足项目需求，得3分； （4）内容欠完整、欠科学合理、不可行，未能满足项目需求，得1分。 （5）未提供方案不得分。</w:t>
            </w:r>
          </w:p>
        </w:tc>
      </w:tr>
      <w:tr>
        <w:tc>
          <w:tcPr>
            <w:tcW w:type="dxa" w:w="922"/>
            <w:gridSpan w:val="2"/>
            <w:vMerge/>
          </w:tcPr>
          <w:p/>
        </w:tc>
        <w:tc>
          <w:tcPr>
            <w:tcW w:type="dxa" w:w="2307"/>
          </w:tcPr>
          <w:p>
            <w:pPr>
              <w:jc w:val="left"/>
            </w:pPr>
            <w:r>
              <w:rPr/>
              <w:t>质量保证 (10.0分)</w:t>
            </w:r>
            <w:r>
              <w:rPr/>
              <w:t>，（等次分值选择：</w:t>
            </w:r>
            <w:r>
              <w:rPr/>
              <w:t>0.0;</w:t>
            </w:r>
            <w:r>
              <w:rPr/>
              <w:t>1.0;</w:t>
            </w:r>
            <w:r>
              <w:rPr/>
              <w:t>3.0;</w:t>
            </w:r>
            <w:r>
              <w:rPr/>
              <w:t>6.0;</w:t>
            </w:r>
            <w:r>
              <w:rPr/>
              <w:t>10.0;</w:t>
            </w:r>
            <w:r>
              <w:rPr/>
              <w:t>）</w:t>
            </w:r>
          </w:p>
        </w:tc>
        <w:tc>
          <w:tcPr>
            <w:tcW w:type="dxa" w:w="5076"/>
          </w:tcPr>
          <w:p>
            <w:pPr>
              <w:jc w:val="left"/>
            </w:pPr>
            <w:r>
              <w:rPr/>
              <w:t>根据各投标人的施工实施方案的可靠性、技术先进性等进行综合评审： （1）施工技术先进，实施方案详尽、可靠，得10分； （2）施工技术较先进，实施方案较详尽、可靠，得6分； （3）施工技术尚可，实施方案不够详尽、不够可靠，得3分； （4）施工技术落后，实施方案较简单，得1分。 （5）未提供方案不得分。</w:t>
            </w:r>
          </w:p>
        </w:tc>
      </w:tr>
      <w:tr>
        <w:tc>
          <w:tcPr>
            <w:tcW w:type="dxa" w:w="922"/>
            <w:gridSpan w:val="2"/>
            <w:vMerge/>
          </w:tcPr>
          <w:p/>
        </w:tc>
        <w:tc>
          <w:tcPr>
            <w:tcW w:type="dxa" w:w="2307"/>
          </w:tcPr>
          <w:p>
            <w:pPr>
              <w:jc w:val="left"/>
            </w:pPr>
            <w:r>
              <w:rPr/>
              <w:t>施工安全及文明施工措施 (8.0分)</w:t>
            </w:r>
            <w:r>
              <w:rPr/>
              <w:t>，（等次分值选择：</w:t>
            </w:r>
            <w:r>
              <w:rPr/>
              <w:t>0.0;</w:t>
            </w:r>
            <w:r>
              <w:rPr/>
              <w:t>1.0;</w:t>
            </w:r>
            <w:r>
              <w:rPr/>
              <w:t>4.0;</w:t>
            </w:r>
            <w:r>
              <w:rPr/>
              <w:t>8.0;</w:t>
            </w:r>
            <w:r>
              <w:rPr/>
              <w:t>）</w:t>
            </w:r>
          </w:p>
        </w:tc>
        <w:tc>
          <w:tcPr>
            <w:tcW w:type="dxa" w:w="5076"/>
          </w:tcPr>
          <w:p>
            <w:pPr>
              <w:jc w:val="left"/>
            </w:pPr>
            <w:r>
              <w:rPr/>
              <w:t>根据各投标人提供的施工安全及文明施工措施进行综合评审： （1）措施科学、详细、可行性高的，得8分； （2）措施合理、基本详细、可行性一般的，得4分； （3）措施基本合理、详细程度一般、可行性较差的，得1分。 （4）其他或不提供的不得分。</w:t>
            </w:r>
          </w:p>
        </w:tc>
      </w:tr>
      <w:tr>
        <w:tc>
          <w:tcPr>
            <w:tcW w:type="dxa" w:w="922"/>
            <w:gridSpan w:val="2"/>
            <w:vMerge/>
          </w:tcPr>
          <w:p/>
        </w:tc>
        <w:tc>
          <w:tcPr>
            <w:tcW w:type="dxa" w:w="2307"/>
          </w:tcPr>
          <w:p>
            <w:pPr>
              <w:jc w:val="left"/>
            </w:pPr>
            <w:r>
              <w:rPr/>
              <w:t>拟派人员 (14.0分)</w:t>
            </w:r>
          </w:p>
        </w:tc>
        <w:tc>
          <w:tcPr>
            <w:tcW w:type="dxa" w:w="5076"/>
          </w:tcPr>
          <w:p>
            <w:pPr>
              <w:jc w:val="left"/>
            </w:pPr>
            <w:r>
              <w:rPr/>
              <w:t>投标人拟派的项目负责人（1人）具有以下有效期内的执业资格证书的（最高5分）： 一级注册建造师，市政或公路专业，得5分； 二级注册建造师，市政或公路专业，得3分； 投标人拟派的维护人员（除项目负责人）中具有以下有效期内的证书的（最高9分）： ①中级或以上工程师职称，市政或公路专业，每人得2分，最高得6分。 ②具有安全生产考核合格证（C证），每人得0.5分，最高得1分。 具有电工证，每人2分，最高2分。 【注：1、须同时提供资格或职称证书及该人员2022年12月-2023年2月在投标人单位购买社保证明复印件。不提供或提供的证明材料不齐全均不得分。2、若为广东省外的投标人提供在广东建设信息网（网址：www.gdcic.net）“进粤企业和人员诚信信息登记平台”专栏关于投标人进粤企业及人员信息登记的网页打印件并加盖投标人公章。】</w:t>
            </w:r>
          </w:p>
        </w:tc>
      </w:tr>
      <w:tr>
        <w:tc>
          <w:tcPr>
            <w:tcW w:type="dxa" w:w="922"/>
            <w:gridSpan w:val="2"/>
            <w:vMerge/>
          </w:tcPr>
          <w:p/>
        </w:tc>
        <w:tc>
          <w:tcPr>
            <w:tcW w:type="dxa" w:w="2307"/>
          </w:tcPr>
          <w:p>
            <w:pPr>
              <w:jc w:val="left"/>
            </w:pPr>
            <w:r>
              <w:rPr/>
              <w:t>拟投入车辆 (8.0分)</w:t>
            </w:r>
          </w:p>
        </w:tc>
        <w:tc>
          <w:tcPr>
            <w:tcW w:type="dxa" w:w="5076"/>
          </w:tcPr>
          <w:p>
            <w:pPr>
              <w:jc w:val="left"/>
            </w:pPr>
            <w:r>
              <w:rPr/>
              <w:t>1.投标人就本项目每投入一辆自有工作用汽车得1.5分，本小项最高得分3分。 2. 投标人就本项目投入自有高空作业车（专业升降车）1台，得3分。 3. 投标人就本项目投入汽油发电机1台，得1分，最高2分。 本项最高得8分。 【注：1、车辆必须提供有效年审的行驶证，所有人须为投标人单位或其法定代表人，否则不得分；2、设备须提供投标人的购买发票和设备图片，否则不得分。以上证明材料不提供或提供不齐全，不得分。】</w:t>
            </w:r>
          </w:p>
        </w:tc>
      </w:tr>
      <w:tr>
        <w:tc>
          <w:tcPr>
            <w:tcW w:type="dxa" w:w="922"/>
            <w:gridSpan w:val="2"/>
            <w:vMerge w:val="restart"/>
          </w:tcPr>
          <w:p>
            <w:pPr>
              <w:jc w:val="center"/>
            </w:pPr>
            <w:r>
              <w:rPr/>
              <w:t>商务部分</w:t>
            </w:r>
          </w:p>
        </w:tc>
        <w:tc>
          <w:tcPr>
            <w:tcW w:type="dxa" w:w="2307"/>
          </w:tcPr>
          <w:p>
            <w:pPr>
              <w:jc w:val="left"/>
            </w:pPr>
            <w:r>
              <w:rPr/>
              <w:t>同类项目业绩 (10.0分)</w:t>
            </w:r>
          </w:p>
        </w:tc>
        <w:tc>
          <w:tcPr>
            <w:tcW w:type="dxa" w:w="5076"/>
          </w:tcPr>
          <w:p>
            <w:pPr>
              <w:jc w:val="left"/>
            </w:pPr>
            <w:r>
              <w:rPr/>
              <w:t>2018年1月1日至投标截止时间止（以合同签订时间为准），投标人独立承接的交通灯维护保养或者安装类项目业绩，每个得2分，本项最高10分。 【注：须提供项目业绩合同关键页和验收证明文件的复印件并加盖投标人公章，否则不得分。</w:t>
            </w:r>
          </w:p>
        </w:tc>
      </w:tr>
      <w:tr>
        <w:tc>
          <w:tcPr>
            <w:tcW w:type="dxa" w:w="922"/>
            <w:gridSpan w:val="2"/>
            <w:vMerge/>
          </w:tcPr>
          <w:p/>
        </w:tc>
        <w:tc>
          <w:tcPr>
            <w:tcW w:type="dxa" w:w="2307"/>
          </w:tcPr>
          <w:p>
            <w:pPr>
              <w:jc w:val="left"/>
            </w:pPr>
            <w:r>
              <w:rPr/>
              <w:t>企业认证 (6.0分)</w:t>
            </w:r>
          </w:p>
        </w:tc>
        <w:tc>
          <w:tcPr>
            <w:tcW w:type="dxa" w:w="5076"/>
          </w:tcPr>
          <w:p>
            <w:pPr>
              <w:jc w:val="left"/>
            </w:pPr>
            <w:r>
              <w:rPr/>
              <w:t>投标人具有以下有效期内的管理体系认证证书的： 1、质量管理体系认证证书； 2、环境管理体系认证证书； 3、职业健康安全管理体系认证证书； 本项最高可得6分；每缺少一个细项扣2分，最低0分。 【注：投标人须提供有效的认证证书复印件及提供“CNCA认证认可信息公共服务平台”&lt;http://cx.cnca.cn&gt;上的查询截图打印件并加盖供应商公章。】</w:t>
            </w:r>
          </w:p>
        </w:tc>
      </w:tr>
      <w:tr>
        <w:tc>
          <w:tcPr>
            <w:tcW w:type="dxa" w:w="922"/>
            <w:gridSpan w:val="2"/>
            <w:vMerge/>
          </w:tcPr>
          <w:p/>
        </w:tc>
        <w:tc>
          <w:tcPr>
            <w:tcW w:type="dxa" w:w="2307"/>
          </w:tcPr>
          <w:p>
            <w:pPr>
              <w:jc w:val="left"/>
            </w:pPr>
            <w:r>
              <w:rPr/>
              <w:t>售后服务方案 (4.0分)</w:t>
            </w:r>
            <w:r>
              <w:rPr/>
              <w:t>，（等次分值选择：</w:t>
            </w:r>
            <w:r>
              <w:rPr/>
              <w:t>0.0;</w:t>
            </w:r>
            <w:r>
              <w:rPr/>
              <w:t>1.0;</w:t>
            </w:r>
            <w:r>
              <w:rPr/>
              <w:t>2.0;</w:t>
            </w:r>
            <w:r>
              <w:rPr/>
              <w:t>4.0;</w:t>
            </w:r>
            <w:r>
              <w:rPr/>
              <w:t>）</w:t>
            </w:r>
          </w:p>
        </w:tc>
        <w:tc>
          <w:tcPr>
            <w:tcW w:type="dxa" w:w="5076"/>
          </w:tcPr>
          <w:p>
            <w:pPr>
              <w:jc w:val="left"/>
            </w:pPr>
            <w:r>
              <w:rPr/>
              <w:t>根据各投标人的售后服务方案及售后服务便利程度进行综合评审： 1、售后服务方案合理可行，服务响应时间快，到场时间短，得4分； 2、售后服务方案基本可行，服务响应时间较快、到场时间较短，得2分； 3、售后服务方案较差，服务服务响应较慢，到场时间较长，得1分。 4、售后服务方案差，服务服务响应慢，到场时间较长或不提供方案不得分。</w:t>
            </w:r>
          </w:p>
        </w:tc>
      </w:tr>
      <w:tr>
        <w:tc>
          <w:tcPr>
            <w:tcW w:type="dxa" w:w="922"/>
            <w:gridSpan w:val="2"/>
          </w:tcPr>
          <w:p>
            <w:pPr>
              <w:jc w:val="center"/>
            </w:pPr>
            <w:r>
              <w:rPr/>
              <w:t>投标报价</w:t>
            </w:r>
          </w:p>
        </w:tc>
        <w:tc>
          <w:tcPr>
            <w:tcW w:type="dxa" w:w="2307"/>
          </w:tcPr>
          <w:p>
            <w:pPr>
              <w:jc w:val="left"/>
            </w:pPr>
            <w:r>
              <w:rPr/>
              <w:t>投标报价得分 (20.0分)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Pr>
        <w:ind w:firstLine="480"/>
        <w:jc w:val="both"/>
      </w:pPr>
    </w:p>
    <w:p>
      <w:pPr>
        <w:jc w:val="center"/>
      </w:pPr>
      <w:r>
        <w:rPr>
          <w:b/>
          <w:sz w:val="68"/>
        </w:rPr>
        <w:t>佛山市政府采购项目</w:t>
      </w:r>
    </w:p>
    <w:p>
      <w:pPr>
        <w:jc w:val="both"/>
      </w:pPr>
    </w:p>
    <w:p>
      <w:pPr>
        <w:jc w:val="both"/>
      </w:pPr>
    </w:p>
    <w:p>
      <w:pPr>
        <w:jc w:val="center"/>
      </w:pPr>
      <w:r>
        <w:rPr>
          <w:b/>
          <w:sz w:val="68"/>
        </w:rPr>
        <w:t>合同书</w:t>
      </w:r>
    </w:p>
    <w:p>
      <w:pPr>
        <w:jc w:val="both"/>
      </w:pPr>
    </w:p>
    <w:p>
      <w:pPr>
        <w:jc w:val="both"/>
      </w:pPr>
    </w:p>
    <w:p>
      <w:pPr>
        <w:jc w:val="both"/>
      </w:pPr>
    </w:p>
    <w:p>
      <w:pPr>
        <w:jc w:val="both"/>
      </w:pPr>
    </w:p>
    <w:p>
      <w:pPr>
        <w:ind w:firstLine="482"/>
        <w:jc w:val="both"/>
      </w:pPr>
      <w:r>
        <w:rPr>
          <w:b/>
          <w:sz w:val="24"/>
        </w:rPr>
        <w:t>项目编号：</w:t>
      </w:r>
      <w:r>
        <w:rPr>
          <w:b/>
          <w:sz w:val="24"/>
          <w:u w:val="single"/>
        </w:rPr>
        <w:t>440606-2023-01412</w:t>
      </w:r>
    </w:p>
    <w:p>
      <w:pPr>
        <w:ind w:firstLine="482"/>
        <w:jc w:val="both"/>
      </w:pPr>
      <w:r>
        <w:rPr>
          <w:b/>
          <w:sz w:val="24"/>
        </w:rPr>
        <w:t>项目名称：</w:t>
      </w:r>
      <w:r>
        <w:rPr>
          <w:b/>
          <w:sz w:val="24"/>
          <w:u w:val="single"/>
        </w:rPr>
        <w:t>容桂街道</w:t>
      </w:r>
      <w:r>
        <w:rPr>
          <w:b/>
          <w:sz w:val="24"/>
          <w:u w:val="single"/>
        </w:rPr>
        <w:t>2023</w:t>
      </w:r>
      <w:r>
        <w:rPr>
          <w:b/>
          <w:sz w:val="24"/>
          <w:u w:val="single"/>
        </w:rPr>
        <w:t>年</w:t>
      </w:r>
      <w:r>
        <w:rPr>
          <w:b/>
          <w:sz w:val="24"/>
          <w:u w:val="single"/>
        </w:rPr>
        <w:t>3</w:t>
      </w:r>
      <w:r>
        <w:rPr>
          <w:b/>
          <w:sz w:val="24"/>
          <w:u w:val="single"/>
        </w:rPr>
        <w:t>月</w:t>
      </w:r>
      <w:r>
        <w:rPr>
          <w:b/>
          <w:sz w:val="24"/>
          <w:u w:val="single"/>
        </w:rPr>
        <w:t>-2024</w:t>
      </w:r>
      <w:r>
        <w:rPr>
          <w:b/>
          <w:sz w:val="24"/>
          <w:u w:val="single"/>
        </w:rPr>
        <w:t>年</w:t>
      </w:r>
      <w:r>
        <w:rPr>
          <w:b/>
          <w:sz w:val="24"/>
          <w:u w:val="single"/>
        </w:rPr>
        <w:t>2</w:t>
      </w:r>
      <w:r>
        <w:rPr>
          <w:b/>
          <w:sz w:val="24"/>
          <w:u w:val="single"/>
        </w:rPr>
        <w:t>月容桂交通灯维修保养项目</w:t>
      </w:r>
    </w:p>
    <w:p>
      <w:pPr>
        <w:jc w:val="both"/>
      </w:pPr>
    </w:p>
    <w:p>
      <w:pPr>
        <w:jc w:val="both"/>
      </w:pPr>
    </w:p>
    <w:p>
      <w:pPr>
        <w:jc w:val="both"/>
      </w:pPr>
    </w:p>
    <w:p>
      <w:pPr>
        <w:jc w:val="both"/>
      </w:pPr>
    </w:p>
    <w:tbl>
      <w:tblPr>
        <w:tblW w:w="0" w:type="auto"/>
        <w:tblBorders>
          <w:top w:val="none" w:color="000000" w:sz="4"/>
          <w:left w:val="none" w:color="000000" w:sz="4"/>
          <w:bottom w:val="none" w:color="000000" w:sz="4"/>
          <w:right w:val="none" w:color="000000" w:sz="4"/>
          <w:insideH w:val="none"/>
          <w:insideV w:val="none"/>
        </w:tblBorders>
      </w:tblPr>
      <w:tblGrid>
        <w:gridCol w:w="2268"/>
        <w:gridCol w:w="6038"/>
      </w:tblGrid>
      <w:tr>
        <w:tc>
          <w:tcPr>
            <w:tcW w:type="dxa" w:w="2268"/>
            <w:tcBorders>
              <w:top w:val="none" w:color="000000" w:sz="4"/>
              <w:left w:val="none" w:color="000000" w:sz="4"/>
              <w:bottom w:val="none" w:color="000000" w:sz="4"/>
              <w:right w:val="none" w:color="000000" w:sz="4"/>
            </w:tcBorders>
            <w:vAlign w:val="top"/>
          </w:tcPr>
          <w:p>
            <w:pPr>
              <w:jc w:val="center"/>
            </w:pPr>
            <w:r>
              <w:rPr>
                <w:sz w:val="28"/>
              </w:rPr>
              <w:t>甲</w:t>
            </w:r>
            <w:r>
              <w:rPr>
                <w:sz w:val="28"/>
              </w:rPr>
              <w:t xml:space="preserve">  </w:t>
            </w:r>
            <w:r>
              <w:rPr>
                <w:sz w:val="28"/>
              </w:rPr>
              <w:t>方：</w:t>
            </w:r>
          </w:p>
        </w:tc>
        <w:tc>
          <w:tcPr>
            <w:tcW w:type="dxa" w:w="6038"/>
            <w:tcBorders>
              <w:top w:val="none" w:color="000000" w:sz="4"/>
              <w:left w:val="none" w:color="000000" w:sz="4"/>
              <w:bottom w:val="none" w:color="000000" w:sz="4"/>
              <w:right w:val="none" w:color="000000" w:sz="4"/>
            </w:tcBorders>
            <w:vAlign w:val="top"/>
          </w:tcPr>
          <w:p>
            <w:pPr>
              <w:jc w:val="left"/>
            </w:pPr>
            <w:r>
              <w:rPr>
                <w:sz w:val="28"/>
                <w:u w:val="single"/>
              </w:rPr>
              <w:t>佛山市顺德区容桂街道综合行政执法办公室</w:t>
            </w:r>
          </w:p>
        </w:tc>
      </w:tr>
      <w:tr>
        <w:tc>
          <w:tcPr>
            <w:tcW w:type="dxa" w:w="2268"/>
            <w:tcBorders>
              <w:top w:val="none" w:color="000000" w:sz="4"/>
              <w:left w:val="none" w:color="000000" w:sz="4"/>
              <w:bottom w:val="none" w:color="000000" w:sz="4"/>
              <w:right w:val="none" w:color="000000" w:sz="4"/>
            </w:tcBorders>
            <w:vAlign w:val="top"/>
          </w:tcPr>
          <w:p>
            <w:pPr>
              <w:jc w:val="center"/>
            </w:pPr>
            <w:r>
              <w:rPr>
                <w:sz w:val="28"/>
              </w:rPr>
              <w:t>乙</w:t>
            </w:r>
            <w:r>
              <w:rPr>
                <w:sz w:val="28"/>
              </w:rPr>
              <w:t xml:space="preserve">  </w:t>
            </w:r>
            <w:r>
              <w:rPr>
                <w:sz w:val="28"/>
              </w:rPr>
              <w:t>方：</w:t>
            </w:r>
          </w:p>
        </w:tc>
        <w:tc>
          <w:tcPr>
            <w:tcW w:type="dxa" w:w="6038"/>
            <w:tcBorders>
              <w:top w:val="none" w:color="000000" w:sz="4"/>
              <w:left w:val="none" w:color="000000" w:sz="4"/>
              <w:bottom w:val="none" w:color="000000" w:sz="4"/>
              <w:right w:val="none" w:color="000000" w:sz="4"/>
            </w:tcBorders>
            <w:vAlign w:val="top"/>
          </w:tcPr>
          <w:p>
            <w:pPr>
              <w:jc w:val="left"/>
            </w:pPr>
            <w:r>
              <w:rPr>
                <w:sz w:val="21"/>
                <w:u w:val="single"/>
              </w:rPr>
              <w:t xml:space="preserve">   </w:t>
            </w:r>
            <w:r>
              <w:rPr>
                <w:sz w:val="28"/>
                <w:u w:val="single"/>
              </w:rPr>
              <w:t>（中标</w:t>
            </w:r>
            <w:r>
              <w:rPr>
                <w:sz w:val="28"/>
                <w:u w:val="single"/>
              </w:rPr>
              <w:t>/</w:t>
            </w:r>
            <w:r>
              <w:rPr>
                <w:sz w:val="28"/>
                <w:u w:val="single"/>
              </w:rPr>
              <w:t xml:space="preserve">成交供应商名称）   </w:t>
            </w:r>
          </w:p>
        </w:tc>
      </w:tr>
      <w:tr>
        <w:tc>
          <w:tcPr>
            <w:tcW w:type="dxa" w:w="2268"/>
            <w:tcBorders>
              <w:top w:val="none" w:color="000000" w:sz="4"/>
              <w:left w:val="none" w:color="000000" w:sz="4"/>
              <w:bottom w:val="none" w:color="000000" w:sz="4"/>
              <w:right w:val="none" w:color="000000" w:sz="4"/>
            </w:tcBorders>
            <w:vAlign w:val="top"/>
          </w:tcPr>
          <w:p>
            <w:pPr>
              <w:jc w:val="center"/>
            </w:pPr>
            <w:r>
              <w:rPr>
                <w:sz w:val="28"/>
              </w:rPr>
              <w:t>签订日期：</w:t>
            </w:r>
          </w:p>
        </w:tc>
        <w:tc>
          <w:tcPr>
            <w:tcW w:type="dxa" w:w="6038"/>
            <w:tcBorders>
              <w:top w:val="none" w:color="000000" w:sz="4"/>
              <w:left w:val="none" w:color="000000" w:sz="4"/>
              <w:bottom w:val="none" w:color="000000" w:sz="4"/>
              <w:right w:val="none" w:color="000000" w:sz="4"/>
            </w:tcBorders>
            <w:vAlign w:val="top"/>
          </w:tcPr>
          <w:p>
            <w:pPr>
              <w:jc w:val="left"/>
            </w:pPr>
            <w:r>
              <w:rPr>
                <w:sz w:val="21"/>
                <w:u w:val="single"/>
              </w:rPr>
              <w:t xml:space="preserve">       </w:t>
            </w:r>
            <w:r>
              <w:rPr>
                <w:sz w:val="28"/>
                <w:u w:val="single"/>
              </w:rPr>
              <w:t>年</w:t>
            </w:r>
            <w:r>
              <w:rPr>
                <w:sz w:val="21"/>
                <w:u w:val="single"/>
              </w:rPr>
              <w:t xml:space="preserve">   </w:t>
            </w:r>
            <w:r>
              <w:rPr>
                <w:sz w:val="28"/>
                <w:u w:val="single"/>
              </w:rPr>
              <w:t>月</w:t>
            </w:r>
            <w:r>
              <w:rPr>
                <w:sz w:val="21"/>
                <w:u w:val="single"/>
              </w:rPr>
              <w:t xml:space="preserve">    </w:t>
            </w:r>
            <w:r>
              <w:rPr>
                <w:sz w:val="28"/>
                <w:u w:val="single"/>
              </w:rPr>
              <w:t>日</w:t>
            </w:r>
            <w:r>
              <w:rPr>
                <w:sz w:val="28"/>
                <w:u w:val="single"/>
              </w:rPr>
              <w:t xml:space="preserve">      </w:t>
            </w:r>
          </w:p>
        </w:tc>
      </w:tr>
    </w:tbl>
    <w:p>
      <w:pPr>
        <w:jc w:val="both"/>
      </w:pPr>
    </w:p>
    <w:p>
      <w:pPr>
        <w:jc w:val="both"/>
      </w:pPr>
    </w:p>
    <w:p>
      <w:pPr>
        <w:jc w:val="both"/>
      </w:pPr>
    </w:p>
    <w:p>
      <w:pPr>
        <w:jc w:val="both"/>
      </w:pPr>
    </w:p>
    <w:p>
      <w:pPr>
        <w:jc w:val="both"/>
      </w:pPr>
      <w:r>
        <w:rPr>
          <w:i/>
          <w:sz w:val="24"/>
        </w:rPr>
        <w:t>注：本合同仅为合同的参考文本，可根据项目的具体要求进行修订。</w:t>
      </w:r>
    </w:p>
    <w:p>
      <w:pPr>
        <w:jc w:val="both"/>
      </w:pPr>
    </w:p>
    <w:p>
      <w:pPr>
        <w:jc w:val="both"/>
      </w:pPr>
    </w:p>
    <w:p>
      <w:pPr>
        <w:jc w:val="both"/>
      </w:pPr>
    </w:p>
    <w:p>
      <w:pPr>
        <w:jc w:val="both"/>
      </w:pPr>
      <w:r>
        <w:rPr>
          <w:sz w:val="21"/>
        </w:rPr>
        <w:t xml:space="preserve"> </w:t>
      </w:r>
    </w:p>
    <w:p>
      <w:pPr>
        <w:jc w:val="center"/>
      </w:pPr>
      <w:r>
        <w:rPr>
          <w:b/>
          <w:sz w:val="44"/>
        </w:rPr>
        <w:t>佛山市政府采购项目合同书</w:t>
      </w:r>
    </w:p>
    <w:p>
      <w:pPr>
        <w:jc w:val="both"/>
      </w:pPr>
    </w:p>
    <w:p>
      <w:pPr>
        <w:jc w:val="both"/>
      </w:pPr>
      <w:r>
        <w:rPr>
          <w:b/>
          <w:color w:val="000000"/>
          <w:sz w:val="21"/>
        </w:rPr>
        <w:t>甲</w:t>
      </w:r>
      <w:r>
        <w:rPr>
          <w:b/>
          <w:color w:val="000000"/>
          <w:sz w:val="21"/>
        </w:rPr>
        <w:t xml:space="preserve">     </w:t>
      </w:r>
      <w:r>
        <w:rPr>
          <w:b/>
          <w:color w:val="000000"/>
          <w:sz w:val="21"/>
        </w:rPr>
        <w:t>方：</w:t>
      </w:r>
      <w:r>
        <w:rPr>
          <w:b/>
          <w:color w:val="000000"/>
          <w:sz w:val="21"/>
          <w:u w:val="single"/>
        </w:rPr>
        <w:t xml:space="preserve"> </w:t>
      </w:r>
      <w:r>
        <w:rPr>
          <w:b/>
          <w:color w:val="000000"/>
          <w:sz w:val="21"/>
          <w:u w:val="single"/>
        </w:rPr>
        <w:t>（采购人）</w:t>
      </w:r>
      <w:r>
        <w:rPr>
          <w:b/>
          <w:color w:val="000000"/>
          <w:sz w:val="21"/>
          <w:u w:val="single"/>
        </w:rPr>
        <w:t xml:space="preserve">         </w:t>
      </w:r>
    </w:p>
    <w:p>
      <w:pPr>
        <w:jc w:val="both"/>
      </w:pPr>
      <w:r>
        <w:rPr>
          <w:b/>
          <w:color w:val="000000"/>
          <w:sz w:val="21"/>
        </w:rPr>
        <w:t>乙</w:t>
      </w:r>
      <w:r>
        <w:rPr>
          <w:b/>
          <w:color w:val="000000"/>
          <w:sz w:val="21"/>
        </w:rPr>
        <w:t xml:space="preserve">     </w:t>
      </w:r>
      <w:r>
        <w:rPr>
          <w:b/>
          <w:color w:val="000000"/>
          <w:sz w:val="21"/>
        </w:rPr>
        <w:t>方：</w:t>
      </w:r>
      <w:r>
        <w:rPr>
          <w:b/>
          <w:color w:val="000000"/>
          <w:sz w:val="21"/>
          <w:u w:val="single"/>
        </w:rPr>
        <w:t xml:space="preserve"> </w:t>
      </w:r>
      <w:r>
        <w:rPr>
          <w:b/>
          <w:color w:val="000000"/>
          <w:sz w:val="21"/>
          <w:u w:val="single"/>
        </w:rPr>
        <w:t>（成交供应商）</w:t>
      </w:r>
      <w:r>
        <w:rPr>
          <w:b/>
          <w:color w:val="000000"/>
          <w:sz w:val="21"/>
          <w:u w:val="single"/>
        </w:rPr>
        <w:t xml:space="preserve">     </w:t>
      </w:r>
    </w:p>
    <w:p>
      <w:pPr>
        <w:ind w:firstLine="420"/>
        <w:jc w:val="both"/>
      </w:pPr>
      <w:r>
        <w:rPr>
          <w:color w:val="000000"/>
          <w:sz w:val="21"/>
        </w:rPr>
        <w:t>根据</w:t>
      </w:r>
      <w:r>
        <w:rPr>
          <w:color w:val="000000"/>
          <w:sz w:val="21"/>
          <w:u w:val="single"/>
        </w:rPr>
        <w:t>容桂街道</w:t>
      </w:r>
      <w:r>
        <w:rPr>
          <w:color w:val="000000"/>
          <w:sz w:val="21"/>
          <w:u w:val="single"/>
        </w:rPr>
        <w:t>2023年3月-2024年2月容桂交通灯维修保养项目</w:t>
      </w:r>
      <w:r>
        <w:rPr>
          <w:color w:val="000000"/>
          <w:sz w:val="21"/>
        </w:rPr>
        <w:t>的采购结果，按照《中华人民共和国政府采购法》《中华人民共和国民法典》、竞争性磋商文件的要求，</w:t>
      </w:r>
      <w:r>
        <w:rPr>
          <w:color w:val="000000"/>
          <w:sz w:val="21"/>
        </w:rPr>
        <w:t>经双方协商，</w:t>
      </w:r>
      <w:r>
        <w:rPr>
          <w:color w:val="000000"/>
          <w:sz w:val="21"/>
        </w:rPr>
        <w:t>本着平等互利和诚实信用的原则，</w:t>
      </w:r>
      <w:r>
        <w:rPr>
          <w:color w:val="000000"/>
          <w:sz w:val="21"/>
        </w:rPr>
        <w:t>一致同意签订本合同如下。</w:t>
      </w:r>
    </w:p>
    <w:p>
      <w:pPr>
        <w:jc w:val="both"/>
      </w:pPr>
      <w:r>
        <w:rPr>
          <w:b/>
          <w:color w:val="000000"/>
          <w:sz w:val="21"/>
        </w:rPr>
        <w:t>一．项目名称及编号</w:t>
      </w:r>
    </w:p>
    <w:p>
      <w:pPr>
        <w:jc w:val="both"/>
      </w:pPr>
      <w:r>
        <w:rPr>
          <w:color w:val="000000"/>
          <w:sz w:val="21"/>
        </w:rPr>
        <w:t>（一）项目名称：</w:t>
      </w:r>
      <w:r>
        <w:rPr>
          <w:color w:val="000000"/>
          <w:sz w:val="21"/>
          <w:u w:val="single"/>
        </w:rPr>
        <w:t>容桂街道</w:t>
      </w:r>
      <w:r>
        <w:rPr>
          <w:color w:val="000000"/>
          <w:sz w:val="21"/>
          <w:u w:val="single"/>
        </w:rPr>
        <w:t>2023年3月-2024年2月容桂交通灯维修保养项目</w:t>
      </w:r>
    </w:p>
    <w:p>
      <w:pPr>
        <w:jc w:val="both"/>
      </w:pPr>
      <w:r>
        <w:rPr>
          <w:color w:val="000000"/>
          <w:sz w:val="21"/>
        </w:rPr>
        <w:t>（二）项目编号：</w:t>
      </w:r>
      <w:r>
        <w:rPr>
          <w:color w:val="000000"/>
          <w:sz w:val="21"/>
          <w:u w:val="single"/>
        </w:rPr>
        <w:t>440606-2023-01412</w:t>
      </w:r>
    </w:p>
    <w:p>
      <w:pPr>
        <w:jc w:val="both"/>
      </w:pPr>
      <w:r>
        <w:rPr>
          <w:b/>
          <w:color w:val="000000"/>
          <w:sz w:val="21"/>
        </w:rPr>
        <w:t>二．项目内容</w:t>
      </w:r>
    </w:p>
    <w:p>
      <w:pPr>
        <w:ind w:firstLine="420"/>
        <w:jc w:val="both"/>
      </w:pPr>
      <w:r>
        <w:rPr>
          <w:color w:val="000000"/>
          <w:sz w:val="21"/>
        </w:rPr>
        <w:t>（</w:t>
      </w:r>
      <w:r>
        <w:rPr>
          <w:color w:val="000000"/>
          <w:sz w:val="21"/>
        </w:rPr>
        <w:t>1）</w:t>
      </w:r>
      <w:r>
        <w:rPr>
          <w:sz w:val="21"/>
        </w:rPr>
        <w:t>主要工作内容为：交通灯设备更换、太阳能黄闪灯设备维护及电池更换；人工费及电费等。</w:t>
      </w:r>
      <w:r>
        <w:rPr>
          <w:color w:val="000000"/>
          <w:sz w:val="21"/>
        </w:rPr>
        <w:t>（详见</w:t>
      </w:r>
      <w:r>
        <w:rPr>
          <w:color w:val="000000"/>
          <w:sz w:val="21"/>
        </w:rPr>
        <w:t>附件</w:t>
      </w:r>
      <w:r>
        <w:rPr>
          <w:color w:val="000000"/>
          <w:sz w:val="21"/>
        </w:rPr>
        <w:t>一：</w:t>
      </w:r>
      <w:r>
        <w:rPr>
          <w:color w:val="000000"/>
          <w:sz w:val="21"/>
        </w:rPr>
        <w:t>2023-2024年容桂交通灯维修保养清单）</w:t>
      </w:r>
    </w:p>
    <w:p>
      <w:pPr>
        <w:ind w:firstLine="420"/>
        <w:jc w:val="both"/>
      </w:pPr>
      <w:r>
        <w:rPr>
          <w:color w:val="000000"/>
          <w:sz w:val="21"/>
        </w:rPr>
        <w:t>（</w:t>
      </w:r>
      <w:r>
        <w:rPr>
          <w:color w:val="000000"/>
          <w:sz w:val="21"/>
        </w:rPr>
        <w:t>2）除上述第（1）小点的服务内容外，在服务期内，若因道路交通需要而增加交通信号灯、太阳能黄闪灯等设施，且新增设施数量不多于6组（含6组）时，乙方必须负责其新增设施的维护服务，甲方不作任何补偿。</w:t>
      </w:r>
    </w:p>
    <w:p>
      <w:pPr>
        <w:ind w:firstLine="420"/>
        <w:jc w:val="both"/>
      </w:pPr>
      <w:r>
        <w:rPr>
          <w:color w:val="000000"/>
          <w:sz w:val="21"/>
        </w:rPr>
        <w:t>（</w:t>
      </w:r>
      <w:r>
        <w:rPr>
          <w:color w:val="000000"/>
          <w:sz w:val="21"/>
        </w:rPr>
        <w:t>3）在服务期内，若有新增交通信号灯、太阳能黄闪灯等设施，乙方应配合相关单位进行验收，并对质保期满的设施进行接收并维护。</w:t>
      </w:r>
    </w:p>
    <w:p>
      <w:pPr>
        <w:jc w:val="both"/>
      </w:pPr>
      <w:r>
        <w:rPr>
          <w:b/>
          <w:color w:val="000000"/>
          <w:sz w:val="21"/>
        </w:rPr>
        <w:t>三．服务要求</w:t>
      </w:r>
    </w:p>
    <w:p>
      <w:pPr>
        <w:jc w:val="both"/>
      </w:pPr>
      <w:r>
        <w:rPr>
          <w:color w:val="000000"/>
          <w:sz w:val="21"/>
        </w:rPr>
        <w:t>（</w:t>
      </w:r>
      <w:r>
        <w:rPr>
          <w:color w:val="000000"/>
          <w:sz w:val="21"/>
        </w:rPr>
        <w:t>1</w:t>
      </w:r>
      <w:r>
        <w:rPr>
          <w:color w:val="000000"/>
          <w:sz w:val="21"/>
        </w:rPr>
        <w:t>）</w:t>
      </w:r>
      <w:r>
        <w:rPr>
          <w:color w:val="000000"/>
          <w:sz w:val="21"/>
        </w:rPr>
        <w:t>乙方以包工包料包维护、包服务全方位形式全包干。</w:t>
      </w:r>
    </w:p>
    <w:p>
      <w:pPr>
        <w:jc w:val="both"/>
      </w:pPr>
      <w:r>
        <w:rPr>
          <w:color w:val="000000"/>
          <w:sz w:val="21"/>
        </w:rPr>
        <w:t>（</w:t>
      </w:r>
      <w:r>
        <w:rPr>
          <w:color w:val="000000"/>
          <w:sz w:val="21"/>
        </w:rPr>
        <w:t>2</w:t>
      </w:r>
      <w:r>
        <w:rPr>
          <w:color w:val="000000"/>
          <w:sz w:val="21"/>
        </w:rPr>
        <w:t>）</w:t>
      </w:r>
      <w:r>
        <w:rPr>
          <w:color w:val="000000"/>
          <w:sz w:val="21"/>
        </w:rPr>
        <w:t>乙方必须对本项目的服务内容做到两天巡查一次，并作记录。</w:t>
      </w:r>
    </w:p>
    <w:p>
      <w:pPr>
        <w:jc w:val="both"/>
      </w:pPr>
      <w:r>
        <w:rPr>
          <w:color w:val="000000"/>
          <w:sz w:val="21"/>
        </w:rPr>
        <w:t>（</w:t>
      </w:r>
      <w:r>
        <w:rPr>
          <w:color w:val="000000"/>
          <w:sz w:val="21"/>
        </w:rPr>
        <w:t>3</w:t>
      </w:r>
      <w:r>
        <w:rPr>
          <w:color w:val="000000"/>
          <w:sz w:val="21"/>
        </w:rPr>
        <w:t>）</w:t>
      </w:r>
      <w:r>
        <w:rPr>
          <w:color w:val="000000"/>
          <w:sz w:val="21"/>
        </w:rPr>
        <w:t>乙方自身应备有后备电源、后备交通信号灯、后备太阳能黄闪灯等设施以作应急之用，为甲方提供全天候的冗余服务。</w:t>
      </w:r>
    </w:p>
    <w:p>
      <w:pPr>
        <w:jc w:val="both"/>
      </w:pPr>
      <w:r>
        <w:rPr>
          <w:color w:val="000000"/>
          <w:sz w:val="21"/>
        </w:rPr>
        <w:t>（</w:t>
      </w:r>
      <w:r>
        <w:rPr>
          <w:color w:val="000000"/>
          <w:sz w:val="21"/>
        </w:rPr>
        <w:t>4</w:t>
      </w:r>
      <w:r>
        <w:rPr>
          <w:color w:val="000000"/>
          <w:sz w:val="21"/>
        </w:rPr>
        <w:t>）</w:t>
      </w:r>
      <w:r>
        <w:rPr>
          <w:color w:val="000000"/>
          <w:sz w:val="21"/>
        </w:rPr>
        <w:t>如有雷击、大雨、台风等自然灾害或交通事故等因素造成服务范围内设备的损坏时，乙方仍须免费对损坏设备进行修复，甲方不再支付服务费以外的任何费用。</w:t>
      </w:r>
    </w:p>
    <w:p>
      <w:pPr>
        <w:jc w:val="both"/>
      </w:pPr>
      <w:r>
        <w:rPr>
          <w:color w:val="000000"/>
          <w:sz w:val="21"/>
        </w:rPr>
        <w:t>（</w:t>
      </w:r>
      <w:r>
        <w:rPr>
          <w:color w:val="000000"/>
          <w:sz w:val="21"/>
        </w:rPr>
        <w:t>5</w:t>
      </w:r>
      <w:r>
        <w:rPr>
          <w:color w:val="000000"/>
          <w:sz w:val="21"/>
        </w:rPr>
        <w:t>）</w:t>
      </w:r>
      <w:r>
        <w:rPr>
          <w:color w:val="000000"/>
          <w:sz w:val="21"/>
        </w:rPr>
        <w:t>乙方必须配备专职工作人员</w:t>
      </w:r>
      <w:r>
        <w:rPr>
          <w:color w:val="000000"/>
          <w:sz w:val="21"/>
        </w:rPr>
        <w:t>5人或以上（其中不少于2人持有电工证，不少于1人有机动车驾驶证）；配备不少于1辆的专用维修车辆和1部登高车辆。甲方在签订合同前，将对前述要求进行检查，乙方必须提供相关的证明资料。</w:t>
      </w:r>
    </w:p>
    <w:p>
      <w:pPr>
        <w:jc w:val="both"/>
      </w:pPr>
      <w:r>
        <w:rPr>
          <w:color w:val="000000"/>
          <w:sz w:val="21"/>
        </w:rPr>
        <w:t>（</w:t>
      </w:r>
      <w:r>
        <w:rPr>
          <w:color w:val="000000"/>
          <w:sz w:val="21"/>
        </w:rPr>
        <w:t>6</w:t>
      </w:r>
      <w:r>
        <w:rPr>
          <w:color w:val="000000"/>
          <w:sz w:val="21"/>
        </w:rPr>
        <w:t>）</w:t>
      </w:r>
      <w:r>
        <w:rPr>
          <w:color w:val="000000"/>
          <w:sz w:val="21"/>
        </w:rPr>
        <w:t>乙方不能将甲方提供的技术资料和相关图纸转让给其他单位或个人，也不能侵害甲方的相关知识产权，一经发现，甲方可终止委托。</w:t>
      </w:r>
    </w:p>
    <w:p>
      <w:pPr>
        <w:jc w:val="both"/>
      </w:pPr>
      <w:r>
        <w:rPr>
          <w:color w:val="000000"/>
          <w:sz w:val="21"/>
        </w:rPr>
        <w:t>（</w:t>
      </w:r>
      <w:r>
        <w:rPr>
          <w:color w:val="000000"/>
          <w:sz w:val="21"/>
        </w:rPr>
        <w:t>7</w:t>
      </w:r>
      <w:r>
        <w:rPr>
          <w:color w:val="000000"/>
          <w:sz w:val="21"/>
        </w:rPr>
        <w:t>）</w:t>
      </w:r>
      <w:r>
        <w:rPr>
          <w:color w:val="000000"/>
          <w:sz w:val="21"/>
        </w:rPr>
        <w:t>经乙方修复的插件板，应具备与原设备相同的功能和技术性能，并要有维修记录。</w:t>
      </w:r>
    </w:p>
    <w:p>
      <w:pPr>
        <w:jc w:val="both"/>
      </w:pPr>
      <w:r>
        <w:rPr>
          <w:color w:val="000000"/>
          <w:sz w:val="21"/>
        </w:rPr>
        <w:t>（</w:t>
      </w:r>
      <w:r>
        <w:rPr>
          <w:color w:val="000000"/>
          <w:sz w:val="21"/>
        </w:rPr>
        <w:t>8</w:t>
      </w:r>
      <w:r>
        <w:rPr>
          <w:color w:val="000000"/>
          <w:sz w:val="21"/>
        </w:rPr>
        <w:t>）</w:t>
      </w:r>
      <w:r>
        <w:rPr>
          <w:color w:val="000000"/>
          <w:sz w:val="21"/>
        </w:rPr>
        <w:t>路口信号控制方式的改变，控制软件的更换由甲方负责，乙方按照甲方的要求做好配合工作；根据甲方的要求制作施工方案，经甲方同意后按标准和规范施工，竣工后制作竣工图和验收报告。</w:t>
      </w:r>
    </w:p>
    <w:p>
      <w:pPr>
        <w:jc w:val="both"/>
      </w:pPr>
      <w:r>
        <w:rPr>
          <w:color w:val="000000"/>
          <w:sz w:val="21"/>
        </w:rPr>
        <w:t>（</w:t>
      </w:r>
      <w:r>
        <w:rPr>
          <w:color w:val="000000"/>
          <w:sz w:val="21"/>
        </w:rPr>
        <w:t>9</w:t>
      </w:r>
      <w:r>
        <w:rPr>
          <w:color w:val="000000"/>
          <w:sz w:val="21"/>
        </w:rPr>
        <w:t>）</w:t>
      </w:r>
      <w:r>
        <w:rPr>
          <w:color w:val="000000"/>
          <w:sz w:val="21"/>
        </w:rPr>
        <w:t>乙方要有完善的规章制度和奖惩制度，以监督各维护部门的工作态度、快速反应能力和维护水平。维护单位每年要对自身的工作表现进行综合的评价和总结。</w:t>
      </w:r>
    </w:p>
    <w:p>
      <w:pPr>
        <w:jc w:val="both"/>
      </w:pPr>
      <w:r>
        <w:rPr>
          <w:color w:val="000000"/>
          <w:sz w:val="21"/>
        </w:rPr>
        <w:t>（</w:t>
      </w:r>
      <w:r>
        <w:rPr>
          <w:color w:val="000000"/>
          <w:sz w:val="21"/>
        </w:rPr>
        <w:t>10</w:t>
      </w:r>
      <w:r>
        <w:rPr>
          <w:color w:val="000000"/>
          <w:sz w:val="21"/>
        </w:rPr>
        <w:t>）</w:t>
      </w:r>
      <w:r>
        <w:rPr>
          <w:color w:val="000000"/>
          <w:sz w:val="21"/>
        </w:rPr>
        <w:t>在服务期内，乙方必须要同所有员工购买社保，并要求管理人员及工作人员在日常工作中，必须做好安全措施，穿着统一的反光工作服，如果发生交通事故、工伤事故等，一切责任由乙方负责。</w:t>
      </w:r>
    </w:p>
    <w:p>
      <w:pPr>
        <w:jc w:val="both"/>
      </w:pPr>
      <w:r>
        <w:rPr>
          <w:b/>
          <w:color w:val="000000"/>
          <w:sz w:val="21"/>
        </w:rPr>
        <w:t>四．</w:t>
      </w:r>
      <w:r>
        <w:rPr>
          <w:b/>
          <w:color w:val="000000"/>
          <w:sz w:val="21"/>
        </w:rPr>
        <w:t>安全作业</w:t>
      </w:r>
    </w:p>
    <w:p>
      <w:pPr>
        <w:jc w:val="both"/>
      </w:pPr>
      <w:r>
        <w:rPr>
          <w:color w:val="000000"/>
          <w:sz w:val="21"/>
        </w:rPr>
        <w:t>（</w:t>
      </w:r>
      <w:r>
        <w:rPr>
          <w:color w:val="000000"/>
          <w:sz w:val="21"/>
        </w:rPr>
        <w:t>1</w:t>
      </w:r>
      <w:r>
        <w:rPr>
          <w:color w:val="000000"/>
          <w:sz w:val="21"/>
        </w:rPr>
        <w:t>）</w:t>
      </w:r>
      <w:r>
        <w:rPr>
          <w:color w:val="000000"/>
          <w:sz w:val="21"/>
        </w:rPr>
        <w:t>按施工规范做好安全生产工作，按规定设置道路施工安全设施。不因施工对交通造成较严重的影响，在施工中造成的事故损害由乙方负责。</w:t>
      </w:r>
    </w:p>
    <w:p>
      <w:pPr>
        <w:jc w:val="both"/>
      </w:pPr>
      <w:r>
        <w:rPr>
          <w:color w:val="000000"/>
          <w:sz w:val="21"/>
        </w:rPr>
        <w:t>（</w:t>
      </w:r>
      <w:r>
        <w:rPr>
          <w:color w:val="000000"/>
          <w:sz w:val="21"/>
        </w:rPr>
        <w:t>2</w:t>
      </w:r>
      <w:r>
        <w:rPr>
          <w:color w:val="000000"/>
          <w:sz w:val="21"/>
        </w:rPr>
        <w:t>）</w:t>
      </w:r>
      <w:r>
        <w:rPr>
          <w:color w:val="000000"/>
          <w:sz w:val="21"/>
        </w:rPr>
        <w:t>若乙方的日常维护作业需要作交通限流措施或其他可能影响路面交通时，乙方必须经当地交通管理部门和甲方同意方可实施。</w:t>
      </w:r>
    </w:p>
    <w:p>
      <w:pPr>
        <w:jc w:val="both"/>
      </w:pPr>
      <w:r>
        <w:rPr>
          <w:color w:val="000000"/>
          <w:sz w:val="21"/>
        </w:rPr>
        <w:t>（</w:t>
      </w:r>
      <w:r>
        <w:rPr>
          <w:color w:val="000000"/>
          <w:sz w:val="21"/>
        </w:rPr>
        <w:t>3</w:t>
      </w:r>
      <w:r>
        <w:rPr>
          <w:color w:val="000000"/>
          <w:sz w:val="21"/>
        </w:rPr>
        <w:t>）</w:t>
      </w:r>
      <w:r>
        <w:rPr>
          <w:color w:val="000000"/>
          <w:sz w:val="21"/>
        </w:rPr>
        <w:t>乙方在服务期内，应按安全施工有关规定，采取严格、科学的安全防护措施，确保施工安全和第三方的安全，并承担由于自身安全措施不力造成事故的责任和所产生的费用。</w:t>
      </w:r>
    </w:p>
    <w:p>
      <w:pPr>
        <w:jc w:val="both"/>
      </w:pPr>
      <w:r>
        <w:rPr>
          <w:color w:val="000000"/>
          <w:sz w:val="21"/>
        </w:rPr>
        <w:t>（</w:t>
      </w:r>
      <w:r>
        <w:rPr>
          <w:color w:val="000000"/>
          <w:sz w:val="21"/>
        </w:rPr>
        <w:t>4</w:t>
      </w:r>
      <w:r>
        <w:rPr>
          <w:color w:val="000000"/>
          <w:sz w:val="21"/>
        </w:rPr>
        <w:t>）</w:t>
      </w:r>
      <w:r>
        <w:rPr>
          <w:color w:val="000000"/>
          <w:sz w:val="21"/>
        </w:rPr>
        <w:t>对本项目的设施不得擅自占用和改变使用功能，如需在本项目内改、扩建或完善配套项目，须与甲方协商，并经甲方同意后报有关部门批准方可实施。</w:t>
      </w:r>
    </w:p>
    <w:p>
      <w:pPr>
        <w:jc w:val="both"/>
      </w:pPr>
      <w:r>
        <w:rPr>
          <w:b/>
          <w:color w:val="000000"/>
          <w:sz w:val="21"/>
        </w:rPr>
        <w:t>五</w:t>
      </w:r>
      <w:r>
        <w:rPr>
          <w:b/>
          <w:color w:val="000000"/>
          <w:sz w:val="21"/>
        </w:rPr>
        <w:t>. 其他注意事项</w:t>
      </w:r>
    </w:p>
    <w:p>
      <w:pPr>
        <w:ind w:firstLine="210"/>
        <w:jc w:val="both"/>
      </w:pPr>
      <w:r>
        <w:rPr>
          <w:color w:val="000000"/>
          <w:sz w:val="21"/>
        </w:rPr>
        <w:t>（</w:t>
      </w:r>
      <w:r>
        <w:rPr>
          <w:color w:val="000000"/>
          <w:sz w:val="21"/>
        </w:rPr>
        <w:t>1）投标人应自行到达现场踏勘，考察容桂街道现时交通信号灯等设施的现状，充分理解本项目的采购要求，否则由此而产生的不利后果由投标人自行承担。</w:t>
      </w:r>
    </w:p>
    <w:p>
      <w:pPr>
        <w:ind w:firstLine="210"/>
        <w:jc w:val="both"/>
      </w:pPr>
      <w:r>
        <w:rPr>
          <w:color w:val="000000"/>
          <w:sz w:val="21"/>
        </w:rPr>
        <w:t>（</w:t>
      </w:r>
      <w:r>
        <w:rPr>
          <w:color w:val="000000"/>
          <w:sz w:val="21"/>
        </w:rPr>
        <w:t>2）如因乙方不按服务要求进行维护而造成责任事故的，一切赔偿责任由乙方负责。</w:t>
      </w:r>
    </w:p>
    <w:p>
      <w:pPr>
        <w:jc w:val="both"/>
      </w:pPr>
      <w:r>
        <w:rPr>
          <w:b/>
          <w:color w:val="000000"/>
          <w:sz w:val="21"/>
        </w:rPr>
        <w:t>六．</w:t>
      </w:r>
      <w:r>
        <w:rPr>
          <w:b/>
          <w:color w:val="000000"/>
          <w:sz w:val="21"/>
        </w:rPr>
        <w:t>服务质量的评价与考核</w:t>
      </w:r>
    </w:p>
    <w:p>
      <w:pPr>
        <w:ind w:firstLine="420"/>
        <w:jc w:val="both"/>
      </w:pPr>
      <w:r>
        <w:rPr>
          <w:color w:val="000000"/>
          <w:sz w:val="21"/>
        </w:rPr>
        <w:t>1、采取扣分制，季度扣除分值直接与当季度的服务管理费挂钩，乙方达到规定的扣分分值，甲方将按规定扣除相应的服务管理费。</w:t>
      </w:r>
    </w:p>
    <w:p>
      <w:pPr>
        <w:ind w:firstLine="420"/>
        <w:jc w:val="both"/>
      </w:pPr>
      <w:r>
        <w:rPr>
          <w:color w:val="000000"/>
          <w:sz w:val="21"/>
        </w:rPr>
        <w:t>2、季度扣除总分＝季度内不定期考核扣分累加。</w:t>
      </w:r>
    </w:p>
    <w:p>
      <w:pPr>
        <w:ind w:firstLine="420"/>
        <w:jc w:val="both"/>
      </w:pPr>
      <w:r>
        <w:rPr>
          <w:color w:val="000000"/>
          <w:sz w:val="21"/>
        </w:rPr>
        <w:t>3、甲方将对乙方进行不定期考核，乙方必须随时接受甲方的考核并必须无条件配合考核工作。</w:t>
      </w:r>
    </w:p>
    <w:p>
      <w:pPr>
        <w:ind w:firstLine="420"/>
        <w:jc w:val="both"/>
      </w:pPr>
      <w:r>
        <w:rPr>
          <w:color w:val="000000"/>
          <w:sz w:val="21"/>
        </w:rPr>
        <w:t>4、经评定，季度扣除总分数不大于10分的为合格，大于10分为不合格。检查评分不合格的，按以下的标准计算。所罚金额在当季度的服务管理费中扣除。</w:t>
      </w:r>
    </w:p>
    <w:p>
      <w:pPr>
        <w:ind w:firstLine="210"/>
        <w:jc w:val="both"/>
      </w:pPr>
      <w:r>
        <w:rPr>
          <w:color w:val="000000"/>
          <w:sz w:val="21"/>
        </w:rPr>
        <w:t>（</w:t>
      </w:r>
      <w:r>
        <w:rPr>
          <w:color w:val="000000"/>
          <w:sz w:val="21"/>
        </w:rPr>
        <w:t>1）季度扣除总分数在10—15（不含10）的，扣除当季度服务管理费的5%；</w:t>
      </w:r>
    </w:p>
    <w:p>
      <w:pPr>
        <w:ind w:firstLine="210"/>
        <w:jc w:val="both"/>
      </w:pPr>
      <w:r>
        <w:rPr>
          <w:color w:val="000000"/>
          <w:sz w:val="21"/>
        </w:rPr>
        <w:t>（</w:t>
      </w:r>
      <w:r>
        <w:rPr>
          <w:color w:val="000000"/>
          <w:sz w:val="21"/>
        </w:rPr>
        <w:t>2）季度扣除总分数在15—20（不含15）的，扣除当季度服务管理费的10%；</w:t>
      </w:r>
    </w:p>
    <w:p>
      <w:pPr>
        <w:ind w:firstLine="210"/>
        <w:jc w:val="both"/>
      </w:pPr>
      <w:r>
        <w:rPr>
          <w:color w:val="000000"/>
          <w:sz w:val="21"/>
        </w:rPr>
        <w:t>（</w:t>
      </w:r>
      <w:r>
        <w:rPr>
          <w:color w:val="000000"/>
          <w:sz w:val="21"/>
        </w:rPr>
        <w:t>3）季度扣除总分数在20—25（不含20）的，扣除当季度服务管理费的15%；</w:t>
      </w:r>
    </w:p>
    <w:p>
      <w:pPr>
        <w:ind w:firstLine="210"/>
        <w:jc w:val="both"/>
      </w:pPr>
      <w:r>
        <w:rPr>
          <w:color w:val="000000"/>
          <w:sz w:val="21"/>
        </w:rPr>
        <w:t>（</w:t>
      </w:r>
      <w:r>
        <w:rPr>
          <w:color w:val="000000"/>
          <w:sz w:val="21"/>
        </w:rPr>
        <w:t>4）季度扣除总分数在25—30（不含25）的，扣除当季度服务管理费的20%。</w:t>
      </w:r>
    </w:p>
    <w:p>
      <w:pPr>
        <w:ind w:firstLine="420"/>
        <w:jc w:val="both"/>
      </w:pPr>
      <w:r>
        <w:rPr>
          <w:color w:val="000000"/>
          <w:sz w:val="21"/>
        </w:rPr>
        <w:t>5、如季度扣除总分大于30分，或连续三次考核扣分大于15分，甲方有权无条件终止及解除本合同，并没收乙方的履约保证金。</w:t>
      </w:r>
    </w:p>
    <w:p>
      <w:pPr>
        <w:ind w:firstLine="420"/>
        <w:jc w:val="both"/>
      </w:pPr>
      <w:r>
        <w:rPr>
          <w:color w:val="000000"/>
          <w:sz w:val="21"/>
        </w:rPr>
        <w:t>详见附件</w:t>
      </w:r>
      <w:r>
        <w:rPr>
          <w:color w:val="000000"/>
          <w:sz w:val="21"/>
        </w:rPr>
        <w:t>二</w:t>
      </w:r>
      <w:r>
        <w:rPr>
          <w:color w:val="000000"/>
          <w:sz w:val="21"/>
        </w:rPr>
        <w:t>《容桂街道交通号灯维护服务质量考评表》</w:t>
      </w:r>
    </w:p>
    <w:p>
      <w:pPr>
        <w:jc w:val="both"/>
      </w:pPr>
      <w:r>
        <w:rPr>
          <w:b/>
          <w:color w:val="000000"/>
          <w:sz w:val="21"/>
        </w:rPr>
        <w:t>七．合同</w:t>
      </w:r>
      <w:r>
        <w:rPr>
          <w:b/>
          <w:color w:val="000000"/>
          <w:sz w:val="21"/>
        </w:rPr>
        <w:t>金额</w:t>
      </w:r>
    </w:p>
    <w:p>
      <w:pPr>
        <w:ind w:firstLine="420"/>
        <w:jc w:val="left"/>
      </w:pPr>
      <w:r>
        <w:rPr>
          <w:color w:val="000000"/>
          <w:sz w:val="21"/>
        </w:rPr>
        <w:t>1、</w:t>
      </w:r>
      <w:r>
        <w:rPr>
          <w:color w:val="000000"/>
          <w:sz w:val="21"/>
        </w:rPr>
        <w:t>合同价：</w:t>
      </w:r>
    </w:p>
    <w:p>
      <w:pPr>
        <w:jc w:val="left"/>
      </w:pPr>
      <w:r>
        <w:rPr>
          <w:color w:val="000000"/>
          <w:sz w:val="21"/>
        </w:rPr>
        <w:t>小写</w:t>
      </w:r>
      <w:r>
        <w:rPr>
          <w:color w:val="000000"/>
          <w:sz w:val="21"/>
        </w:rPr>
        <w:t>：</w:t>
      </w:r>
      <w:r>
        <w:rPr>
          <w:color w:val="000000"/>
          <w:sz w:val="21"/>
        </w:rPr>
        <w:t>￥</w:t>
      </w:r>
      <w:r>
        <w:rPr>
          <w:sz w:val="21"/>
          <w:u w:val="single"/>
        </w:rPr>
        <w:t xml:space="preserve">                   </w:t>
      </w:r>
      <w:r>
        <w:rPr>
          <w:color w:val="000000"/>
          <w:sz w:val="21"/>
        </w:rPr>
        <w:t>；大写</w:t>
      </w:r>
      <w:r>
        <w:rPr>
          <w:color w:val="000000"/>
          <w:sz w:val="21"/>
        </w:rPr>
        <w:t>：</w:t>
      </w:r>
      <w:r>
        <w:rPr>
          <w:color w:val="000000"/>
          <w:sz w:val="21"/>
        </w:rPr>
        <w:t>人民币</w:t>
      </w:r>
      <w:r>
        <w:rPr>
          <w:sz w:val="21"/>
          <w:u w:val="single"/>
        </w:rPr>
        <w:t xml:space="preserve">               </w:t>
      </w:r>
      <w:r>
        <w:rPr>
          <w:color w:val="000000"/>
          <w:sz w:val="21"/>
        </w:rPr>
        <w:t>。</w:t>
      </w:r>
    </w:p>
    <w:p>
      <w:pPr>
        <w:jc w:val="left"/>
      </w:pPr>
      <w:r>
        <w:rPr>
          <w:color w:val="000000"/>
          <w:sz w:val="21"/>
        </w:rPr>
        <w:t>每宗单价</w:t>
      </w:r>
      <w:r>
        <w:rPr>
          <w:color w:val="000000"/>
          <w:sz w:val="21"/>
        </w:rPr>
        <w:t>小写</w:t>
      </w:r>
      <w:r>
        <w:rPr>
          <w:color w:val="000000"/>
          <w:sz w:val="21"/>
        </w:rPr>
        <w:t>：</w:t>
      </w:r>
      <w:r>
        <w:rPr>
          <w:color w:val="000000"/>
          <w:sz w:val="21"/>
        </w:rPr>
        <w:t>￥</w:t>
      </w:r>
      <w:r>
        <w:rPr>
          <w:sz w:val="21"/>
          <w:u w:val="single"/>
        </w:rPr>
        <w:t xml:space="preserve">                   </w:t>
      </w:r>
      <w:r>
        <w:rPr>
          <w:color w:val="000000"/>
          <w:sz w:val="21"/>
        </w:rPr>
        <w:t>；大写</w:t>
      </w:r>
      <w:r>
        <w:rPr>
          <w:color w:val="000000"/>
          <w:sz w:val="21"/>
        </w:rPr>
        <w:t>：</w:t>
      </w:r>
      <w:r>
        <w:rPr>
          <w:color w:val="000000"/>
          <w:sz w:val="21"/>
        </w:rPr>
        <w:t>人民币</w:t>
      </w:r>
      <w:r>
        <w:rPr>
          <w:sz w:val="21"/>
          <w:u w:val="single"/>
        </w:rPr>
        <w:t xml:space="preserve">               </w:t>
      </w:r>
      <w:r>
        <w:rPr>
          <w:color w:val="000000"/>
          <w:sz w:val="21"/>
        </w:rPr>
        <w:t>。</w:t>
      </w:r>
    </w:p>
    <w:p>
      <w:pPr>
        <w:ind w:firstLine="420"/>
        <w:jc w:val="left"/>
      </w:pPr>
      <w:r>
        <w:rPr>
          <w:color w:val="000000"/>
          <w:sz w:val="21"/>
        </w:rPr>
        <w:t>2、合同价包含履行本项目合同义务所需的按照本项目采购项目内容及乙方的响应文件承诺完成本项目的全部费用，包括人工作人员费用、社保费、工具费、材料费、电费、服务费、税金等在内的全部费用。</w:t>
      </w:r>
    </w:p>
    <w:p>
      <w:pPr>
        <w:jc w:val="both"/>
      </w:pPr>
      <w:r>
        <w:rPr>
          <w:b/>
          <w:color w:val="000000"/>
          <w:sz w:val="21"/>
        </w:rPr>
        <w:t>八</w:t>
      </w:r>
      <w:r>
        <w:rPr>
          <w:b/>
          <w:color w:val="000000"/>
          <w:sz w:val="21"/>
        </w:rPr>
        <w:t>.</w:t>
      </w:r>
      <w:r>
        <w:rPr>
          <w:b/>
          <w:color w:val="000000"/>
          <w:sz w:val="21"/>
        </w:rPr>
        <w:t>项目完工期</w:t>
      </w:r>
    </w:p>
    <w:p>
      <w:pPr>
        <w:jc w:val="both"/>
      </w:pPr>
      <w:r>
        <w:rPr>
          <w:color w:val="000000"/>
          <w:sz w:val="21"/>
        </w:rPr>
        <w:t>自合同签订之日起</w:t>
      </w:r>
      <w:r>
        <w:rPr>
          <w:color w:val="000000"/>
          <w:sz w:val="21"/>
        </w:rPr>
        <w:t>1年，即2023年</w:t>
      </w:r>
      <w:r>
        <w:rPr>
          <w:sz w:val="21"/>
          <w:u w:val="single"/>
        </w:rPr>
        <w:t xml:space="preserve">  </w:t>
      </w:r>
      <w:r>
        <w:rPr>
          <w:color w:val="000000"/>
          <w:sz w:val="21"/>
        </w:rPr>
        <w:t>月</w:t>
      </w:r>
      <w:r>
        <w:rPr>
          <w:sz w:val="21"/>
          <w:u w:val="single"/>
        </w:rPr>
        <w:t xml:space="preserve">   </w:t>
      </w:r>
      <w:r>
        <w:rPr>
          <w:color w:val="000000"/>
          <w:sz w:val="21"/>
        </w:rPr>
        <w:t>日至</w:t>
      </w:r>
      <w:r>
        <w:rPr>
          <w:color w:val="000000"/>
          <w:sz w:val="21"/>
        </w:rPr>
        <w:t>2024年</w:t>
      </w:r>
      <w:r>
        <w:rPr>
          <w:sz w:val="21"/>
          <w:u w:val="single"/>
        </w:rPr>
        <w:t xml:space="preserve">  </w:t>
      </w:r>
      <w:r>
        <w:rPr>
          <w:color w:val="000000"/>
          <w:sz w:val="21"/>
        </w:rPr>
        <w:t>月</w:t>
      </w:r>
      <w:r>
        <w:rPr>
          <w:sz w:val="21"/>
          <w:u w:val="single"/>
        </w:rPr>
        <w:t xml:space="preserve">  </w:t>
      </w:r>
      <w:r>
        <w:rPr>
          <w:color w:val="000000"/>
          <w:sz w:val="21"/>
        </w:rPr>
        <w:t>日止。</w:t>
      </w:r>
    </w:p>
    <w:p>
      <w:pPr>
        <w:jc w:val="both"/>
      </w:pPr>
      <w:r>
        <w:rPr>
          <w:b/>
          <w:color w:val="000000"/>
          <w:sz w:val="21"/>
        </w:rPr>
        <w:t>九</w:t>
      </w:r>
      <w:r>
        <w:rPr>
          <w:b/>
          <w:color w:val="000000"/>
          <w:sz w:val="21"/>
        </w:rPr>
        <w:t>.</w:t>
      </w:r>
      <w:r>
        <w:rPr>
          <w:b/>
          <w:color w:val="000000"/>
          <w:sz w:val="21"/>
        </w:rPr>
        <w:t>服务地点</w:t>
      </w:r>
    </w:p>
    <w:p>
      <w:pPr>
        <w:ind w:firstLine="315"/>
        <w:jc w:val="left"/>
      </w:pPr>
      <w:r>
        <w:rPr>
          <w:color w:val="000000"/>
          <w:sz w:val="21"/>
        </w:rPr>
        <w:t>甲方指定地点（顺德区）。</w:t>
      </w:r>
    </w:p>
    <w:p>
      <w:pPr>
        <w:jc w:val="both"/>
      </w:pPr>
      <w:r>
        <w:rPr>
          <w:b/>
          <w:color w:val="000000"/>
          <w:sz w:val="21"/>
        </w:rPr>
        <w:t>十</w:t>
      </w:r>
      <w:r>
        <w:rPr>
          <w:b/>
          <w:color w:val="000000"/>
          <w:sz w:val="21"/>
        </w:rPr>
        <w:t>.</w:t>
      </w:r>
      <w:r>
        <w:rPr>
          <w:b/>
          <w:color w:val="000000"/>
          <w:sz w:val="21"/>
        </w:rPr>
        <w:t>付款办法</w:t>
      </w:r>
    </w:p>
    <w:p>
      <w:pPr>
        <w:ind w:firstLine="420"/>
        <w:jc w:val="both"/>
      </w:pPr>
      <w:r>
        <w:rPr>
          <w:color w:val="000000"/>
          <w:sz w:val="21"/>
        </w:rPr>
        <w:t>1．合同款项支付阶段和比例如下：</w:t>
      </w:r>
    </w:p>
    <w:p>
      <w:pPr>
        <w:ind w:firstLine="420"/>
        <w:jc w:val="both"/>
      </w:pPr>
      <w:r>
        <w:rPr>
          <w:color w:val="000000"/>
          <w:sz w:val="21"/>
        </w:rPr>
        <w:t>每季度（每三个月）按中标总金额百分比（合同价的</w:t>
      </w:r>
      <w:r>
        <w:rPr>
          <w:color w:val="000000"/>
          <w:sz w:val="21"/>
        </w:rPr>
        <w:t>25%）分期支付，即</w:t>
      </w:r>
      <w:r>
        <w:rPr>
          <w:sz w:val="21"/>
          <w:u w:val="single"/>
        </w:rPr>
        <w:t xml:space="preserve">       </w:t>
      </w:r>
      <w:r>
        <w:rPr>
          <w:color w:val="000000"/>
          <w:sz w:val="21"/>
        </w:rPr>
        <w:t>元。每年的</w:t>
      </w:r>
      <w:r>
        <w:rPr>
          <w:color w:val="000000"/>
          <w:sz w:val="21"/>
        </w:rPr>
        <w:t>6月、9月、12月、3月5日前支付上季度费用。待服务期满后乙方要确保所有设施能正常使用后支付，若不能正常使用，甲方不支付最后一期服务费。</w:t>
      </w:r>
    </w:p>
    <w:p>
      <w:pPr>
        <w:ind w:firstLine="420"/>
        <w:jc w:val="both"/>
      </w:pPr>
      <w:r>
        <w:rPr>
          <w:color w:val="000000"/>
          <w:sz w:val="21"/>
        </w:rPr>
        <w:t>2.合同款项的支付方式：转账结算（银行转账）。</w:t>
      </w:r>
    </w:p>
    <w:p>
      <w:pPr>
        <w:ind w:firstLine="420"/>
        <w:jc w:val="both"/>
      </w:pPr>
      <w:r>
        <w:rPr>
          <w:color w:val="000000"/>
          <w:sz w:val="21"/>
        </w:rPr>
        <w:t>3.付款方：甲方；收款方：乙方。</w:t>
      </w:r>
    </w:p>
    <w:p>
      <w:pPr>
        <w:ind w:firstLine="210"/>
        <w:jc w:val="both"/>
      </w:pPr>
      <w:r>
        <w:rPr>
          <w:color w:val="000000"/>
          <w:sz w:val="21"/>
        </w:rPr>
        <w:t>4.开具发票：乙方收款时必须持有效发票。</w:t>
      </w:r>
      <w:r>
        <w:rPr>
          <w:color w:val="000000"/>
          <w:sz w:val="21"/>
        </w:rPr>
        <w:t>收款方、出具发票方、合同乙方均必须与中标（成交）供应商名称一致。乙方须向采购提供依法纳税的服务费发票，否则甲方有权拒绝支付当期款项</w:t>
      </w:r>
      <w:r>
        <w:rPr>
          <w:color w:val="000000"/>
          <w:sz w:val="21"/>
        </w:rPr>
        <w:t>。</w:t>
      </w:r>
    </w:p>
    <w:p>
      <w:pPr>
        <w:ind w:firstLine="210"/>
        <w:jc w:val="both"/>
      </w:pPr>
      <w:r>
        <w:rPr>
          <w:color w:val="000000"/>
          <w:sz w:val="21"/>
        </w:rPr>
        <w:t>5.</w:t>
      </w:r>
      <w:r>
        <w:rPr>
          <w:color w:val="000000"/>
          <w:sz w:val="21"/>
        </w:rPr>
        <w:t>乙方应理解政府部门付款的相关程序，因甲方使用的是财政资金，甲方在前款规定的付款时间为向政府财政支付部门提出办理财政支付申请手续的时间，不含政府财政支付部门审核的时间。若本项目的相关手续及程序因财政支付审批流程或办理手续而造成项目支付进度有所推延，而导致甲方逾期付款的，甲方不承担逾期付款违约责任，并且此情况不能成为乙方拒绝提供服务的理由。</w:t>
      </w:r>
    </w:p>
    <w:p>
      <w:pPr>
        <w:ind w:firstLine="420"/>
        <w:jc w:val="both"/>
      </w:pPr>
      <w:r>
        <w:rPr>
          <w:color w:val="000000"/>
          <w:sz w:val="21"/>
        </w:rPr>
        <w:t>6.</w:t>
      </w:r>
      <w:r>
        <w:rPr>
          <w:color w:val="000000"/>
          <w:sz w:val="21"/>
        </w:rPr>
        <w:t>若本项目由于财政资金拨款不到位或取消的，双方应友好协商终止合同，此情况不能作为乙方向甲方追究违约责任的情形。</w:t>
      </w:r>
    </w:p>
    <w:p>
      <w:pPr>
        <w:ind w:firstLine="420"/>
        <w:jc w:val="both"/>
      </w:pPr>
      <w:r>
        <w:rPr>
          <w:color w:val="000000"/>
          <w:sz w:val="21"/>
        </w:rPr>
        <w:t>7.</w:t>
      </w:r>
      <w:r>
        <w:rPr>
          <w:color w:val="000000"/>
          <w:sz w:val="21"/>
        </w:rPr>
        <w:t>如遇特殊情况（包括但不限于财政资金拨款不到位或取消、驻场服务工作人员因不可抗力等原因停工等情形）导致本项目部分服务内容中止或终止，剩余服务内容继续履行的，合同双方应友好协商，已支付但未履约的服务费，乙方应在合同期内退还给甲方。</w:t>
      </w:r>
    </w:p>
    <w:p>
      <w:pPr>
        <w:jc w:val="both"/>
      </w:pPr>
      <w:r>
        <w:rPr>
          <w:b/>
          <w:color w:val="000000"/>
          <w:sz w:val="21"/>
        </w:rPr>
        <w:t>十一</w:t>
      </w:r>
      <w:r>
        <w:rPr>
          <w:b/>
          <w:color w:val="000000"/>
          <w:sz w:val="21"/>
        </w:rPr>
        <w:t>.</w:t>
      </w:r>
      <w:r>
        <w:rPr>
          <w:b/>
          <w:color w:val="000000"/>
          <w:sz w:val="21"/>
        </w:rPr>
        <w:t>人员管理</w:t>
      </w:r>
    </w:p>
    <w:p>
      <w:pPr>
        <w:jc w:val="both"/>
      </w:pPr>
      <w:r>
        <w:rPr>
          <w:color w:val="000000"/>
          <w:sz w:val="21"/>
        </w:rPr>
        <w:t>项目负责人及维护人员名单</w:t>
      </w:r>
    </w:p>
    <w:tbl>
      <w:tblPr>
        <w:tblW w:w="0" w:type="auto"/>
        <w:tblBorders>
          <w:top w:val="none" w:color="000000" w:sz="4"/>
          <w:left w:val="none" w:color="000000" w:sz="4"/>
          <w:bottom w:val="none" w:color="000000" w:sz="4"/>
          <w:right w:val="none" w:color="000000" w:sz="4"/>
          <w:insideH w:val="none"/>
          <w:insideV w:val="none"/>
        </w:tblBorders>
      </w:tblPr>
      <w:tblGrid>
        <w:gridCol w:w="698"/>
        <w:gridCol w:w="2819"/>
        <w:gridCol w:w="2750"/>
        <w:gridCol w:w="2039"/>
      </w:tblGrid>
      <w:tr>
        <w:tc>
          <w:tcPr>
            <w:tcW w:type="dxa" w:w="698"/>
            <w:tcBorders>
              <w:top w:val="single" w:color="000000" w:sz="8"/>
              <w:left w:val="single" w:color="000000" w:sz="8"/>
              <w:bottom w:val="single" w:color="000000" w:sz="4"/>
              <w:right w:val="single" w:color="000000" w:sz="4"/>
            </w:tcBorders>
            <w:vAlign w:val="top"/>
          </w:tcPr>
          <w:p>
            <w:pPr>
              <w:jc w:val="center"/>
            </w:pPr>
            <w:r>
              <w:rPr>
                <w:b/>
                <w:color w:val="000000"/>
                <w:sz w:val="21"/>
              </w:rPr>
              <w:t>序号</w:t>
            </w:r>
          </w:p>
        </w:tc>
        <w:tc>
          <w:tcPr>
            <w:tcW w:type="dxa" w:w="2819"/>
            <w:tcBorders>
              <w:top w:val="single" w:color="000000" w:sz="8"/>
              <w:left w:val="single" w:color="000000" w:sz="4"/>
              <w:bottom w:val="single" w:color="000000" w:sz="4"/>
              <w:right w:val="single" w:color="000000" w:sz="4"/>
            </w:tcBorders>
            <w:vAlign w:val="top"/>
          </w:tcPr>
          <w:p>
            <w:pPr>
              <w:jc w:val="center"/>
            </w:pPr>
            <w:r>
              <w:rPr>
                <w:b/>
                <w:color w:val="000000"/>
                <w:sz w:val="21"/>
              </w:rPr>
              <w:t>姓名</w:t>
            </w:r>
          </w:p>
        </w:tc>
        <w:tc>
          <w:tcPr>
            <w:tcW w:type="dxa" w:w="2750"/>
            <w:tcBorders>
              <w:top w:val="single" w:color="000000" w:sz="8"/>
              <w:left w:val="single" w:color="000000" w:sz="4"/>
              <w:bottom w:val="single" w:color="000000" w:sz="4"/>
              <w:right w:val="single" w:color="000000" w:sz="4"/>
            </w:tcBorders>
            <w:vAlign w:val="top"/>
          </w:tcPr>
          <w:p>
            <w:pPr>
              <w:jc w:val="center"/>
            </w:pPr>
            <w:r>
              <w:rPr>
                <w:b/>
                <w:color w:val="000000"/>
                <w:sz w:val="21"/>
              </w:rPr>
              <w:t>工作职责</w:t>
            </w:r>
          </w:p>
        </w:tc>
        <w:tc>
          <w:tcPr>
            <w:tcW w:type="dxa" w:w="2039"/>
            <w:tcBorders>
              <w:top w:val="single" w:color="000000" w:sz="8"/>
              <w:left w:val="single" w:color="000000" w:sz="4"/>
              <w:bottom w:val="single" w:color="000000" w:sz="4"/>
              <w:right w:val="single" w:color="000000" w:sz="8"/>
            </w:tcBorders>
            <w:vAlign w:val="top"/>
          </w:tcPr>
          <w:p>
            <w:pPr>
              <w:jc w:val="center"/>
            </w:pPr>
            <w:r>
              <w:rPr>
                <w:b/>
                <w:color w:val="000000"/>
                <w:sz w:val="21"/>
              </w:rPr>
              <w:t>联系方式</w:t>
            </w:r>
          </w:p>
        </w:tc>
      </w:tr>
      <w:tr>
        <w:tc>
          <w:tcPr>
            <w:tcW w:type="dxa" w:w="698"/>
            <w:tcBorders>
              <w:top w:val="single" w:color="000000" w:sz="4"/>
              <w:left w:val="single" w:color="000000" w:sz="8"/>
              <w:bottom w:val="single" w:color="000000" w:sz="4"/>
              <w:right w:val="single" w:color="000000" w:sz="4"/>
            </w:tcBorders>
            <w:vAlign w:val="top"/>
          </w:tcPr>
          <w:p>
            <w:pPr>
              <w:jc w:val="center"/>
            </w:pPr>
            <w:r>
              <w:rPr>
                <w:color w:val="000000"/>
                <w:sz w:val="21"/>
              </w:rPr>
              <w:t>1</w:t>
            </w:r>
          </w:p>
        </w:tc>
        <w:tc>
          <w:tcPr>
            <w:tcW w:type="dxa" w:w="2819"/>
            <w:tcBorders>
              <w:top w:val="single" w:color="000000" w:sz="4"/>
              <w:left w:val="single" w:color="000000" w:sz="4"/>
              <w:bottom w:val="single" w:color="000000" w:sz="4"/>
              <w:right w:val="single" w:color="000000" w:sz="4"/>
            </w:tcBorders>
            <w:vAlign w:val="top"/>
          </w:tcPr>
          <w:p>
            <w:pPr>
              <w:jc w:val="center"/>
            </w:pPr>
          </w:p>
        </w:tc>
        <w:tc>
          <w:tcPr>
            <w:tcW w:type="dxa" w:w="2750"/>
            <w:tcBorders>
              <w:top w:val="single" w:color="000000" w:sz="4"/>
              <w:left w:val="single" w:color="000000" w:sz="4"/>
              <w:bottom w:val="single" w:color="000000" w:sz="4"/>
              <w:right w:val="single" w:color="000000" w:sz="4"/>
            </w:tcBorders>
            <w:vAlign w:val="top"/>
          </w:tcPr>
          <w:p>
            <w:pPr>
              <w:jc w:val="center"/>
            </w:pPr>
          </w:p>
        </w:tc>
        <w:tc>
          <w:tcPr>
            <w:tcW w:type="dxa" w:w="2039"/>
            <w:tcBorders>
              <w:top w:val="single" w:color="000000" w:sz="4"/>
              <w:left w:val="single" w:color="000000" w:sz="4"/>
              <w:bottom w:val="single" w:color="000000" w:sz="4"/>
              <w:right w:val="single" w:color="000000" w:sz="8"/>
            </w:tcBorders>
            <w:vAlign w:val="top"/>
          </w:tcPr>
          <w:p>
            <w:pPr>
              <w:jc w:val="center"/>
            </w:pPr>
          </w:p>
        </w:tc>
      </w:tr>
      <w:tr>
        <w:tc>
          <w:tcPr>
            <w:tcW w:type="dxa" w:w="698"/>
            <w:tcBorders>
              <w:top w:val="single" w:color="000000" w:sz="4"/>
              <w:left w:val="single" w:color="000000" w:sz="8"/>
              <w:bottom w:val="single" w:color="000000" w:sz="4"/>
              <w:right w:val="single" w:color="000000" w:sz="4"/>
            </w:tcBorders>
            <w:vAlign w:val="top"/>
          </w:tcPr>
          <w:p>
            <w:pPr>
              <w:jc w:val="center"/>
            </w:pPr>
            <w:r>
              <w:rPr>
                <w:color w:val="000000"/>
                <w:sz w:val="21"/>
              </w:rPr>
              <w:t>2</w:t>
            </w:r>
          </w:p>
        </w:tc>
        <w:tc>
          <w:tcPr>
            <w:tcW w:type="dxa" w:w="2819"/>
            <w:tcBorders>
              <w:top w:val="single" w:color="000000" w:sz="4"/>
              <w:left w:val="single" w:color="000000" w:sz="4"/>
              <w:bottom w:val="single" w:color="000000" w:sz="4"/>
              <w:right w:val="single" w:color="000000" w:sz="4"/>
            </w:tcBorders>
            <w:vAlign w:val="top"/>
          </w:tcPr>
          <w:p>
            <w:pPr>
              <w:jc w:val="center"/>
            </w:pPr>
          </w:p>
        </w:tc>
        <w:tc>
          <w:tcPr>
            <w:tcW w:type="dxa" w:w="2750"/>
            <w:tcBorders>
              <w:top w:val="single" w:color="000000" w:sz="4"/>
              <w:left w:val="single" w:color="000000" w:sz="4"/>
              <w:bottom w:val="single" w:color="000000" w:sz="4"/>
              <w:right w:val="single" w:color="000000" w:sz="4"/>
            </w:tcBorders>
            <w:vAlign w:val="top"/>
          </w:tcPr>
          <w:p>
            <w:pPr>
              <w:jc w:val="center"/>
            </w:pPr>
          </w:p>
        </w:tc>
        <w:tc>
          <w:tcPr>
            <w:tcW w:type="dxa" w:w="2039"/>
            <w:tcBorders>
              <w:top w:val="single" w:color="000000" w:sz="4"/>
              <w:left w:val="single" w:color="000000" w:sz="4"/>
              <w:bottom w:val="single" w:color="000000" w:sz="4"/>
              <w:right w:val="single" w:color="000000" w:sz="8"/>
            </w:tcBorders>
            <w:vAlign w:val="top"/>
          </w:tcPr>
          <w:p>
            <w:pPr>
              <w:jc w:val="center"/>
            </w:pPr>
          </w:p>
        </w:tc>
      </w:tr>
      <w:tr>
        <w:tc>
          <w:tcPr>
            <w:tcW w:type="dxa" w:w="698"/>
            <w:tcBorders>
              <w:top w:val="single" w:color="000000" w:sz="4"/>
              <w:left w:val="single" w:color="000000" w:sz="8"/>
              <w:bottom w:val="single" w:color="000000" w:sz="8"/>
              <w:right w:val="single" w:color="000000" w:sz="4"/>
            </w:tcBorders>
            <w:vAlign w:val="top"/>
          </w:tcPr>
          <w:p>
            <w:pPr>
              <w:jc w:val="center"/>
            </w:pPr>
            <w:r>
              <w:rPr>
                <w:color w:val="000000"/>
                <w:sz w:val="21"/>
              </w:rPr>
              <w:t>……</w:t>
            </w:r>
          </w:p>
        </w:tc>
        <w:tc>
          <w:tcPr>
            <w:tcW w:type="dxa" w:w="2819"/>
            <w:tcBorders>
              <w:top w:val="single" w:color="000000" w:sz="4"/>
              <w:left w:val="single" w:color="000000" w:sz="4"/>
              <w:bottom w:val="single" w:color="000000" w:sz="8"/>
              <w:right w:val="single" w:color="000000" w:sz="4"/>
            </w:tcBorders>
            <w:vAlign w:val="top"/>
          </w:tcPr>
          <w:p>
            <w:pPr>
              <w:jc w:val="center"/>
            </w:pPr>
          </w:p>
        </w:tc>
        <w:tc>
          <w:tcPr>
            <w:tcW w:type="dxa" w:w="2750"/>
            <w:tcBorders>
              <w:top w:val="single" w:color="000000" w:sz="4"/>
              <w:left w:val="single" w:color="000000" w:sz="4"/>
              <w:bottom w:val="single" w:color="000000" w:sz="8"/>
              <w:right w:val="single" w:color="000000" w:sz="4"/>
            </w:tcBorders>
            <w:vAlign w:val="top"/>
          </w:tcPr>
          <w:p>
            <w:pPr>
              <w:jc w:val="center"/>
            </w:pPr>
          </w:p>
        </w:tc>
        <w:tc>
          <w:tcPr>
            <w:tcW w:type="dxa" w:w="2039"/>
            <w:tcBorders>
              <w:top w:val="single" w:color="000000" w:sz="4"/>
              <w:left w:val="single" w:color="000000" w:sz="4"/>
              <w:bottom w:val="single" w:color="000000" w:sz="8"/>
              <w:right w:val="single" w:color="000000" w:sz="8"/>
            </w:tcBorders>
            <w:vAlign w:val="top"/>
          </w:tcPr>
          <w:p>
            <w:pPr>
              <w:jc w:val="center"/>
            </w:pPr>
          </w:p>
        </w:tc>
      </w:tr>
    </w:tbl>
    <w:p>
      <w:pPr>
        <w:jc w:val="both"/>
      </w:pPr>
      <w:r>
        <w:rPr>
          <w:b/>
          <w:color w:val="000000"/>
          <w:sz w:val="21"/>
        </w:rPr>
        <w:t>十二</w:t>
      </w:r>
      <w:r>
        <w:rPr>
          <w:b/>
          <w:color w:val="000000"/>
          <w:sz w:val="21"/>
        </w:rPr>
        <w:t>.</w:t>
      </w:r>
      <w:r>
        <w:rPr>
          <w:b/>
          <w:color w:val="000000"/>
          <w:sz w:val="21"/>
        </w:rPr>
        <w:t>响应服务</w:t>
      </w:r>
    </w:p>
    <w:p>
      <w:pPr>
        <w:ind w:firstLine="105"/>
        <w:jc w:val="both"/>
      </w:pPr>
      <w:r>
        <w:rPr>
          <w:color w:val="000000"/>
          <w:sz w:val="21"/>
        </w:rPr>
        <w:t>1.服务时间内，乙方须提供常设每周7天×24小时服务专线技术支持。</w:t>
      </w:r>
    </w:p>
    <w:p>
      <w:pPr>
        <w:ind w:firstLine="210"/>
        <w:jc w:val="both"/>
      </w:pPr>
      <w:r>
        <w:rPr>
          <w:color w:val="000000"/>
          <w:sz w:val="21"/>
        </w:rPr>
        <w:t>2.对甲方的服务通知，乙方必须符合以下要求：</w:t>
      </w:r>
    </w:p>
    <w:p>
      <w:pPr>
        <w:ind w:firstLine="210"/>
        <w:jc w:val="both"/>
      </w:pPr>
      <w:r>
        <w:rPr>
          <w:color w:val="000000"/>
          <w:sz w:val="21"/>
        </w:rPr>
        <w:t>自接到保障电话、知道或应该知道信号灯故障起计算，</w:t>
      </w:r>
      <w:r>
        <w:rPr>
          <w:color w:val="000000"/>
          <w:sz w:val="21"/>
        </w:rPr>
        <w:t>30分钟内到达现场进行维修任务；到达现场后，在2小时内完成维修任务；对于供电线路的故障，应及时通知业主及报修单位，由业主联系相关单位尽快恢复供电，或使用应急电源，1小时内必须恢复通电。在供电线路恢复正常供电起1小计时内应完成维修任务；否则乙方必须提供冗余服务作应急使用。</w:t>
      </w:r>
    </w:p>
    <w:p>
      <w:pPr>
        <w:ind w:firstLine="210"/>
        <w:jc w:val="both"/>
      </w:pPr>
      <w:r>
        <w:rPr>
          <w:color w:val="000000"/>
          <w:sz w:val="21"/>
        </w:rPr>
        <w:t>3.上述售后服务费用包含在服务费中，报价时可不单列。</w:t>
      </w:r>
    </w:p>
    <w:p>
      <w:pPr>
        <w:jc w:val="both"/>
      </w:pPr>
      <w:r>
        <w:rPr>
          <w:b/>
          <w:color w:val="000000"/>
          <w:sz w:val="21"/>
        </w:rPr>
        <w:t>十三、验收标准：</w:t>
      </w:r>
    </w:p>
    <w:p>
      <w:pPr>
        <w:ind w:firstLine="105"/>
        <w:jc w:val="both"/>
      </w:pPr>
      <w:r>
        <w:rPr>
          <w:color w:val="000000"/>
          <w:sz w:val="21"/>
        </w:rPr>
        <w:t>1.验收方案：乙方应提供项目详细的验收方案，包括验收项目、验收标准，验收实施办法等。具体验收方案以甲方要求并确认的为准。</w:t>
      </w:r>
    </w:p>
    <w:p>
      <w:pPr>
        <w:ind w:firstLine="105"/>
        <w:jc w:val="both"/>
      </w:pPr>
      <w:r>
        <w:rPr>
          <w:color w:val="000000"/>
          <w:sz w:val="21"/>
        </w:rPr>
        <w:t>2.交付验收标准</w:t>
      </w:r>
    </w:p>
    <w:p>
      <w:pPr>
        <w:ind w:firstLine="210"/>
        <w:jc w:val="both"/>
      </w:pPr>
      <w:r>
        <w:rPr>
          <w:color w:val="000000"/>
          <w:sz w:val="21"/>
        </w:rPr>
        <w:t>依次序对照适用标准为：</w:t>
      </w:r>
    </w:p>
    <w:p>
      <w:pPr>
        <w:jc w:val="both"/>
      </w:pPr>
      <w:r>
        <w:rPr>
          <w:color w:val="000000"/>
          <w:sz w:val="21"/>
        </w:rPr>
        <w:t>（</w:t>
      </w:r>
      <w:r>
        <w:rPr>
          <w:color w:val="000000"/>
          <w:sz w:val="21"/>
        </w:rPr>
        <w:t>1）符合中华人民共和国国家安全质量标准、环保标准或行业标准；</w:t>
      </w:r>
    </w:p>
    <w:p>
      <w:pPr>
        <w:jc w:val="both"/>
      </w:pPr>
      <w:r>
        <w:rPr>
          <w:color w:val="000000"/>
          <w:sz w:val="21"/>
        </w:rPr>
        <w:t>（</w:t>
      </w:r>
      <w:r>
        <w:rPr>
          <w:color w:val="000000"/>
          <w:sz w:val="21"/>
        </w:rPr>
        <w:t>2</w:t>
      </w:r>
      <w:r>
        <w:rPr>
          <w:color w:val="000000"/>
          <w:sz w:val="21"/>
        </w:rPr>
        <w:t>）符合招标文件和响应承诺中甲方认可的合理最佳配置、参数及各项要求；</w:t>
      </w:r>
    </w:p>
    <w:p>
      <w:pPr>
        <w:jc w:val="both"/>
      </w:pPr>
      <w:r>
        <w:rPr>
          <w:color w:val="000000"/>
          <w:sz w:val="21"/>
        </w:rPr>
        <w:t>（</w:t>
      </w:r>
      <w:r>
        <w:rPr>
          <w:color w:val="000000"/>
          <w:sz w:val="21"/>
        </w:rPr>
        <w:t>3</w:t>
      </w:r>
      <w:r>
        <w:rPr>
          <w:color w:val="000000"/>
          <w:sz w:val="21"/>
        </w:rPr>
        <w:t>）货物来源国家官方标准。</w:t>
      </w:r>
    </w:p>
    <w:p>
      <w:pPr>
        <w:ind w:firstLine="210"/>
        <w:jc w:val="both"/>
      </w:pPr>
      <w:r>
        <w:rPr>
          <w:color w:val="000000"/>
          <w:sz w:val="21"/>
        </w:rPr>
        <w:t>上述标准必须是有关官方机构发布的最新版本的标准。</w:t>
      </w:r>
    </w:p>
    <w:p>
      <w:pPr>
        <w:jc w:val="both"/>
      </w:pPr>
      <w:r>
        <w:rPr>
          <w:color w:val="000000"/>
          <w:sz w:val="21"/>
        </w:rPr>
        <w:t>3.验收人员：</w:t>
      </w:r>
    </w:p>
    <w:p>
      <w:pPr>
        <w:jc w:val="both"/>
      </w:pPr>
      <w:r>
        <w:rPr>
          <w:color w:val="000000"/>
          <w:sz w:val="21"/>
        </w:rPr>
        <w:t>（</w:t>
      </w:r>
      <w:r>
        <w:rPr>
          <w:color w:val="000000"/>
          <w:sz w:val="21"/>
        </w:rPr>
        <w:t>1）甲方，或其委托的第三方机构（如有）；</w:t>
      </w:r>
    </w:p>
    <w:p>
      <w:pPr>
        <w:jc w:val="both"/>
      </w:pPr>
      <w:r>
        <w:rPr>
          <w:color w:val="000000"/>
          <w:sz w:val="21"/>
        </w:rPr>
        <w:t>（</w:t>
      </w:r>
      <w:r>
        <w:rPr>
          <w:color w:val="000000"/>
          <w:sz w:val="21"/>
        </w:rPr>
        <w:t>2</w:t>
      </w:r>
      <w:r>
        <w:rPr>
          <w:color w:val="000000"/>
          <w:sz w:val="21"/>
        </w:rPr>
        <w:t>）乙方。</w:t>
      </w:r>
    </w:p>
    <w:p>
      <w:pPr>
        <w:jc w:val="both"/>
      </w:pPr>
      <w:r>
        <w:rPr>
          <w:color w:val="000000"/>
          <w:sz w:val="21"/>
        </w:rPr>
        <w:t>4.技术资料</w:t>
      </w:r>
    </w:p>
    <w:p>
      <w:pPr>
        <w:jc w:val="both"/>
      </w:pPr>
      <w:r>
        <w:rPr>
          <w:color w:val="000000"/>
          <w:sz w:val="21"/>
        </w:rPr>
        <w:t>（</w:t>
      </w:r>
      <w:r>
        <w:rPr>
          <w:color w:val="000000"/>
          <w:sz w:val="21"/>
        </w:rPr>
        <w:t>1）交货时，应同时交付产品使用手册、质量检验证书（合格证）等相关资料。</w:t>
      </w:r>
    </w:p>
    <w:p>
      <w:pPr>
        <w:jc w:val="both"/>
      </w:pPr>
      <w:r>
        <w:rPr>
          <w:color w:val="000000"/>
          <w:sz w:val="21"/>
        </w:rPr>
        <w:t>（</w:t>
      </w:r>
      <w:r>
        <w:rPr>
          <w:color w:val="000000"/>
          <w:sz w:val="21"/>
        </w:rPr>
        <w:t>2</w:t>
      </w:r>
      <w:r>
        <w:rPr>
          <w:color w:val="000000"/>
          <w:sz w:val="21"/>
        </w:rPr>
        <w:t>）验收后，应提供验收报告。</w:t>
      </w:r>
    </w:p>
    <w:p>
      <w:pPr>
        <w:jc w:val="both"/>
      </w:pPr>
      <w:r>
        <w:rPr>
          <w:color w:val="000000"/>
          <w:sz w:val="21"/>
        </w:rPr>
        <w:t>（</w:t>
      </w:r>
      <w:r>
        <w:rPr>
          <w:color w:val="000000"/>
          <w:sz w:val="21"/>
        </w:rPr>
        <w:t>3</w:t>
      </w:r>
      <w:r>
        <w:rPr>
          <w:color w:val="000000"/>
          <w:sz w:val="21"/>
        </w:rPr>
        <w:t>）资料提供方：乙方；资料受理方：甲方。</w:t>
      </w:r>
    </w:p>
    <w:p>
      <w:pPr>
        <w:jc w:val="both"/>
      </w:pPr>
      <w:r>
        <w:rPr>
          <w:color w:val="000000"/>
          <w:sz w:val="21"/>
        </w:rPr>
        <w:t>5.验收结果确认：验收完毕由甲方及乙方在验收报告上签名确认。</w:t>
      </w:r>
    </w:p>
    <w:p>
      <w:pPr>
        <w:jc w:val="both"/>
      </w:pPr>
      <w:r>
        <w:rPr>
          <w:b/>
          <w:color w:val="000000"/>
          <w:sz w:val="21"/>
        </w:rPr>
        <w:t>十四</w:t>
      </w:r>
      <w:r>
        <w:rPr>
          <w:b/>
          <w:color w:val="000000"/>
          <w:sz w:val="21"/>
        </w:rPr>
        <w:t>.质保期</w:t>
      </w:r>
    </w:p>
    <w:p>
      <w:pPr>
        <w:jc w:val="both"/>
      </w:pPr>
      <w:r>
        <w:rPr>
          <w:color w:val="000000"/>
          <w:sz w:val="21"/>
        </w:rPr>
        <w:t>1.</w:t>
      </w:r>
      <w:r>
        <w:rPr>
          <w:color w:val="000000"/>
          <w:sz w:val="21"/>
        </w:rPr>
        <w:t>维护更换的配件质保期为自项目验收合格交付之日起</w:t>
      </w:r>
      <w:r>
        <w:rPr>
          <w:color w:val="000000"/>
          <w:sz w:val="21"/>
        </w:rPr>
        <w:t>1年，人为或交通事故造成损坏除外。</w:t>
      </w:r>
    </w:p>
    <w:p>
      <w:pPr>
        <w:jc w:val="both"/>
      </w:pPr>
      <w:r>
        <w:rPr>
          <w:color w:val="000000"/>
          <w:sz w:val="21"/>
        </w:rPr>
        <w:t>2.</w:t>
      </w:r>
      <w:r>
        <w:rPr>
          <w:color w:val="000000"/>
          <w:sz w:val="21"/>
        </w:rPr>
        <w:t>质保期内，如更换的配件由于人为或道路车辆造成的损坏的，乙方与责任人或肇事车辆车主协商赔偿事宜，甲方不支付维修费用；如肇事车辆逃逸，无法追查肇事车辆的情况下，则甲方承担维修费用。</w:t>
      </w:r>
    </w:p>
    <w:p>
      <w:pPr>
        <w:jc w:val="both"/>
      </w:pPr>
      <w:r>
        <w:rPr>
          <w:color w:val="000000"/>
          <w:sz w:val="21"/>
        </w:rPr>
        <w:t>3.</w:t>
      </w:r>
      <w:r>
        <w:rPr>
          <w:color w:val="000000"/>
          <w:sz w:val="21"/>
        </w:rPr>
        <w:t>若国家或生产厂家对本项目所涉及货物的质保期的规定高于本项目的要求，应按国家或生产厂家的规定执行。</w:t>
      </w:r>
    </w:p>
    <w:p>
      <w:pPr>
        <w:jc w:val="both"/>
      </w:pPr>
      <w:r>
        <w:rPr>
          <w:color w:val="000000"/>
          <w:sz w:val="21"/>
        </w:rPr>
        <w:t>4.</w:t>
      </w:r>
      <w:r>
        <w:rPr>
          <w:color w:val="000000"/>
          <w:sz w:val="21"/>
        </w:rPr>
        <w:t>质保期内，在非人为因素情况下，一切维修换件保养费用和备品备件均由乙方提供。</w:t>
      </w:r>
    </w:p>
    <w:p>
      <w:pPr>
        <w:jc w:val="both"/>
      </w:pPr>
      <w:r>
        <w:rPr>
          <w:color w:val="000000"/>
          <w:sz w:val="21"/>
        </w:rPr>
        <w:t>5.</w:t>
      </w:r>
      <w:r>
        <w:rPr>
          <w:color w:val="000000"/>
          <w:sz w:val="21"/>
        </w:rPr>
        <w:t>如因货物自身故障致停用时间累计超过</w:t>
      </w:r>
      <w:r>
        <w:rPr>
          <w:color w:val="000000"/>
          <w:sz w:val="21"/>
        </w:rPr>
        <w:t>20天时，则质保期在状态恢复正常时重新计算或对故障设备予以重新更换。</w:t>
      </w:r>
    </w:p>
    <w:p>
      <w:pPr>
        <w:jc w:val="both"/>
      </w:pPr>
      <w:r>
        <w:rPr>
          <w:color w:val="000000"/>
          <w:sz w:val="21"/>
        </w:rPr>
        <w:t>6.</w:t>
      </w:r>
      <w:r>
        <w:rPr>
          <w:color w:val="000000"/>
          <w:sz w:val="21"/>
        </w:rPr>
        <w:t>任何时候，乙方均不能免除因货物本身的缺陷所应负的责任。</w:t>
      </w:r>
    </w:p>
    <w:p>
      <w:pPr>
        <w:ind w:firstLine="315"/>
        <w:jc w:val="both"/>
      </w:pPr>
      <w:r>
        <w:rPr>
          <w:color w:val="000000"/>
          <w:sz w:val="21"/>
        </w:rPr>
        <w:t>本项上述情况的产生费用由乙方负责。</w:t>
      </w:r>
    </w:p>
    <w:p>
      <w:pPr>
        <w:jc w:val="both"/>
      </w:pPr>
      <w:r>
        <w:rPr>
          <w:b/>
          <w:color w:val="000000"/>
          <w:sz w:val="21"/>
        </w:rPr>
        <w:t>十五</w:t>
      </w:r>
      <w:r>
        <w:rPr>
          <w:b/>
          <w:color w:val="000000"/>
          <w:sz w:val="21"/>
        </w:rPr>
        <w:t>.</w:t>
      </w:r>
      <w:r>
        <w:rPr>
          <w:b/>
          <w:color w:val="000000"/>
          <w:sz w:val="21"/>
        </w:rPr>
        <w:t>履约保证金</w:t>
      </w:r>
    </w:p>
    <w:p>
      <w:pPr>
        <w:jc w:val="both"/>
      </w:pPr>
      <w:r>
        <w:rPr>
          <w:color w:val="000000"/>
          <w:sz w:val="21"/>
        </w:rPr>
        <w:t>乙方按合同总金额的</w:t>
      </w:r>
      <w:r>
        <w:rPr>
          <w:color w:val="000000"/>
          <w:sz w:val="21"/>
        </w:rPr>
        <w:t>5%缴纳，即</w:t>
      </w:r>
      <w:r>
        <w:rPr>
          <w:sz w:val="21"/>
          <w:u w:val="single"/>
        </w:rPr>
        <w:t xml:space="preserve">       </w:t>
      </w:r>
      <w:r>
        <w:rPr>
          <w:color w:val="000000"/>
          <w:sz w:val="21"/>
        </w:rPr>
        <w:t>元；</w:t>
      </w:r>
      <w:r>
        <w:rPr>
          <w:color w:val="000000"/>
          <w:sz w:val="21"/>
        </w:rPr>
        <w:t>说明：</w:t>
      </w:r>
      <w:r>
        <w:rPr>
          <w:color w:val="000000"/>
          <w:sz w:val="21"/>
        </w:rPr>
        <w:t>1.提交 （1）时间：</w:t>
      </w:r>
      <w:r>
        <w:rPr>
          <w:color w:val="000000"/>
          <w:sz w:val="21"/>
        </w:rPr>
        <w:t>乙方在收到中标通知书</w:t>
      </w:r>
      <w:r>
        <w:rPr>
          <w:color w:val="000000"/>
          <w:sz w:val="21"/>
        </w:rPr>
        <w:t>15天内，否则，中标单位视作自动放弃中标资格</w:t>
      </w:r>
      <w:r>
        <w:rPr>
          <w:color w:val="000000"/>
          <w:sz w:val="21"/>
        </w:rPr>
        <w:t>。</w:t>
      </w:r>
      <w:r>
        <w:rPr>
          <w:color w:val="000000"/>
          <w:sz w:val="21"/>
        </w:rPr>
        <w:t>（</w:t>
      </w:r>
      <w:r>
        <w:rPr>
          <w:color w:val="000000"/>
          <w:sz w:val="21"/>
        </w:rPr>
        <w:t>2）金额：合同总金额的5% （3）方式：支票、汇票、本票、保函等非现金形式（履约担保函须由银行或有资质的第三方担保机构出具） 2.退还 （1）</w:t>
      </w:r>
      <w:r>
        <w:rPr>
          <w:color w:val="000000"/>
          <w:sz w:val="21"/>
        </w:rPr>
        <w:t>整体项目验收合格后并无违约情况下</w:t>
      </w:r>
      <w:r>
        <w:rPr>
          <w:color w:val="000000"/>
          <w:sz w:val="21"/>
        </w:rPr>
        <w:t>15个工作日内</w:t>
      </w:r>
      <w:r>
        <w:rPr>
          <w:color w:val="000000"/>
          <w:sz w:val="21"/>
        </w:rPr>
        <w:t>，乙方出具相关履约金收款证明，甲方一次性无息退还履约保证金给乙方。</w:t>
      </w:r>
      <w:r>
        <w:rPr>
          <w:color w:val="000000"/>
          <w:sz w:val="21"/>
        </w:rPr>
        <w:t>（</w:t>
      </w:r>
      <w:r>
        <w:rPr>
          <w:color w:val="000000"/>
          <w:sz w:val="21"/>
        </w:rPr>
        <w:t>2）乙方违反合同及其附件约定的任何义务，甲方有权在履约保证金中直接扣除乙方应向甲方支付的违约或损失赔偿额。 （3）非因乙方原因或不可抗力造成的延期开工或交付期延误，甲方不得处罚乙方和追究乙方责任。</w:t>
      </w:r>
    </w:p>
    <w:p>
      <w:pPr>
        <w:jc w:val="both"/>
      </w:pPr>
      <w:r>
        <w:rPr>
          <w:b/>
          <w:color w:val="000000"/>
          <w:sz w:val="21"/>
        </w:rPr>
        <w:t>十六</w:t>
      </w:r>
      <w:r>
        <w:rPr>
          <w:b/>
          <w:color w:val="000000"/>
          <w:sz w:val="21"/>
        </w:rPr>
        <w:t>.甲方权利与义务</w:t>
      </w:r>
    </w:p>
    <w:p>
      <w:pPr>
        <w:jc w:val="both"/>
      </w:pPr>
      <w:r>
        <w:rPr>
          <w:color w:val="000000"/>
          <w:sz w:val="21"/>
        </w:rPr>
        <w:t>1．甲方权利：</w:t>
      </w:r>
    </w:p>
    <w:p>
      <w:pPr>
        <w:jc w:val="both"/>
      </w:pPr>
      <w:r>
        <w:rPr>
          <w:color w:val="000000"/>
          <w:sz w:val="21"/>
        </w:rPr>
        <w:t>（</w:t>
      </w:r>
      <w:r>
        <w:rPr>
          <w:color w:val="000000"/>
          <w:sz w:val="21"/>
        </w:rPr>
        <w:t>1）甲方将随时对乙方进行定期或不定期检查。</w:t>
      </w:r>
    </w:p>
    <w:p>
      <w:pPr>
        <w:jc w:val="both"/>
      </w:pPr>
      <w:r>
        <w:rPr>
          <w:color w:val="000000"/>
          <w:sz w:val="21"/>
        </w:rPr>
        <w:t>（</w:t>
      </w:r>
      <w:r>
        <w:rPr>
          <w:color w:val="000000"/>
          <w:sz w:val="21"/>
        </w:rPr>
        <w:t>2）甲方对乙方的被投诉进行调查。</w:t>
      </w:r>
    </w:p>
    <w:p>
      <w:pPr>
        <w:jc w:val="both"/>
      </w:pPr>
      <w:r>
        <w:rPr>
          <w:color w:val="000000"/>
          <w:sz w:val="21"/>
        </w:rPr>
        <w:t>2．甲方义务：</w:t>
      </w:r>
    </w:p>
    <w:p>
      <w:pPr>
        <w:jc w:val="both"/>
      </w:pPr>
      <w:r>
        <w:rPr>
          <w:color w:val="000000"/>
          <w:sz w:val="21"/>
        </w:rPr>
        <w:t>（</w:t>
      </w:r>
      <w:r>
        <w:rPr>
          <w:color w:val="000000"/>
          <w:sz w:val="21"/>
        </w:rPr>
        <w:t>1）必须接收乙方符合质量要求的服务</w:t>
      </w:r>
      <w:r>
        <w:rPr>
          <w:color w:val="000000"/>
          <w:sz w:val="21"/>
        </w:rPr>
        <w:t>；</w:t>
      </w:r>
    </w:p>
    <w:p>
      <w:pPr>
        <w:jc w:val="both"/>
      </w:pPr>
      <w:r>
        <w:rPr>
          <w:color w:val="000000"/>
          <w:sz w:val="21"/>
        </w:rPr>
        <w:t>（</w:t>
      </w:r>
      <w:r>
        <w:rPr>
          <w:color w:val="000000"/>
          <w:sz w:val="21"/>
        </w:rPr>
        <w:t>2）必须按时支付服务款。</w:t>
      </w:r>
    </w:p>
    <w:p>
      <w:pPr>
        <w:jc w:val="both"/>
      </w:pPr>
      <w:r>
        <w:rPr>
          <w:b/>
          <w:color w:val="000000"/>
          <w:sz w:val="21"/>
        </w:rPr>
        <w:t>十七</w:t>
      </w:r>
      <w:r>
        <w:rPr>
          <w:b/>
          <w:color w:val="000000"/>
          <w:sz w:val="21"/>
        </w:rPr>
        <w:t>.</w:t>
      </w:r>
      <w:r>
        <w:rPr>
          <w:b/>
          <w:color w:val="000000"/>
          <w:sz w:val="21"/>
        </w:rPr>
        <w:t>乙方权利与义务</w:t>
      </w:r>
    </w:p>
    <w:p>
      <w:pPr>
        <w:jc w:val="both"/>
      </w:pPr>
      <w:r>
        <w:rPr>
          <w:color w:val="000000"/>
          <w:sz w:val="21"/>
        </w:rPr>
        <w:t>1．乙方权利：</w:t>
      </w:r>
    </w:p>
    <w:p>
      <w:pPr>
        <w:jc w:val="both"/>
      </w:pPr>
      <w:r>
        <w:rPr>
          <w:color w:val="000000"/>
          <w:sz w:val="21"/>
        </w:rPr>
        <w:t>（</w:t>
      </w:r>
      <w:r>
        <w:rPr>
          <w:color w:val="000000"/>
          <w:sz w:val="21"/>
        </w:rPr>
        <w:t>1）有权要求甲方按时支付服务费；</w:t>
      </w:r>
    </w:p>
    <w:p>
      <w:pPr>
        <w:jc w:val="both"/>
      </w:pPr>
      <w:r>
        <w:rPr>
          <w:color w:val="000000"/>
          <w:sz w:val="21"/>
        </w:rPr>
        <w:t>（</w:t>
      </w:r>
      <w:r>
        <w:rPr>
          <w:color w:val="000000"/>
          <w:sz w:val="21"/>
        </w:rPr>
        <w:t>2）有权拒绝甲方或甲方提出除合同约定的服务承诺和优惠以外的其它要求。</w:t>
      </w:r>
    </w:p>
    <w:p>
      <w:pPr>
        <w:jc w:val="both"/>
      </w:pPr>
      <w:r>
        <w:rPr>
          <w:color w:val="000000"/>
          <w:sz w:val="21"/>
        </w:rPr>
        <w:t>2．乙方义务：</w:t>
      </w:r>
    </w:p>
    <w:p>
      <w:pPr>
        <w:jc w:val="both"/>
      </w:pPr>
      <w:r>
        <w:rPr>
          <w:color w:val="000000"/>
          <w:sz w:val="21"/>
        </w:rPr>
        <w:t>（</w:t>
      </w:r>
      <w:r>
        <w:rPr>
          <w:color w:val="000000"/>
          <w:sz w:val="21"/>
        </w:rPr>
        <w:t>1）必须履行合约向甲方供应服务，并履行其投标文件中的服务承诺，并不得将管理服务任务转给别的乙方；</w:t>
      </w:r>
    </w:p>
    <w:p>
      <w:pPr>
        <w:jc w:val="both"/>
      </w:pPr>
      <w:r>
        <w:rPr>
          <w:color w:val="000000"/>
          <w:sz w:val="21"/>
        </w:rPr>
        <w:t>（</w:t>
      </w:r>
      <w:r>
        <w:rPr>
          <w:color w:val="000000"/>
          <w:sz w:val="21"/>
        </w:rPr>
        <w:t>2）必须保证所供应服务符合合同约定及国家质量标准；</w:t>
      </w:r>
    </w:p>
    <w:p>
      <w:pPr>
        <w:jc w:val="both"/>
      </w:pPr>
      <w:r>
        <w:rPr>
          <w:color w:val="000000"/>
          <w:sz w:val="21"/>
        </w:rPr>
        <w:t>（</w:t>
      </w:r>
      <w:r>
        <w:rPr>
          <w:color w:val="000000"/>
          <w:sz w:val="21"/>
        </w:rPr>
        <w:t>3）必须保管好所有单据，随时接受甲方及其他有关部门的检查；</w:t>
      </w:r>
    </w:p>
    <w:p>
      <w:pPr>
        <w:jc w:val="both"/>
      </w:pPr>
      <w:r>
        <w:rPr>
          <w:color w:val="000000"/>
          <w:sz w:val="21"/>
        </w:rPr>
        <w:t>（</w:t>
      </w:r>
      <w:r>
        <w:rPr>
          <w:color w:val="000000"/>
          <w:sz w:val="21"/>
        </w:rPr>
        <w:t>4）配合甲方接受上级领导部门的监督、检查，并提供必须的材料；</w:t>
      </w:r>
    </w:p>
    <w:p>
      <w:pPr>
        <w:jc w:val="both"/>
      </w:pPr>
      <w:r>
        <w:rPr>
          <w:b/>
          <w:color w:val="000000"/>
          <w:sz w:val="21"/>
        </w:rPr>
        <w:t>十八</w:t>
      </w:r>
      <w:r>
        <w:rPr>
          <w:b/>
          <w:color w:val="000000"/>
          <w:sz w:val="21"/>
        </w:rPr>
        <w:t>.违约责任与赔偿损失</w:t>
      </w:r>
    </w:p>
    <w:p>
      <w:pPr>
        <w:ind w:firstLine="420"/>
        <w:jc w:val="both"/>
      </w:pPr>
      <w:r>
        <w:rPr>
          <w:color w:val="000000"/>
          <w:sz w:val="21"/>
        </w:rPr>
        <w:t>（</w:t>
      </w:r>
      <w:r>
        <w:rPr>
          <w:color w:val="000000"/>
          <w:sz w:val="21"/>
        </w:rPr>
        <w:t>1）乙方提供的服务不符合招标文件、投标文件或本合同规定的，甲方有权拒收，并且乙方须向甲方支付本合同总价</w:t>
      </w:r>
      <w:r>
        <w:rPr>
          <w:color w:val="000000"/>
          <w:sz w:val="21"/>
        </w:rPr>
        <w:t>30%的违约</w:t>
      </w:r>
      <w:r>
        <w:rPr>
          <w:color w:val="000000"/>
          <w:sz w:val="21"/>
        </w:rPr>
        <w:t>金。</w:t>
      </w:r>
    </w:p>
    <w:p>
      <w:pPr>
        <w:ind w:firstLine="420"/>
        <w:jc w:val="both"/>
      </w:pPr>
      <w:r>
        <w:rPr>
          <w:color w:val="000000"/>
          <w:sz w:val="21"/>
        </w:rPr>
        <w:t>（</w:t>
      </w:r>
      <w:r>
        <w:rPr>
          <w:color w:val="000000"/>
          <w:sz w:val="21"/>
        </w:rPr>
        <w:t>2）甲方无正当理由拒收接受服务，到期拒付服务款项的</w:t>
      </w:r>
      <w:r>
        <w:rPr>
          <w:color w:val="000000"/>
          <w:sz w:val="21"/>
        </w:rPr>
        <w:t>，</w:t>
      </w:r>
      <w:r>
        <w:rPr>
          <w:color w:val="000000"/>
          <w:sz w:val="21"/>
        </w:rPr>
        <w:t>每逾期一日，甲方应按应付未付款项0.01%向乙方偿付违约金。</w:t>
      </w:r>
    </w:p>
    <w:p>
      <w:r>
        <w:rPr>
          <w:color w:val="000000"/>
          <w:sz w:val="21"/>
        </w:rPr>
        <w:t>（3）其它违约责任按《中华人民共和国民法典》处理。</w:t>
      </w:r>
    </w:p>
    <w:p>
      <w:pPr>
        <w:jc w:val="both"/>
      </w:pPr>
      <w:r>
        <w:rPr>
          <w:b/>
          <w:color w:val="000000"/>
          <w:sz w:val="21"/>
        </w:rPr>
        <w:t>十九</w:t>
      </w:r>
      <w:r>
        <w:rPr>
          <w:b/>
          <w:color w:val="000000"/>
          <w:sz w:val="21"/>
        </w:rPr>
        <w:t>.合同生效、变更与终止</w:t>
      </w:r>
    </w:p>
    <w:p>
      <w:pPr>
        <w:jc w:val="left"/>
      </w:pPr>
      <w:r>
        <w:rPr>
          <w:color w:val="000000"/>
          <w:sz w:val="21"/>
        </w:rPr>
        <w:t>（</w:t>
      </w:r>
      <w:r>
        <w:rPr>
          <w:color w:val="000000"/>
          <w:sz w:val="21"/>
        </w:rPr>
        <w:t>一</w:t>
      </w:r>
      <w:r>
        <w:rPr>
          <w:color w:val="000000"/>
          <w:sz w:val="21"/>
        </w:rPr>
        <w:t>）</w:t>
      </w:r>
      <w:r>
        <w:rPr>
          <w:color w:val="000000"/>
          <w:sz w:val="21"/>
        </w:rPr>
        <w:t>由于甲方的原因使本项目的工作受到阻碍或延误，以致延长了完成时间，则乙方应当将此情况与可能产生的影响及时通知甲方，经甲方书面确认后，完成时间可以相应延长。</w:t>
      </w:r>
    </w:p>
    <w:p>
      <w:pPr>
        <w:jc w:val="left"/>
      </w:pPr>
      <w:r>
        <w:rPr>
          <w:color w:val="000000"/>
          <w:sz w:val="21"/>
        </w:rPr>
        <w:t>（</w:t>
      </w:r>
      <w:r>
        <w:rPr>
          <w:color w:val="000000"/>
          <w:sz w:val="21"/>
        </w:rPr>
        <w:t>二</w:t>
      </w:r>
      <w:r>
        <w:rPr>
          <w:color w:val="000000"/>
          <w:sz w:val="21"/>
        </w:rPr>
        <w:t>）</w:t>
      </w:r>
      <w:r>
        <w:rPr>
          <w:color w:val="000000"/>
          <w:sz w:val="21"/>
        </w:rPr>
        <w:t>在项目实施过程中，如出现内容的变更，由当事各方协商解决。</w:t>
      </w:r>
    </w:p>
    <w:p>
      <w:pPr>
        <w:jc w:val="left"/>
      </w:pPr>
      <w:r>
        <w:rPr>
          <w:color w:val="000000"/>
          <w:sz w:val="21"/>
        </w:rPr>
        <w:t>（</w:t>
      </w:r>
      <w:r>
        <w:rPr>
          <w:color w:val="000000"/>
          <w:sz w:val="21"/>
        </w:rPr>
        <w:t>三</w:t>
      </w:r>
      <w:r>
        <w:rPr>
          <w:color w:val="000000"/>
          <w:sz w:val="21"/>
        </w:rPr>
        <w:t>）</w:t>
      </w:r>
      <w:r>
        <w:rPr>
          <w:color w:val="000000"/>
          <w:sz w:val="21"/>
        </w:rPr>
        <w:t>本合同有效期自生效之日起，至乙方履行完毕全部合同义务止。</w:t>
      </w:r>
    </w:p>
    <w:p>
      <w:pPr>
        <w:jc w:val="left"/>
      </w:pPr>
      <w:r>
        <w:rPr>
          <w:color w:val="000000"/>
          <w:sz w:val="21"/>
        </w:rPr>
        <w:t>（</w:t>
      </w:r>
      <w:r>
        <w:rPr>
          <w:color w:val="000000"/>
          <w:sz w:val="21"/>
        </w:rPr>
        <w:t>四</w:t>
      </w:r>
      <w:r>
        <w:rPr>
          <w:color w:val="000000"/>
          <w:sz w:val="21"/>
        </w:rPr>
        <w:t>）</w:t>
      </w:r>
      <w:r>
        <w:rPr>
          <w:color w:val="000000"/>
          <w:sz w:val="21"/>
        </w:rPr>
        <w:t>当事人一方要求变更或解除合同时，应当在</w:t>
      </w:r>
      <w:r>
        <w:rPr>
          <w:color w:val="000000"/>
          <w:sz w:val="21"/>
        </w:rPr>
        <w:t>20个工作日前书面通知对方，因解除合同使其他方遭受损失的，除依法可以免除的责任外，应由责任方负责赔偿。</w:t>
      </w:r>
    </w:p>
    <w:p>
      <w:pPr>
        <w:jc w:val="left"/>
      </w:pPr>
      <w:r>
        <w:rPr>
          <w:color w:val="000000"/>
          <w:sz w:val="21"/>
        </w:rPr>
        <w:t>（</w:t>
      </w:r>
      <w:r>
        <w:rPr>
          <w:color w:val="000000"/>
          <w:sz w:val="21"/>
        </w:rPr>
        <w:t>五</w:t>
      </w:r>
      <w:r>
        <w:rPr>
          <w:color w:val="000000"/>
          <w:sz w:val="21"/>
        </w:rPr>
        <w:t>）</w:t>
      </w:r>
      <w:r>
        <w:rPr>
          <w:color w:val="000000"/>
          <w:sz w:val="21"/>
        </w:rPr>
        <w:t>变更或解除合同的通知或协议必须采取书面形式，协议未达成之前，原合同仍然有效。</w:t>
      </w:r>
    </w:p>
    <w:p>
      <w:pPr>
        <w:jc w:val="left"/>
      </w:pPr>
      <w:r>
        <w:rPr>
          <w:color w:val="000000"/>
          <w:sz w:val="21"/>
        </w:rPr>
        <w:t>（</w:t>
      </w:r>
      <w:r>
        <w:rPr>
          <w:color w:val="000000"/>
          <w:sz w:val="21"/>
        </w:rPr>
        <w:t>六</w:t>
      </w:r>
      <w:r>
        <w:rPr>
          <w:color w:val="000000"/>
          <w:sz w:val="21"/>
        </w:rPr>
        <w:t>）</w:t>
      </w:r>
      <w:r>
        <w:rPr>
          <w:color w:val="000000"/>
          <w:sz w:val="21"/>
        </w:rPr>
        <w:t>本合同的终止并不影响各方应有的权利和应当承担的责任。</w:t>
      </w:r>
    </w:p>
    <w:p>
      <w:pPr>
        <w:jc w:val="both"/>
      </w:pPr>
      <w:r>
        <w:rPr>
          <w:b/>
          <w:color w:val="000000"/>
          <w:sz w:val="21"/>
        </w:rPr>
        <w:t>二十</w:t>
      </w:r>
      <w:r>
        <w:rPr>
          <w:b/>
          <w:color w:val="000000"/>
          <w:sz w:val="21"/>
        </w:rPr>
        <w:t>.不可抗力</w:t>
      </w:r>
    </w:p>
    <w:p>
      <w:pPr>
        <w:jc w:val="left"/>
      </w:pPr>
      <w:r>
        <w:rPr>
          <w:color w:val="000000"/>
          <w:sz w:val="21"/>
        </w:rPr>
        <w:t>（</w:t>
      </w:r>
      <w:r>
        <w:rPr>
          <w:color w:val="000000"/>
          <w:sz w:val="21"/>
        </w:rPr>
        <w:t>一</w:t>
      </w:r>
      <w:r>
        <w:rPr>
          <w:color w:val="000000"/>
          <w:sz w:val="21"/>
        </w:rPr>
        <w:t>）</w:t>
      </w:r>
      <w:r>
        <w:rPr>
          <w:color w:val="000000"/>
          <w:sz w:val="21"/>
        </w:rPr>
        <w:t>由于地震、台风、水灾、战争、以及其它不能预见并且对其发生和后果不能防止或避免的不可抗力事故，致使直接影响本合同的履行或者不能按约定的条件履行时，遇有上述不可抗力事故的一方，应在不可抗力事故发生后立即将事故情况电传通知对方，并应在</w:t>
      </w:r>
      <w:r>
        <w:rPr>
          <w:color w:val="000000"/>
          <w:sz w:val="21"/>
        </w:rPr>
        <w:t>15天内提供事故详情及合同不能履行，或者部分不能履行，或者需要延期履行的理由的有效证明文件。此项证明文件应由事故发生地区的公证机构出具。按照事故对履行合同的影响程度，由合同各方协商决定是否解除合同，或者部分免除履行合同的责任，或者延期履行合同。</w:t>
      </w:r>
    </w:p>
    <w:p>
      <w:pPr>
        <w:jc w:val="both"/>
      </w:pPr>
      <w:r>
        <w:rPr>
          <w:b/>
          <w:color w:val="000000"/>
          <w:sz w:val="21"/>
        </w:rPr>
        <w:t>二十一</w:t>
      </w:r>
      <w:r>
        <w:rPr>
          <w:b/>
          <w:color w:val="000000"/>
          <w:sz w:val="21"/>
        </w:rPr>
        <w:t>.争议解决</w:t>
      </w:r>
    </w:p>
    <w:p>
      <w:pPr>
        <w:jc w:val="left"/>
      </w:pPr>
      <w:r>
        <w:rPr>
          <w:color w:val="000000"/>
          <w:sz w:val="21"/>
        </w:rPr>
        <w:t>（</w:t>
      </w:r>
      <w:r>
        <w:rPr>
          <w:color w:val="000000"/>
          <w:sz w:val="21"/>
        </w:rPr>
        <w:t>一</w:t>
      </w:r>
      <w:r>
        <w:rPr>
          <w:color w:val="000000"/>
          <w:sz w:val="21"/>
        </w:rPr>
        <w:t>）</w:t>
      </w:r>
      <w:r>
        <w:rPr>
          <w:color w:val="000000"/>
          <w:sz w:val="21"/>
        </w:rPr>
        <w:t>凡因履行本合同而引起的一切争议或与本合同有关的争议，应由当事各方通过友好协商解决。协商不成时，当事各方同意提交</w:t>
      </w:r>
      <w:r>
        <w:rPr>
          <w:color w:val="000000"/>
          <w:sz w:val="21"/>
          <w:u w:val="single"/>
        </w:rPr>
        <w:t>甲方所在地的人民法院</w:t>
      </w:r>
      <w:r>
        <w:rPr>
          <w:color w:val="000000"/>
          <w:sz w:val="21"/>
        </w:rPr>
        <w:t>进行诉讼。</w:t>
      </w:r>
    </w:p>
    <w:p>
      <w:pPr>
        <w:jc w:val="both"/>
      </w:pPr>
      <w:r>
        <w:rPr>
          <w:b/>
          <w:color w:val="000000"/>
          <w:sz w:val="21"/>
        </w:rPr>
        <w:t>二十二</w:t>
      </w:r>
      <w:r>
        <w:rPr>
          <w:b/>
          <w:color w:val="000000"/>
          <w:sz w:val="21"/>
        </w:rPr>
        <w:t>.税费</w:t>
      </w:r>
    </w:p>
    <w:p>
      <w:pPr>
        <w:jc w:val="left"/>
      </w:pPr>
      <w:r>
        <w:rPr>
          <w:color w:val="000000"/>
          <w:sz w:val="21"/>
        </w:rPr>
        <w:t>（</w:t>
      </w:r>
      <w:r>
        <w:rPr>
          <w:color w:val="000000"/>
          <w:sz w:val="21"/>
        </w:rPr>
        <w:t>一</w:t>
      </w:r>
      <w:r>
        <w:rPr>
          <w:color w:val="000000"/>
          <w:sz w:val="21"/>
        </w:rPr>
        <w:t>）</w:t>
      </w:r>
      <w:r>
        <w:rPr>
          <w:color w:val="000000"/>
          <w:sz w:val="21"/>
        </w:rPr>
        <w:t>中国政府根据现行税法所征收的一切税费均由各缴税责任方独立承担。在中国境外发生的</w:t>
      </w:r>
      <w:r>
        <w:rPr>
          <w:sz w:val="21"/>
        </w:rPr>
        <w:t xml:space="preserve">  </w:t>
      </w:r>
      <w:r>
        <w:rPr>
          <w:color w:val="000000"/>
          <w:sz w:val="21"/>
        </w:rPr>
        <w:t>与本合同相关的一切税费及不可预见费均由乙方负担。</w:t>
      </w:r>
    </w:p>
    <w:p>
      <w:pPr>
        <w:jc w:val="both"/>
      </w:pPr>
      <w:r>
        <w:rPr>
          <w:b/>
          <w:color w:val="000000"/>
          <w:sz w:val="21"/>
        </w:rPr>
        <w:t>二十三</w:t>
      </w:r>
      <w:r>
        <w:rPr>
          <w:b/>
          <w:color w:val="000000"/>
          <w:sz w:val="21"/>
        </w:rPr>
        <w:t>.其它</w:t>
      </w:r>
    </w:p>
    <w:p>
      <w:pPr>
        <w:jc w:val="left"/>
      </w:pPr>
      <w:r>
        <w:rPr>
          <w:color w:val="000000"/>
          <w:sz w:val="21"/>
        </w:rPr>
        <w:t>（</w:t>
      </w:r>
      <w:r>
        <w:rPr>
          <w:color w:val="000000"/>
          <w:sz w:val="21"/>
        </w:rPr>
        <w:t>一</w:t>
      </w:r>
      <w:r>
        <w:rPr>
          <w:color w:val="000000"/>
          <w:sz w:val="21"/>
        </w:rPr>
        <w:t>）</w:t>
      </w:r>
      <w:r>
        <w:rPr>
          <w:color w:val="000000"/>
          <w:sz w:val="21"/>
        </w:rPr>
        <w:t>本项目合同由下列文件组成，均为本合同不可分割的部分，下列文件的优先解释顺序如下：</w:t>
      </w:r>
    </w:p>
    <w:p>
      <w:pPr>
        <w:jc w:val="left"/>
      </w:pPr>
      <w:r>
        <w:rPr>
          <w:color w:val="000000"/>
          <w:sz w:val="21"/>
        </w:rPr>
        <w:t>1.本合同执行期间甲、乙双方签署确认的合同补充文件；</w:t>
      </w:r>
    </w:p>
    <w:p>
      <w:pPr>
        <w:jc w:val="left"/>
      </w:pPr>
      <w:r>
        <w:rPr>
          <w:color w:val="000000"/>
          <w:sz w:val="21"/>
        </w:rPr>
        <w:t>2.本采购合同；</w:t>
      </w:r>
    </w:p>
    <w:p>
      <w:pPr>
        <w:jc w:val="left"/>
      </w:pPr>
      <w:r>
        <w:rPr>
          <w:color w:val="000000"/>
          <w:sz w:val="21"/>
        </w:rPr>
        <w:t>3.成交通知书；</w:t>
      </w:r>
    </w:p>
    <w:p>
      <w:pPr>
        <w:jc w:val="left"/>
      </w:pPr>
      <w:r>
        <w:rPr>
          <w:color w:val="000000"/>
          <w:sz w:val="21"/>
        </w:rPr>
        <w:t>4.响应文件及其相关承诺附件（含响应文件澄清）；</w:t>
      </w:r>
    </w:p>
    <w:p>
      <w:pPr>
        <w:jc w:val="left"/>
      </w:pPr>
      <w:r>
        <w:rPr>
          <w:color w:val="000000"/>
          <w:sz w:val="21"/>
        </w:rPr>
        <w:t>5.磋商文件及答疑补遗文件（含磋商文件澄清或修正内容、答疑会议纪要等）；</w:t>
      </w:r>
    </w:p>
    <w:p>
      <w:pPr>
        <w:jc w:val="left"/>
      </w:pPr>
      <w:r>
        <w:rPr>
          <w:color w:val="000000"/>
          <w:sz w:val="21"/>
        </w:rPr>
        <w:t>6.标准、规范及有关技术文件；</w:t>
      </w:r>
    </w:p>
    <w:p>
      <w:pPr>
        <w:jc w:val="left"/>
      </w:pPr>
      <w:r>
        <w:rPr>
          <w:color w:val="000000"/>
          <w:sz w:val="21"/>
        </w:rPr>
        <w:t>7.组成合同的其他文件。</w:t>
      </w:r>
    </w:p>
    <w:p>
      <w:pPr>
        <w:jc w:val="left"/>
      </w:pPr>
      <w:r>
        <w:rPr>
          <w:b/>
          <w:color w:val="000000"/>
          <w:sz w:val="21"/>
        </w:rPr>
        <w:t>注：</w:t>
      </w:r>
      <w:r>
        <w:rPr>
          <w:color w:val="000000"/>
          <w:sz w:val="21"/>
        </w:rPr>
        <w:t>如乙方在响应文件及其相关承诺附件中作出有比磋商文件及答疑补遗文件和本合同更有利于甲方的响应（该是否有利于甲方的解释权双方同意最终归甲方所有），则乙方响应文件及其相关承诺附件中更有利于甲方的相关条款内容的解释顺序优于磋商文件及答疑补遗文件和本合同，乙方须按这些响应承诺履行</w:t>
      </w:r>
    </w:p>
    <w:p>
      <w:pPr>
        <w:jc w:val="left"/>
      </w:pPr>
      <w:r>
        <w:rPr>
          <w:color w:val="000000"/>
          <w:sz w:val="21"/>
        </w:rPr>
        <w:t>（</w:t>
      </w:r>
      <w:r>
        <w:rPr>
          <w:color w:val="000000"/>
          <w:sz w:val="21"/>
        </w:rPr>
        <w:t>二</w:t>
      </w:r>
      <w:r>
        <w:rPr>
          <w:color w:val="000000"/>
          <w:sz w:val="21"/>
        </w:rPr>
        <w:t>）</w:t>
      </w:r>
      <w:r>
        <w:rPr>
          <w:color w:val="000000"/>
          <w:sz w:val="21"/>
        </w:rPr>
        <w:t>所有经双方签署确认的文件（包括会议纪要、补充协议、变更协议等）、磋商文件、响应文件和响应承诺文件、合同附件及成交通知书均为本合同不可分割的有效组成部分，与本合同具有同等的法律效力和履约义务，其缔约生效日期为有效签署或盖章确认之日期。</w:t>
      </w:r>
    </w:p>
    <w:p>
      <w:pPr>
        <w:jc w:val="left"/>
      </w:pPr>
      <w:r>
        <w:rPr>
          <w:color w:val="000000"/>
          <w:sz w:val="21"/>
        </w:rPr>
        <w:t>（</w:t>
      </w:r>
      <w:r>
        <w:rPr>
          <w:color w:val="000000"/>
          <w:sz w:val="21"/>
        </w:rPr>
        <w:t>三</w:t>
      </w:r>
      <w:r>
        <w:rPr>
          <w:color w:val="000000"/>
          <w:sz w:val="21"/>
        </w:rPr>
        <w:t>）</w:t>
      </w:r>
      <w:r>
        <w:rPr>
          <w:color w:val="000000"/>
          <w:sz w:val="21"/>
        </w:rPr>
        <w:t>乙方在合同服务期内，自费办理派驻到项目所在地人员人身和自备财产的有关保险，保险时间应随服务时间的延长而顺延，并在出险后自行办理索赔。如果乙方不办理上述保险，则应对有关风险及后果自负其责。</w:t>
      </w:r>
    </w:p>
    <w:p>
      <w:pPr>
        <w:jc w:val="left"/>
      </w:pPr>
      <w:r>
        <w:rPr>
          <w:color w:val="000000"/>
          <w:sz w:val="21"/>
        </w:rPr>
        <w:t>（</w:t>
      </w:r>
      <w:r>
        <w:rPr>
          <w:color w:val="000000"/>
          <w:sz w:val="21"/>
        </w:rPr>
        <w:t>四</w:t>
      </w:r>
      <w:r>
        <w:rPr>
          <w:color w:val="000000"/>
          <w:sz w:val="21"/>
        </w:rPr>
        <w:t>）</w:t>
      </w:r>
      <w:r>
        <w:rPr>
          <w:color w:val="000000"/>
          <w:sz w:val="21"/>
        </w:rPr>
        <w:t>乙方向甲方提出赔偿要求不能成立时，乙方应当补偿由于该索赔所导致甲方的各种费用支出。</w:t>
      </w:r>
    </w:p>
    <w:p>
      <w:pPr>
        <w:jc w:val="left"/>
      </w:pPr>
      <w:r>
        <w:rPr>
          <w:color w:val="000000"/>
          <w:sz w:val="21"/>
        </w:rPr>
        <w:t>（</w:t>
      </w:r>
      <w:r>
        <w:rPr>
          <w:color w:val="000000"/>
          <w:sz w:val="21"/>
        </w:rPr>
        <w:t>五</w:t>
      </w:r>
      <w:r>
        <w:rPr>
          <w:color w:val="000000"/>
          <w:sz w:val="21"/>
        </w:rPr>
        <w:t>）</w:t>
      </w:r>
      <w:r>
        <w:rPr>
          <w:color w:val="000000"/>
          <w:sz w:val="21"/>
        </w:rPr>
        <w:t>未经对方的书面同意，无论甲方或乙方均不得转让本合同约定的权利和义务。</w:t>
      </w:r>
    </w:p>
    <w:p>
      <w:pPr>
        <w:jc w:val="left"/>
      </w:pPr>
      <w:r>
        <w:rPr>
          <w:color w:val="000000"/>
          <w:sz w:val="21"/>
        </w:rPr>
        <w:t>（</w:t>
      </w:r>
      <w:r>
        <w:rPr>
          <w:color w:val="000000"/>
          <w:sz w:val="21"/>
        </w:rPr>
        <w:t>六</w:t>
      </w:r>
      <w:r>
        <w:rPr>
          <w:color w:val="000000"/>
          <w:sz w:val="21"/>
        </w:rPr>
        <w:t>）</w:t>
      </w:r>
      <w:r>
        <w:rPr>
          <w:color w:val="000000"/>
          <w:sz w:val="21"/>
        </w:rPr>
        <w:t>各方都应保护对签署和履行本合同而取得的所有任何有关对方的非公开资料，任何一方均有义务限制其员工、代理人等仅在为适当履行本合同义务所必须且承诺严守保密义务时方可获得和使用上述资料。因一方未尽到此项义务而使另一方受到损失的，应赔偿另一方因此受到的损失。本合同终止后，双方仍负有上述保密义务。</w:t>
      </w:r>
    </w:p>
    <w:p>
      <w:pPr>
        <w:jc w:val="left"/>
      </w:pPr>
      <w:r>
        <w:rPr>
          <w:color w:val="000000"/>
          <w:sz w:val="21"/>
        </w:rPr>
        <w:t>（</w:t>
      </w:r>
      <w:r>
        <w:rPr>
          <w:color w:val="000000"/>
          <w:sz w:val="21"/>
        </w:rPr>
        <w:t>七</w:t>
      </w:r>
      <w:r>
        <w:rPr>
          <w:color w:val="000000"/>
          <w:sz w:val="21"/>
        </w:rPr>
        <w:t>）</w:t>
      </w:r>
      <w:r>
        <w:rPr>
          <w:color w:val="000000"/>
          <w:sz w:val="21"/>
        </w:rPr>
        <w:t>各方应保证向对方提供的资料和数据不侵犯第三方的知识产权或其他权利，因一方提供的资料虚假、错误、或侵犯第三方权利而造成误工、赔偿等损失（包括律师费）的，应当给予充分有效的赔偿。</w:t>
      </w:r>
    </w:p>
    <w:p>
      <w:pPr>
        <w:jc w:val="left"/>
      </w:pPr>
      <w:r>
        <w:rPr>
          <w:color w:val="000000"/>
          <w:sz w:val="21"/>
        </w:rPr>
        <w:t>（</w:t>
      </w:r>
      <w:r>
        <w:rPr>
          <w:color w:val="000000"/>
          <w:sz w:val="21"/>
        </w:rPr>
        <w:t>八</w:t>
      </w:r>
      <w:r>
        <w:rPr>
          <w:color w:val="000000"/>
          <w:sz w:val="21"/>
        </w:rPr>
        <w:t>）</w:t>
      </w:r>
      <w:r>
        <w:rPr>
          <w:color w:val="000000"/>
          <w:sz w:val="21"/>
        </w:rPr>
        <w:t>本合同未尽事宜，合同各方另行商定，必要时签定补充合同协议。补充协议经合同各方签字盖章后作为本合同补充文件。</w:t>
      </w:r>
    </w:p>
    <w:p>
      <w:pPr>
        <w:jc w:val="left"/>
      </w:pPr>
      <w:r>
        <w:rPr>
          <w:color w:val="000000"/>
          <w:sz w:val="21"/>
        </w:rPr>
        <w:t>（</w:t>
      </w:r>
      <w:r>
        <w:rPr>
          <w:color w:val="000000"/>
          <w:sz w:val="21"/>
        </w:rPr>
        <w:t>九</w:t>
      </w:r>
      <w:r>
        <w:rPr>
          <w:color w:val="000000"/>
          <w:sz w:val="21"/>
        </w:rPr>
        <w:t>）</w:t>
      </w:r>
      <w:r>
        <w:rPr>
          <w:color w:val="000000"/>
          <w:sz w:val="21"/>
        </w:rPr>
        <w:t>甲、乙双方法定代表人或授权代表在合同协议书签字，并分别加盖各单位的公章，并经见证单位见证后合同生效。</w:t>
      </w:r>
    </w:p>
    <w:p>
      <w:pPr>
        <w:jc w:val="left"/>
      </w:pPr>
      <w:r>
        <w:rPr>
          <w:color w:val="000000"/>
          <w:sz w:val="21"/>
        </w:rPr>
        <w:t>（</w:t>
      </w:r>
      <w:r>
        <w:rPr>
          <w:color w:val="000000"/>
          <w:sz w:val="21"/>
        </w:rPr>
        <w:t>十</w:t>
      </w:r>
      <w:r>
        <w:rPr>
          <w:color w:val="000000"/>
          <w:sz w:val="21"/>
        </w:rPr>
        <w:t>）</w:t>
      </w:r>
      <w:r>
        <w:rPr>
          <w:color w:val="000000"/>
          <w:sz w:val="21"/>
        </w:rPr>
        <w:t>本合同壹式</w:t>
      </w:r>
      <w:r>
        <w:rPr>
          <w:sz w:val="21"/>
          <w:u w:val="single"/>
        </w:rPr>
        <w:t xml:space="preserve">    </w:t>
      </w:r>
      <w:r>
        <w:rPr>
          <w:color w:val="000000"/>
          <w:sz w:val="21"/>
        </w:rPr>
        <w:t>份，甲方执</w:t>
      </w:r>
      <w:r>
        <w:rPr>
          <w:sz w:val="21"/>
          <w:u w:val="single"/>
        </w:rPr>
        <w:t xml:space="preserve">    </w:t>
      </w:r>
      <w:r>
        <w:rPr>
          <w:color w:val="000000"/>
          <w:sz w:val="21"/>
        </w:rPr>
        <w:t>份，乙方执</w:t>
      </w:r>
      <w:r>
        <w:rPr>
          <w:sz w:val="21"/>
          <w:u w:val="single"/>
        </w:rPr>
        <w:t xml:space="preserve">    </w:t>
      </w:r>
      <w:r>
        <w:rPr>
          <w:color w:val="000000"/>
          <w:sz w:val="21"/>
        </w:rPr>
        <w:t>份。</w:t>
      </w:r>
    </w:p>
    <w:p>
      <w:pPr>
        <w:jc w:val="both"/>
      </w:pPr>
    </w:p>
    <w:p>
      <w:pPr>
        <w:jc w:val="both"/>
      </w:pP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dashed" w:color="000000" w:sz="4"/>
            </w:tcBorders>
            <w:vAlign w:val="top"/>
          </w:tcPr>
          <w:p>
            <w:pPr>
              <w:jc w:val="both"/>
            </w:pPr>
            <w:r>
              <w:rPr>
                <w:b/>
                <w:color w:val="000000"/>
                <w:sz w:val="21"/>
              </w:rPr>
              <w:t>甲方（盖章）：</w:t>
            </w:r>
          </w:p>
        </w:tc>
        <w:tc>
          <w:tcPr>
            <w:tcW w:type="dxa" w:w="4153"/>
            <w:tcBorders>
              <w:top w:val="none" w:color="000000" w:sz="4"/>
              <w:left w:val="none" w:color="000000" w:sz="4"/>
              <w:bottom w:val="none" w:color="000000" w:sz="4"/>
              <w:right w:val="none" w:color="000000" w:sz="4"/>
            </w:tcBorders>
            <w:vAlign w:val="top"/>
          </w:tcPr>
          <w:p>
            <w:pPr>
              <w:jc w:val="both"/>
            </w:pPr>
            <w:r>
              <w:rPr>
                <w:b/>
                <w:color w:val="000000"/>
                <w:sz w:val="21"/>
              </w:rPr>
              <w:t>乙方（盖章）：</w:t>
            </w:r>
          </w:p>
        </w:tc>
      </w:tr>
      <w:tr>
        <w:tc>
          <w:tcPr>
            <w:tcW w:type="dxa" w:w="4153"/>
            <w:tcBorders>
              <w:top w:val="none" w:color="000000" w:sz="4"/>
              <w:left w:val="none" w:color="000000" w:sz="4"/>
              <w:bottom w:val="none" w:color="000000" w:sz="4"/>
              <w:right w:val="dashed" w:color="000000" w:sz="4"/>
            </w:tcBorders>
            <w:vAlign w:val="top"/>
          </w:tcPr>
          <w:p>
            <w:pPr>
              <w:jc w:val="both"/>
            </w:pPr>
          </w:p>
          <w:p>
            <w:pPr>
              <w:jc w:val="both"/>
            </w:pPr>
            <w:r>
              <w:rPr>
                <w:color w:val="000000"/>
                <w:sz w:val="21"/>
              </w:rPr>
              <w:t>代表：</w:t>
            </w:r>
            <w:r>
              <w:rPr>
                <w:sz w:val="21"/>
                <w:u w:val="single"/>
              </w:rPr>
              <w:t xml:space="preserve">                             </w:t>
            </w:r>
          </w:p>
        </w:tc>
        <w:tc>
          <w:tcPr>
            <w:tcW w:type="dxa" w:w="4153"/>
            <w:tcBorders>
              <w:top w:val="none" w:color="000000" w:sz="4"/>
              <w:left w:val="none" w:color="000000" w:sz="4"/>
              <w:bottom w:val="none" w:color="000000" w:sz="4"/>
              <w:right w:val="none" w:color="000000" w:sz="4"/>
            </w:tcBorders>
            <w:vAlign w:val="top"/>
          </w:tcPr>
          <w:p>
            <w:pPr>
              <w:jc w:val="both"/>
            </w:pPr>
          </w:p>
          <w:p>
            <w:pPr>
              <w:jc w:val="both"/>
            </w:pPr>
            <w:r>
              <w:rPr>
                <w:color w:val="000000"/>
                <w:sz w:val="21"/>
              </w:rPr>
              <w:t>代表：</w:t>
            </w:r>
            <w:r>
              <w:rPr>
                <w:sz w:val="21"/>
                <w:u w:val="single"/>
              </w:rPr>
              <w:t xml:space="preserve">                             </w:t>
            </w:r>
          </w:p>
        </w:tc>
      </w:tr>
      <w:tr>
        <w:tc>
          <w:tcPr>
            <w:tcW w:type="dxa" w:w="4153"/>
            <w:tcBorders>
              <w:top w:val="none" w:color="000000" w:sz="4"/>
              <w:left w:val="none" w:color="000000" w:sz="4"/>
              <w:bottom w:val="none" w:color="000000" w:sz="4"/>
              <w:right w:val="dashed" w:color="000000" w:sz="4"/>
            </w:tcBorders>
            <w:vAlign w:val="top"/>
          </w:tcPr>
          <w:p>
            <w:pPr>
              <w:jc w:val="both"/>
            </w:pPr>
            <w:r>
              <w:rPr>
                <w:color w:val="000000"/>
                <w:sz w:val="21"/>
              </w:rPr>
              <w:t>地址：</w:t>
            </w:r>
          </w:p>
        </w:tc>
        <w:tc>
          <w:tcPr>
            <w:tcW w:type="dxa" w:w="4153"/>
            <w:tcBorders>
              <w:top w:val="none" w:color="000000" w:sz="4"/>
              <w:left w:val="none" w:color="000000" w:sz="4"/>
              <w:bottom w:val="none" w:color="000000" w:sz="4"/>
              <w:right w:val="none" w:color="000000" w:sz="4"/>
            </w:tcBorders>
            <w:vAlign w:val="top"/>
          </w:tcPr>
          <w:p>
            <w:pPr>
              <w:jc w:val="both"/>
            </w:pPr>
            <w:r>
              <w:rPr>
                <w:color w:val="000000"/>
                <w:sz w:val="21"/>
              </w:rPr>
              <w:t>地址：</w:t>
            </w:r>
          </w:p>
        </w:tc>
      </w:tr>
      <w:tr>
        <w:tc>
          <w:tcPr>
            <w:tcW w:type="dxa" w:w="4153"/>
            <w:tcBorders>
              <w:top w:val="none" w:color="000000" w:sz="4"/>
              <w:left w:val="none" w:color="000000" w:sz="4"/>
              <w:bottom w:val="none" w:color="000000" w:sz="4"/>
              <w:right w:val="dashed" w:color="000000" w:sz="4"/>
            </w:tcBorders>
            <w:vAlign w:val="top"/>
          </w:tcPr>
          <w:p>
            <w:pPr>
              <w:jc w:val="both"/>
            </w:pPr>
            <w:r>
              <w:rPr>
                <w:color w:val="000000"/>
                <w:sz w:val="21"/>
              </w:rPr>
              <w:t>电话：</w:t>
            </w:r>
          </w:p>
        </w:tc>
        <w:tc>
          <w:tcPr>
            <w:tcW w:type="dxa" w:w="4153"/>
            <w:tcBorders>
              <w:top w:val="none" w:color="000000" w:sz="4"/>
              <w:left w:val="none" w:color="000000" w:sz="4"/>
              <w:bottom w:val="none" w:color="000000" w:sz="4"/>
              <w:right w:val="none" w:color="000000" w:sz="4"/>
            </w:tcBorders>
            <w:vAlign w:val="top"/>
          </w:tcPr>
          <w:p>
            <w:pPr>
              <w:jc w:val="both"/>
            </w:pPr>
            <w:r>
              <w:rPr>
                <w:color w:val="000000"/>
                <w:sz w:val="21"/>
              </w:rPr>
              <w:t>电话：</w:t>
            </w:r>
          </w:p>
        </w:tc>
      </w:tr>
      <w:tr>
        <w:tc>
          <w:tcPr>
            <w:tcW w:type="dxa" w:w="4153"/>
            <w:tcBorders>
              <w:top w:val="none" w:color="000000" w:sz="4"/>
              <w:left w:val="none" w:color="000000" w:sz="4"/>
              <w:bottom w:val="none" w:color="000000" w:sz="4"/>
              <w:right w:val="dashed" w:color="000000" w:sz="4"/>
            </w:tcBorders>
            <w:vAlign w:val="top"/>
          </w:tcPr>
          <w:p>
            <w:pPr>
              <w:jc w:val="both"/>
            </w:pPr>
            <w:r>
              <w:rPr>
                <w:color w:val="000000"/>
                <w:sz w:val="21"/>
              </w:rPr>
              <w:t>传真：</w:t>
            </w:r>
          </w:p>
        </w:tc>
        <w:tc>
          <w:tcPr>
            <w:tcW w:type="dxa" w:w="4153"/>
            <w:tcBorders>
              <w:top w:val="none" w:color="000000" w:sz="4"/>
              <w:left w:val="none" w:color="000000" w:sz="4"/>
              <w:bottom w:val="none" w:color="000000" w:sz="4"/>
              <w:right w:val="none" w:color="000000" w:sz="4"/>
            </w:tcBorders>
            <w:vAlign w:val="top"/>
          </w:tcPr>
          <w:p>
            <w:pPr>
              <w:jc w:val="both"/>
            </w:pPr>
            <w:r>
              <w:rPr>
                <w:color w:val="000000"/>
                <w:sz w:val="21"/>
              </w:rPr>
              <w:t>传真：</w:t>
            </w:r>
          </w:p>
        </w:tc>
      </w:tr>
      <w:tr>
        <w:tc>
          <w:tcPr>
            <w:tcW w:type="dxa" w:w="4153"/>
            <w:tcBorders>
              <w:top w:val="none" w:color="000000" w:sz="4"/>
              <w:left w:val="none" w:color="000000" w:sz="4"/>
              <w:bottom w:val="none" w:color="000000" w:sz="4"/>
              <w:right w:val="dashed" w:color="000000" w:sz="4"/>
            </w:tcBorders>
            <w:vAlign w:val="top"/>
          </w:tcPr>
          <w:p>
            <w:pPr>
              <w:jc w:val="both"/>
            </w:pPr>
            <w:r>
              <w:rPr>
                <w:color w:val="000000"/>
                <w:sz w:val="21"/>
              </w:rPr>
              <w:t>日期：</w:t>
            </w:r>
            <w:r>
              <w:rPr>
                <w:color w:val="000000"/>
                <w:sz w:val="21"/>
              </w:rPr>
              <w:t xml:space="preserve">       </w:t>
            </w:r>
            <w:r>
              <w:rPr>
                <w:color w:val="000000"/>
                <w:sz w:val="21"/>
              </w:rPr>
              <w:t>年</w:t>
            </w:r>
            <w:r>
              <w:rPr>
                <w:color w:val="000000"/>
                <w:sz w:val="21"/>
              </w:rPr>
              <w:t xml:space="preserve">    </w:t>
            </w:r>
            <w:r>
              <w:rPr>
                <w:color w:val="000000"/>
                <w:sz w:val="21"/>
              </w:rPr>
              <w:t>月</w:t>
            </w:r>
            <w:r>
              <w:rPr>
                <w:color w:val="000000"/>
                <w:sz w:val="21"/>
              </w:rPr>
              <w:t xml:space="preserve">   </w:t>
            </w:r>
            <w:r>
              <w:rPr>
                <w:color w:val="000000"/>
                <w:sz w:val="21"/>
              </w:rPr>
              <w:t>日</w:t>
            </w:r>
          </w:p>
        </w:tc>
        <w:tc>
          <w:tcPr>
            <w:tcW w:type="dxa" w:w="4153"/>
            <w:tcBorders>
              <w:top w:val="none" w:color="000000" w:sz="4"/>
              <w:left w:val="none" w:color="000000" w:sz="4"/>
              <w:bottom w:val="none" w:color="000000" w:sz="4"/>
              <w:right w:val="none" w:color="000000" w:sz="4"/>
            </w:tcBorders>
            <w:vAlign w:val="top"/>
          </w:tcPr>
          <w:p>
            <w:pPr>
              <w:jc w:val="both"/>
            </w:pPr>
            <w:r>
              <w:rPr>
                <w:color w:val="000000"/>
                <w:sz w:val="21"/>
              </w:rPr>
              <w:t>日期：</w:t>
            </w:r>
            <w:r>
              <w:rPr>
                <w:color w:val="000000"/>
                <w:sz w:val="21"/>
              </w:rPr>
              <w:t xml:space="preserve">       </w:t>
            </w:r>
            <w:r>
              <w:rPr>
                <w:color w:val="000000"/>
                <w:sz w:val="21"/>
              </w:rPr>
              <w:t>年</w:t>
            </w:r>
            <w:r>
              <w:rPr>
                <w:color w:val="000000"/>
                <w:sz w:val="21"/>
              </w:rPr>
              <w:t xml:space="preserve">    </w:t>
            </w:r>
            <w:r>
              <w:rPr>
                <w:color w:val="000000"/>
                <w:sz w:val="21"/>
              </w:rPr>
              <w:t>月</w:t>
            </w:r>
            <w:r>
              <w:rPr>
                <w:color w:val="000000"/>
                <w:sz w:val="21"/>
              </w:rPr>
              <w:t xml:space="preserve">   </w:t>
            </w:r>
            <w:r>
              <w:rPr>
                <w:color w:val="000000"/>
                <w:sz w:val="21"/>
              </w:rPr>
              <w:t>日</w:t>
            </w:r>
          </w:p>
        </w:tc>
      </w:tr>
      <w:tr>
        <w:tc>
          <w:tcPr>
            <w:tcW w:type="dxa" w:w="4153"/>
            <w:tcBorders>
              <w:top w:val="none" w:color="000000" w:sz="4"/>
              <w:left w:val="none" w:color="000000" w:sz="4"/>
              <w:bottom w:val="none" w:color="000000" w:sz="4"/>
              <w:right w:val="dashed" w:color="000000" w:sz="4"/>
            </w:tcBorders>
            <w:vAlign w:val="top"/>
          </w:tcPr>
          <w:p>
            <w:pPr>
              <w:jc w:val="both"/>
            </w:pPr>
          </w:p>
        </w:tc>
        <w:tc>
          <w:tcPr>
            <w:tcW w:type="dxa" w:w="4153"/>
            <w:tcBorders>
              <w:top w:val="none" w:color="000000" w:sz="4"/>
              <w:left w:val="none" w:color="000000" w:sz="4"/>
              <w:bottom w:val="none" w:color="000000" w:sz="4"/>
              <w:right w:val="none" w:color="000000" w:sz="4"/>
            </w:tcBorders>
            <w:vAlign w:val="top"/>
          </w:tcPr>
          <w:p>
            <w:pPr>
              <w:jc w:val="both"/>
            </w:pPr>
            <w:r>
              <w:rPr>
                <w:color w:val="000000"/>
                <w:sz w:val="21"/>
              </w:rPr>
              <w:t>开户名称：</w:t>
            </w:r>
          </w:p>
        </w:tc>
      </w:tr>
      <w:tr>
        <w:tc>
          <w:tcPr>
            <w:tcW w:type="dxa" w:w="4153"/>
            <w:tcBorders>
              <w:top w:val="none" w:color="000000" w:sz="4"/>
              <w:left w:val="none" w:color="000000" w:sz="4"/>
              <w:bottom w:val="none" w:color="000000" w:sz="4"/>
              <w:right w:val="dashed" w:color="000000" w:sz="4"/>
            </w:tcBorders>
            <w:vAlign w:val="top"/>
          </w:tcPr>
          <w:p>
            <w:pPr>
              <w:jc w:val="both"/>
            </w:pPr>
          </w:p>
        </w:tc>
        <w:tc>
          <w:tcPr>
            <w:tcW w:type="dxa" w:w="4153"/>
            <w:tcBorders>
              <w:top w:val="none" w:color="000000" w:sz="4"/>
              <w:left w:val="none" w:color="000000" w:sz="4"/>
              <w:bottom w:val="none" w:color="000000" w:sz="4"/>
              <w:right w:val="none" w:color="000000" w:sz="4"/>
            </w:tcBorders>
            <w:vAlign w:val="top"/>
          </w:tcPr>
          <w:p>
            <w:pPr>
              <w:jc w:val="both"/>
            </w:pPr>
            <w:r>
              <w:rPr>
                <w:color w:val="000000"/>
                <w:sz w:val="21"/>
              </w:rPr>
              <w:t>银行账号：</w:t>
            </w:r>
          </w:p>
        </w:tc>
      </w:tr>
      <w:tr>
        <w:tc>
          <w:tcPr>
            <w:tcW w:type="dxa" w:w="4153"/>
            <w:tcBorders>
              <w:top w:val="none" w:color="000000" w:sz="4"/>
              <w:left w:val="none" w:color="000000" w:sz="4"/>
              <w:bottom w:val="none" w:color="000000" w:sz="4"/>
              <w:right w:val="dashed" w:color="000000" w:sz="4"/>
            </w:tcBorders>
            <w:vAlign w:val="top"/>
          </w:tcPr>
          <w:p>
            <w:pPr>
              <w:jc w:val="both"/>
            </w:pPr>
          </w:p>
        </w:tc>
        <w:tc>
          <w:tcPr>
            <w:tcW w:type="dxa" w:w="4153"/>
            <w:tcBorders>
              <w:top w:val="none" w:color="000000" w:sz="4"/>
              <w:left w:val="none" w:color="000000" w:sz="4"/>
              <w:bottom w:val="none" w:color="000000" w:sz="4"/>
              <w:right w:val="none" w:color="000000" w:sz="4"/>
            </w:tcBorders>
            <w:vAlign w:val="top"/>
          </w:tcPr>
          <w:p>
            <w:pPr>
              <w:jc w:val="both"/>
            </w:pPr>
            <w:r>
              <w:rPr>
                <w:color w:val="000000"/>
                <w:sz w:val="21"/>
              </w:rPr>
              <w:t>开</w:t>
            </w:r>
            <w:r>
              <w:rPr>
                <w:color w:val="000000"/>
                <w:sz w:val="21"/>
              </w:rPr>
              <w:t>户</w:t>
            </w:r>
            <w:r>
              <w:rPr>
                <w:color w:val="000000"/>
                <w:sz w:val="21"/>
              </w:rPr>
              <w:t>行：</w:t>
            </w:r>
          </w:p>
        </w:tc>
      </w:tr>
      <w:tr>
        <w:tc>
          <w:tcPr>
            <w:tcW w:type="dxa" w:w="4153"/>
            <w:tcBorders>
              <w:top w:val="none" w:color="000000" w:sz="4"/>
              <w:left w:val="none" w:color="000000" w:sz="4"/>
              <w:bottom w:val="none" w:color="000000" w:sz="4"/>
              <w:right w:val="none" w:color="000000" w:sz="4"/>
            </w:tcBorders>
            <w:vAlign w:val="top"/>
          </w:tcPr>
          <w:p>
            <w:pPr>
              <w:jc w:val="both"/>
            </w:pPr>
          </w:p>
        </w:tc>
        <w:tc>
          <w:tcPr>
            <w:tcW w:type="dxa" w:w="4153"/>
            <w:tcBorders>
              <w:top w:val="none" w:color="000000" w:sz="4"/>
              <w:left w:val="none" w:color="000000" w:sz="4"/>
              <w:bottom w:val="none" w:color="000000" w:sz="4"/>
              <w:right w:val="none" w:color="000000" w:sz="4"/>
            </w:tcBorders>
            <w:vAlign w:val="top"/>
          </w:tcPr>
          <w:p>
            <w:pPr>
              <w:jc w:val="both"/>
            </w:pPr>
          </w:p>
        </w:tc>
      </w:tr>
      <w:tr>
        <w:tc>
          <w:tcPr>
            <w:tcW w:type="dxa" w:w="4153"/>
            <w:tcBorders>
              <w:top w:val="none" w:color="000000" w:sz="4"/>
              <w:left w:val="none" w:color="000000" w:sz="4"/>
              <w:bottom w:val="none" w:color="000000" w:sz="4"/>
              <w:right w:val="none" w:color="000000" w:sz="4"/>
            </w:tcBorders>
            <w:vAlign w:val="top"/>
          </w:tcPr>
          <w:p>
            <w:pPr>
              <w:jc w:val="both"/>
            </w:pPr>
          </w:p>
          <w:p>
            <w:pPr>
              <w:jc w:val="both"/>
            </w:pPr>
          </w:p>
        </w:tc>
        <w:tc>
          <w:tcPr>
            <w:tcW w:type="dxa" w:w="4153"/>
            <w:tcBorders>
              <w:top w:val="none" w:color="000000" w:sz="4"/>
              <w:left w:val="none" w:color="000000" w:sz="4"/>
              <w:bottom w:val="none" w:color="000000" w:sz="4"/>
              <w:right w:val="none" w:color="000000" w:sz="4"/>
            </w:tcBorders>
            <w:vAlign w:val="top"/>
          </w:tcPr>
          <w:p>
            <w:pPr>
              <w:jc w:val="both"/>
            </w:pPr>
          </w:p>
        </w:tc>
      </w:tr>
      <w:tr>
        <w:tc>
          <w:tcPr>
            <w:tcW w:type="dxa" w:w="4153"/>
            <w:tcBorders>
              <w:top w:val="none" w:color="000000" w:sz="4"/>
              <w:left w:val="none" w:color="000000" w:sz="4"/>
              <w:bottom w:val="none" w:color="000000" w:sz="4"/>
              <w:right w:val="none" w:color="000000" w:sz="4"/>
            </w:tcBorders>
            <w:vAlign w:val="top"/>
          </w:tcPr>
          <w:p>
            <w:pPr>
              <w:jc w:val="both"/>
            </w:pPr>
          </w:p>
        </w:tc>
        <w:tc>
          <w:tcPr>
            <w:tcW w:type="dxa" w:w="4153"/>
            <w:tcBorders>
              <w:top w:val="none" w:color="000000" w:sz="4"/>
              <w:left w:val="none" w:color="000000" w:sz="4"/>
              <w:bottom w:val="none" w:color="000000" w:sz="4"/>
              <w:right w:val="none" w:color="000000" w:sz="4"/>
            </w:tcBorders>
            <w:vAlign w:val="top"/>
          </w:tcPr>
          <w:p>
            <w:pPr>
              <w:jc w:val="both"/>
            </w:pPr>
          </w:p>
        </w:tc>
      </w:tr>
    </w:tbl>
    <w:p>
      <w:pPr>
        <w:jc w:val="both"/>
      </w:pPr>
      <w:r>
        <w:rPr>
          <w:color w:val="000000"/>
          <w:sz w:val="21"/>
        </w:rPr>
        <w:t>附件一：《</w:t>
      </w:r>
      <w:r>
        <w:rPr>
          <w:color w:val="000000"/>
          <w:sz w:val="21"/>
        </w:rPr>
        <w:t>2023-2024年容桂交通灯维修保养清单》</w:t>
      </w:r>
    </w:p>
    <w:p>
      <w:pPr>
        <w:jc w:val="both"/>
      </w:pPr>
      <w:r>
        <w:rPr>
          <w:color w:val="000000"/>
          <w:sz w:val="21"/>
        </w:rPr>
        <w:t>附件二</w:t>
      </w:r>
      <w:r>
        <w:rPr>
          <w:color w:val="000000"/>
          <w:sz w:val="21"/>
        </w:rPr>
        <w:t>：《容桂街道交通信号灯维护服务质量考评表》</w:t>
      </w: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440606-2023-01412</w:t>
      </w:r>
    </w:p>
    <w:p>
      <w:pPr>
        <w:jc w:val="center"/>
      </w:pPr>
      <w:r>
        <w:rPr>
          <w:b/>
          <w:sz w:val="24"/>
        </w:rPr>
        <w:t>采购项目编号：</w:t>
      </w:r>
      <w:r>
        <w:rPr>
          <w:b/>
          <w:sz w:val="24"/>
        </w:rPr>
        <w:t>440606-2023-01412</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广东华伦招标有限公司</w:t>
      </w:r>
    </w:p>
    <w:p>
      <w:pPr>
        <w:ind w:firstLine="480"/>
      </w:pPr>
      <w:r>
        <w:rPr/>
        <w:t>你方组织的</w:t>
      </w:r>
      <w:r>
        <w:rPr>
          <w:u w:val="single"/>
        </w:rPr>
        <w:t>“</w:t>
      </w:r>
      <w:r>
        <w:rPr>
          <w:u w:val="single"/>
        </w:rPr>
        <w:t>容桂街道2023年3月-2024年2月容桂交通灯维修保养项目</w:t>
      </w:r>
      <w:r>
        <w:rPr>
          <w:u w:val="single"/>
        </w:rPr>
        <w:t>”</w:t>
      </w:r>
      <w:r>
        <w:rPr/>
        <w:t>项目的竞争性磋商[采购项目编号为：</w:t>
      </w:r>
      <w:r>
        <w:rPr>
          <w:u w:val="single"/>
        </w:rPr>
        <w:t>440606-2023-01412</w:t>
      </w:r>
      <w:r>
        <w:rPr/>
        <w:t>]，我方愿参与响应。</w:t>
      </w:r>
    </w:p>
    <w:p>
      <w:pPr>
        <w:ind w:firstLine="480"/>
      </w:pPr>
      <w:r>
        <w:rPr/>
        <w:t>我方确认收到贵方提供的</w:t>
      </w:r>
      <w:r>
        <w:rPr>
          <w:u w:val="single"/>
        </w:rPr>
        <w:t>“</w:t>
      </w:r>
      <w:r>
        <w:rPr>
          <w:u w:val="single"/>
        </w:rPr>
        <w:t>容桂街道2023年3月-2024年2月容桂交通灯维修保养项目</w:t>
      </w:r>
      <w:r>
        <w:rPr>
          <w:u w:val="single"/>
        </w:rPr>
        <w:t>”</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（九）我方接受采购人委托向贵方支付代理服务费，项目总报价已包含代理服务费，如果被确定为成交供应商，承诺向贵方足额支付。（若采购人支付代理服务费，则此条不适用）</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广东华伦招标有限公司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容桂街道2023年3月-2024年2月容桂交通灯维修保养项目</w:t>
      </w:r>
      <w:r>
        <w:rPr/>
        <w:t>”项目采购[采购项目编号为</w:t>
      </w:r>
      <w:r>
        <w:rPr/>
        <w:t>440606-2023-01412</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佛山市顺德区容桂街道综合行政执法办公室</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广东华伦招标有限公司</w:t>
      </w:r>
    </w:p>
    <w:p>
      <w:pPr>
        <w:ind w:firstLine="480"/>
      </w:pPr>
      <w:r>
        <w:rPr/>
        <w:t>我单位参加贵公司组织的</w:t>
      </w:r>
      <w:r>
        <w:rPr/>
        <w:t>容桂街道2023年3月-2024年2月容桂交通灯维修保养项目</w:t>
      </w:r>
      <w:r>
        <w:rPr/>
        <w:t>（采购项目编号：</w:t>
      </w:r>
      <w:r>
        <w:rPr/>
        <w:t>440606-2023-01412</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3、如我公司被选为成交供应商，在成交结果公示后3日内向采购代理机构指定账户缴付代理服务费。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广东华伦招标有限公司</w:t>
      </w:r>
    </w:p>
    <w:p>
      <w:pPr>
        <w:ind w:firstLine="480"/>
      </w:pPr>
      <w:r>
        <w:rPr/>
        <w:t>我单位已登记并准备参与“</w:t>
      </w:r>
      <w:r>
        <w:rPr/>
        <w:t>容桂街道2023年3月-2024年2月容桂交通灯维修保养项目</w:t>
      </w:r>
      <w:r>
        <w:rPr/>
        <w:t>”项目（采购项目编号：</w:t>
      </w:r>
      <w:r>
        <w:rPr/>
        <w:t>440606-2023-01412</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