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53D59">
      <w:pPr>
        <w:jc w:val="center"/>
        <w:rPr>
          <w:rFonts w:hint="eastAsia" w:ascii="仿宋_GB2312" w:hAnsi="Arial" w:eastAsia="仿宋_GB2312" w:cs="Arial"/>
          <w:b/>
          <w:sz w:val="24"/>
          <w:szCs w:val="24"/>
        </w:rPr>
      </w:pPr>
      <w:bookmarkStart w:id="0" w:name="_Toc359310573"/>
      <w:bookmarkStart w:id="1" w:name="_Toc518605395"/>
      <w:bookmarkStart w:id="2" w:name="_Toc46738417"/>
      <w:bookmarkStart w:id="3" w:name="_Toc46738156"/>
      <w:bookmarkStart w:id="4" w:name="_Toc46738290"/>
      <w:bookmarkStart w:id="5" w:name="_Toc12118373"/>
      <w:bookmarkStart w:id="6" w:name="_Toc75917307"/>
      <w:bookmarkStart w:id="7" w:name="_Toc535633952"/>
      <w:r>
        <w:rPr>
          <w:rFonts w:hint="eastAsia" w:ascii="仿宋_GB2312" w:hAnsi="Arial" w:eastAsia="仿宋_GB2312" w:cs="Arial"/>
          <w:b/>
          <w:sz w:val="24"/>
          <w:szCs w:val="24"/>
        </w:rPr>
        <w:t>广州市红十字会医院202</w:t>
      </w:r>
      <w:r>
        <w:rPr>
          <w:rFonts w:hint="eastAsia" w:ascii="仿宋_GB2312" w:hAnsi="Arial" w:eastAsia="仿宋_GB2312" w:cs="Arial"/>
          <w:b/>
          <w:sz w:val="24"/>
          <w:szCs w:val="24"/>
          <w:lang w:val="en-US" w:eastAsia="zh-CN"/>
        </w:rPr>
        <w:t>6</w:t>
      </w:r>
      <w:r>
        <w:rPr>
          <w:rFonts w:hint="eastAsia" w:ascii="仿宋_GB2312" w:hAnsi="Arial" w:eastAsia="仿宋_GB2312" w:cs="Arial"/>
          <w:b/>
          <w:sz w:val="24"/>
          <w:szCs w:val="24"/>
        </w:rPr>
        <w:t>-202</w:t>
      </w:r>
      <w:r>
        <w:rPr>
          <w:rFonts w:hint="eastAsia" w:ascii="仿宋_GB2312" w:hAnsi="Arial" w:eastAsia="仿宋_GB2312" w:cs="Arial"/>
          <w:b/>
          <w:sz w:val="24"/>
          <w:szCs w:val="24"/>
          <w:lang w:val="en-US" w:eastAsia="zh-CN"/>
        </w:rPr>
        <w:t>7</w:t>
      </w:r>
      <w:r>
        <w:rPr>
          <w:rFonts w:hint="eastAsia" w:ascii="仿宋_GB2312" w:hAnsi="Arial" w:eastAsia="仿宋_GB2312" w:cs="Arial"/>
          <w:b/>
          <w:sz w:val="24"/>
          <w:szCs w:val="24"/>
        </w:rPr>
        <w:t>年信息化基础设施运行维护项目--采购需求</w:t>
      </w:r>
    </w:p>
    <w:p w14:paraId="0619C25B">
      <w:pPr>
        <w:jc w:val="center"/>
        <w:rPr>
          <w:rFonts w:hint="eastAsia" w:ascii="仿宋_GB2312" w:hAnsi="Arial" w:eastAsia="仿宋_GB2312" w:cs="Arial"/>
          <w:b/>
          <w:sz w:val="24"/>
          <w:szCs w:val="24"/>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4F1A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3" w:type="dxa"/>
            <w:vAlign w:val="center"/>
          </w:tcPr>
          <w:p w14:paraId="2AE8398D">
            <w:pPr>
              <w:ind w:left="105" w:leftChars="50" w:right="105" w:rightChars="50"/>
              <w:rPr>
                <w:rFonts w:hint="eastAsia" w:ascii="仿宋_GB2312" w:hAnsi="宋体" w:eastAsia="仿宋_GB2312" w:cs="宋体"/>
                <w:szCs w:val="21"/>
              </w:rPr>
            </w:pPr>
            <w:bookmarkStart w:id="8" w:name="RANGE!A5:J806"/>
            <w:r>
              <w:rPr>
                <w:rFonts w:hint="eastAsia" w:ascii="仿宋_GB2312" w:hAnsi="仿宋" w:eastAsia="仿宋_GB2312" w:cs="宋体"/>
                <w:b/>
                <w:bCs/>
                <w:kern w:val="0"/>
                <w:sz w:val="24"/>
                <w:szCs w:val="24"/>
              </w:rPr>
              <w:t>一、采购预算</w:t>
            </w:r>
            <w:bookmarkEnd w:id="8"/>
          </w:p>
        </w:tc>
      </w:tr>
      <w:tr w14:paraId="06F5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2F736CE1">
            <w:pPr>
              <w:ind w:left="105" w:leftChars="50" w:right="105" w:rightChars="50"/>
              <w:rPr>
                <w:rFonts w:hint="eastAsia" w:ascii="仿宋_GB2312" w:hAnsi="宋体" w:eastAsia="仿宋_GB2312" w:cs="宋体"/>
                <w:szCs w:val="21"/>
              </w:rPr>
            </w:pPr>
            <w:r>
              <w:rPr>
                <w:rFonts w:hint="eastAsia" w:ascii="仿宋_GB2312" w:hAnsi="仿宋" w:eastAsia="仿宋_GB2312" w:cs="宋体"/>
                <w:kern w:val="0"/>
                <w:szCs w:val="21"/>
              </w:rPr>
              <w:t>★人民币壹佰伍拾陆万捌仟元整（￥1568000.00元）</w:t>
            </w:r>
          </w:p>
        </w:tc>
      </w:tr>
      <w:tr w14:paraId="6F8A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03EF69EC">
            <w:pPr>
              <w:ind w:left="105" w:leftChars="50" w:right="105" w:rightChars="50"/>
              <w:rPr>
                <w:rFonts w:hint="eastAsia" w:ascii="仿宋_GB2312" w:hAnsi="宋体" w:eastAsia="仿宋_GB2312" w:cs="宋体"/>
                <w:szCs w:val="21"/>
              </w:rPr>
            </w:pPr>
            <w:r>
              <w:rPr>
                <w:rFonts w:hint="eastAsia" w:ascii="仿宋_GB2312" w:hAnsi="仿宋" w:eastAsia="仿宋_GB2312" w:cs="宋体"/>
                <w:b/>
                <w:bCs/>
                <w:kern w:val="0"/>
                <w:sz w:val="24"/>
                <w:szCs w:val="24"/>
              </w:rPr>
              <w:t>二、资格要求</w:t>
            </w:r>
          </w:p>
        </w:tc>
      </w:tr>
      <w:tr w14:paraId="566B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D7964C3">
            <w:pPr>
              <w:ind w:left="105" w:right="105" w:rightChars="50"/>
              <w:rPr>
                <w:rFonts w:hint="eastAsia" w:ascii="仿宋_GB2312" w:hAnsi="仿宋" w:eastAsia="仿宋_GB2312" w:cs="宋体"/>
                <w:color w:val="auto"/>
                <w:kern w:val="0"/>
                <w:szCs w:val="21"/>
                <w:highlight w:val="none"/>
              </w:rPr>
            </w:pPr>
            <w:r>
              <w:rPr>
                <w:rFonts w:hint="eastAsia" w:ascii="仿宋_GB2312" w:hAnsi="仿宋" w:eastAsia="仿宋_GB2312" w:cs="宋体"/>
                <w:color w:val="auto"/>
                <w:kern w:val="0"/>
                <w:szCs w:val="21"/>
                <w:highlight w:val="none"/>
              </w:rPr>
              <w:t>1、符合《政府采购法》第二十二条供应商资格条件：分支机构响应的，还须提供分支机构的营业执照（执业许可证）扫描件及总公司（总所）出具给分支机构的授权书。</w:t>
            </w:r>
          </w:p>
          <w:p w14:paraId="46659680">
            <w:pPr>
              <w:ind w:left="105" w:right="105" w:rightChars="50"/>
              <w:rPr>
                <w:rFonts w:hint="eastAsia" w:ascii="仿宋_GB2312" w:hAnsi="仿宋" w:eastAsia="仿宋_GB2312" w:cs="宋体"/>
                <w:color w:val="auto"/>
                <w:kern w:val="0"/>
                <w:szCs w:val="21"/>
                <w:highlight w:val="none"/>
              </w:rPr>
            </w:pPr>
            <w:r>
              <w:rPr>
                <w:rFonts w:hint="eastAsia" w:ascii="仿宋_GB2312" w:hAnsi="仿宋_GB2312" w:eastAsia="仿宋_GB2312" w:cs="仿宋_GB2312"/>
                <w:color w:val="auto"/>
                <w:kern w:val="0"/>
                <w:szCs w:val="21"/>
                <w:highlight w:val="none"/>
              </w:rPr>
              <w:t>★</w:t>
            </w:r>
            <w:r>
              <w:rPr>
                <w:rFonts w:hint="eastAsia" w:ascii="仿宋_GB2312" w:hAnsi="仿宋" w:eastAsia="仿宋_GB2312" w:cs="宋体"/>
                <w:color w:val="auto"/>
                <w:kern w:val="0"/>
                <w:szCs w:val="21"/>
                <w:highlight w:val="none"/>
              </w:rPr>
              <w:t>2、本项目</w:t>
            </w:r>
            <w:r>
              <w:rPr>
                <w:rFonts w:hint="eastAsia" w:ascii="仿宋_GB2312" w:hAnsi="仿宋" w:eastAsia="仿宋_GB2312" w:cs="宋体"/>
                <w:color w:val="auto"/>
                <w:kern w:val="0"/>
                <w:szCs w:val="21"/>
                <w:highlight w:val="none"/>
                <w:lang w:val="en-US" w:eastAsia="zh-CN"/>
              </w:rPr>
              <w:t>中的</w:t>
            </w:r>
            <w:r>
              <w:rPr>
                <w:rFonts w:hint="eastAsia" w:ascii="仿宋_GB2312" w:hAnsi="仿宋" w:eastAsia="仿宋_GB2312" w:cs="宋体"/>
                <w:color w:val="FF0000"/>
                <w:kern w:val="0"/>
                <w:szCs w:val="21"/>
                <w:highlight w:val="none"/>
                <w:lang w:val="en-US" w:eastAsia="zh-CN"/>
              </w:rPr>
              <w:t>深信服防火墙、</w:t>
            </w:r>
            <w:r>
              <w:rPr>
                <w:rFonts w:hint="eastAsia" w:ascii="仿宋_GB2312" w:hAnsi="仿宋" w:eastAsia="仿宋_GB2312" w:cs="宋体"/>
                <w:color w:val="auto"/>
                <w:kern w:val="0"/>
                <w:szCs w:val="21"/>
                <w:highlight w:val="none"/>
              </w:rPr>
              <w:t>终端</w:t>
            </w:r>
            <w:r>
              <w:rPr>
                <w:rFonts w:hint="eastAsia" w:ascii="仿宋_GB2312" w:hAnsi="仿宋" w:eastAsia="仿宋_GB2312" w:cs="宋体"/>
                <w:color w:val="auto"/>
                <w:kern w:val="0"/>
                <w:szCs w:val="21"/>
                <w:highlight w:val="none"/>
                <w:lang w:val="en-US" w:eastAsia="zh-CN"/>
              </w:rPr>
              <w:t>杀毒产品</w:t>
            </w:r>
            <w:r>
              <w:rPr>
                <w:rFonts w:hint="eastAsia" w:ascii="仿宋_GB2312" w:hAnsi="仿宋" w:eastAsia="仿宋_GB2312" w:cs="宋体"/>
                <w:color w:val="auto"/>
                <w:kern w:val="0"/>
                <w:szCs w:val="21"/>
                <w:highlight w:val="none"/>
              </w:rPr>
              <w:t>和服务器防病毒产品须购</w:t>
            </w:r>
            <w:r>
              <w:rPr>
                <w:rFonts w:hint="eastAsia" w:ascii="仿宋_GB2312" w:hAnsi="仿宋" w:eastAsia="仿宋_GB2312" w:cs="宋体"/>
                <w:color w:val="auto"/>
                <w:kern w:val="0"/>
                <w:szCs w:val="21"/>
                <w:highlight w:val="none"/>
                <w:lang w:val="en-US" w:eastAsia="zh-CN"/>
              </w:rPr>
              <w:t>原厂</w:t>
            </w:r>
            <w:r>
              <w:rPr>
                <w:rFonts w:hint="eastAsia" w:ascii="仿宋_GB2312" w:hAnsi="仿宋" w:eastAsia="仿宋_GB2312" w:cs="宋体"/>
                <w:color w:val="auto"/>
                <w:kern w:val="0"/>
                <w:szCs w:val="21"/>
                <w:highlight w:val="none"/>
              </w:rPr>
              <w:t>服务，以保证产品特征库能有效升级，需同时提供我院在用产品原厂授权及售后服务承诺</w:t>
            </w:r>
            <w:r>
              <w:rPr>
                <w:rFonts w:hint="eastAsia" w:ascii="仿宋_GB2312" w:hAnsi="仿宋" w:eastAsia="仿宋_GB2312" w:cs="宋体"/>
                <w:color w:val="auto"/>
                <w:kern w:val="0"/>
                <w:szCs w:val="21"/>
                <w:highlight w:val="none"/>
                <w:lang w:val="en-US" w:eastAsia="zh-CN"/>
              </w:rPr>
              <w:t>并加盖原厂商公章</w:t>
            </w:r>
            <w:r>
              <w:rPr>
                <w:rFonts w:hint="eastAsia" w:ascii="仿宋_GB2312" w:hAnsi="仿宋" w:eastAsia="仿宋_GB2312" w:cs="宋体"/>
                <w:color w:val="auto"/>
                <w:kern w:val="0"/>
                <w:szCs w:val="21"/>
                <w:highlight w:val="none"/>
              </w:rPr>
              <w:t>。</w:t>
            </w:r>
          </w:p>
          <w:p w14:paraId="5A39D25E">
            <w:pPr>
              <w:ind w:left="105" w:right="105" w:rightChars="50"/>
              <w:rPr>
                <w:rFonts w:hint="eastAsia" w:ascii="仿宋_GB2312" w:hAnsi="仿宋" w:eastAsia="仿宋_GB2312" w:cs="宋体"/>
                <w:color w:val="auto"/>
                <w:kern w:val="0"/>
                <w:szCs w:val="21"/>
                <w:highlight w:val="none"/>
              </w:rPr>
            </w:pPr>
            <w:r>
              <w:rPr>
                <w:rFonts w:hint="eastAsia" w:ascii="仿宋_GB2312" w:hAnsi="仿宋_GB2312" w:eastAsia="仿宋_GB2312" w:cs="仿宋_GB2312"/>
                <w:color w:val="auto"/>
                <w:kern w:val="0"/>
                <w:szCs w:val="21"/>
                <w:highlight w:val="none"/>
              </w:rPr>
              <w:t>★</w:t>
            </w:r>
            <w:r>
              <w:rPr>
                <w:rFonts w:hint="eastAsia" w:ascii="仿宋_GB2312" w:hAnsi="仿宋" w:eastAsia="仿宋_GB2312" w:cs="宋体"/>
                <w:color w:val="auto"/>
                <w:kern w:val="0"/>
                <w:szCs w:val="21"/>
                <w:highlight w:val="none"/>
              </w:rPr>
              <w:t>3、本项目须购买</w:t>
            </w:r>
            <w:r>
              <w:rPr>
                <w:rFonts w:hint="eastAsia" w:ascii="仿宋_GB2312" w:hAnsi="仿宋" w:eastAsia="仿宋_GB2312" w:cs="宋体"/>
                <w:color w:val="auto"/>
                <w:kern w:val="0"/>
                <w:szCs w:val="21"/>
                <w:highlight w:val="none"/>
                <w:lang w:val="en-US" w:eastAsia="zh-CN"/>
              </w:rPr>
              <w:t>数字</w:t>
            </w:r>
            <w:r>
              <w:rPr>
                <w:rFonts w:hint="eastAsia" w:ascii="仿宋_GB2312" w:hAnsi="仿宋" w:eastAsia="仿宋_GB2312" w:cs="宋体"/>
                <w:color w:val="auto"/>
                <w:kern w:val="0"/>
                <w:szCs w:val="21"/>
                <w:highlight w:val="none"/>
              </w:rPr>
              <w:t>证书年度服务,为保证</w:t>
            </w:r>
            <w:r>
              <w:rPr>
                <w:rFonts w:hint="eastAsia" w:ascii="仿宋_GB2312" w:hAnsi="仿宋" w:eastAsia="仿宋_GB2312" w:cs="宋体"/>
                <w:color w:val="auto"/>
                <w:kern w:val="0"/>
                <w:szCs w:val="21"/>
                <w:highlight w:val="none"/>
                <w:lang w:val="en-US" w:eastAsia="zh-CN"/>
              </w:rPr>
              <w:t>系统</w:t>
            </w:r>
            <w:r>
              <w:rPr>
                <w:rFonts w:hint="eastAsia" w:ascii="仿宋_GB2312" w:hAnsi="仿宋" w:eastAsia="仿宋_GB2312" w:cs="宋体"/>
                <w:color w:val="auto"/>
                <w:kern w:val="0"/>
                <w:szCs w:val="21"/>
                <w:highlight w:val="none"/>
              </w:rPr>
              <w:t>正常使用需同时提供我院在用</w:t>
            </w:r>
            <w:r>
              <w:rPr>
                <w:rFonts w:hint="eastAsia" w:ascii="仿宋_GB2312" w:hAnsi="仿宋" w:eastAsia="仿宋_GB2312" w:cs="宋体"/>
                <w:color w:val="auto"/>
                <w:kern w:val="0"/>
                <w:szCs w:val="21"/>
                <w:highlight w:val="none"/>
                <w:lang w:val="en-US" w:eastAsia="zh-CN"/>
              </w:rPr>
              <w:t>证书</w:t>
            </w:r>
            <w:r>
              <w:rPr>
                <w:rFonts w:hint="eastAsia" w:ascii="仿宋_GB2312" w:hAnsi="仿宋" w:eastAsia="仿宋_GB2312" w:cs="宋体"/>
                <w:color w:val="auto"/>
                <w:kern w:val="0"/>
                <w:szCs w:val="21"/>
                <w:highlight w:val="none"/>
              </w:rPr>
              <w:t>原厂授权及售后服务承诺</w:t>
            </w:r>
            <w:r>
              <w:rPr>
                <w:rFonts w:hint="eastAsia" w:ascii="仿宋_GB2312" w:hAnsi="仿宋" w:eastAsia="仿宋_GB2312" w:cs="宋体"/>
                <w:color w:val="auto"/>
                <w:kern w:val="0"/>
                <w:szCs w:val="21"/>
                <w:highlight w:val="none"/>
                <w:lang w:val="en-US" w:eastAsia="zh-CN"/>
              </w:rPr>
              <w:t>并加盖原厂商公章</w:t>
            </w:r>
            <w:r>
              <w:rPr>
                <w:rFonts w:hint="eastAsia" w:ascii="仿宋_GB2312" w:hAnsi="仿宋" w:eastAsia="仿宋_GB2312" w:cs="宋体"/>
                <w:color w:val="auto"/>
                <w:kern w:val="0"/>
                <w:szCs w:val="21"/>
                <w:highlight w:val="none"/>
              </w:rPr>
              <w:t>。</w:t>
            </w:r>
          </w:p>
          <w:p w14:paraId="514E7A9E">
            <w:pPr>
              <w:ind w:left="105" w:leftChars="50"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4、本项目不接受联合体响应。</w:t>
            </w:r>
          </w:p>
        </w:tc>
      </w:tr>
      <w:tr w14:paraId="7173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258CB7C5">
            <w:pPr>
              <w:ind w:left="105" w:leftChars="50" w:right="105" w:rightChars="50"/>
              <w:rPr>
                <w:rFonts w:ascii="仿宋_GB2312" w:eastAsia="仿宋_GB2312"/>
                <w:szCs w:val="21"/>
              </w:rPr>
            </w:pPr>
            <w:r>
              <w:rPr>
                <w:rFonts w:hint="eastAsia" w:ascii="仿宋_GB2312" w:hAnsi="仿宋" w:eastAsia="仿宋_GB2312" w:cs="宋体"/>
                <w:b/>
                <w:bCs/>
                <w:kern w:val="0"/>
                <w:sz w:val="24"/>
                <w:szCs w:val="24"/>
              </w:rPr>
              <w:t>三、采购范围</w:t>
            </w:r>
          </w:p>
        </w:tc>
      </w:tr>
      <w:tr w14:paraId="411C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9DC0FE5">
            <w:pPr>
              <w:pStyle w:val="50"/>
              <w:ind w:left="105" w:leftChars="50" w:right="105" w:rightChars="50" w:firstLine="420" w:firstLineChars="200"/>
              <w:rPr>
                <w:rFonts w:hint="eastAsia" w:ascii="仿宋_GB2312" w:hAnsi="仿宋" w:eastAsia="仿宋_GB2312" w:cs="宋体"/>
                <w:kern w:val="0"/>
                <w:szCs w:val="21"/>
              </w:rPr>
            </w:pPr>
            <w:bookmarkStart w:id="9" w:name="项目本期主要内容"/>
            <w:r>
              <w:rPr>
                <w:rFonts w:hint="eastAsia" w:ascii="仿宋_GB2312" w:hAnsi="仿宋" w:eastAsia="仿宋_GB2312" w:cs="宋体"/>
                <w:kern w:val="0"/>
                <w:szCs w:val="21"/>
              </w:rPr>
              <w:t>对</w:t>
            </w:r>
            <w:r>
              <w:rPr>
                <w:rFonts w:hint="eastAsia" w:ascii="仿宋_GB2312" w:hAnsi="仿宋" w:eastAsia="仿宋_GB2312" w:cs="宋体"/>
                <w:kern w:val="0"/>
                <w:szCs w:val="21"/>
              </w:rPr>
              <w:fldChar w:fldCharType="begin"/>
            </w:r>
            <w:r>
              <w:rPr>
                <w:rFonts w:hint="eastAsia" w:ascii="仿宋_GB2312" w:hAnsi="仿宋" w:eastAsia="仿宋_GB2312" w:cs="宋体"/>
                <w:kern w:val="0"/>
                <w:szCs w:val="21"/>
              </w:rPr>
              <w:instrText xml:space="preserve">REF 单位名称 \h  \* MERGEFORMAT </w:instrText>
            </w:r>
            <w:r>
              <w:rPr>
                <w:rFonts w:hint="eastAsia" w:ascii="仿宋_GB2312" w:hAnsi="仿宋" w:eastAsia="仿宋_GB2312" w:cs="宋体"/>
                <w:kern w:val="0"/>
                <w:szCs w:val="21"/>
              </w:rPr>
              <w:fldChar w:fldCharType="separate"/>
            </w:r>
            <w:r>
              <w:rPr>
                <w:rFonts w:hint="eastAsia" w:ascii="仿宋_GB2312" w:hAnsi="仿宋" w:eastAsia="仿宋_GB2312" w:cs="宋体"/>
                <w:kern w:val="0"/>
                <w:szCs w:val="21"/>
              </w:rPr>
              <w:t>广州市红十字会医院</w:t>
            </w:r>
            <w:r>
              <w:rPr>
                <w:rFonts w:hint="eastAsia" w:ascii="仿宋_GB2312" w:hAnsi="仿宋" w:eastAsia="仿宋_GB2312" w:cs="宋体"/>
                <w:kern w:val="0"/>
                <w:szCs w:val="21"/>
              </w:rPr>
              <w:fldChar w:fldCharType="end"/>
            </w:r>
            <w:r>
              <w:rPr>
                <w:rFonts w:hint="eastAsia" w:ascii="仿宋_GB2312" w:hAnsi="仿宋" w:eastAsia="仿宋_GB2312" w:cs="宋体"/>
                <w:kern w:val="0"/>
                <w:szCs w:val="21"/>
              </w:rPr>
              <w:t>信息化机房、服务器及存储系统、网络系统、网络安全设备、桌面终端的运行维护，部分保外网络安全设备原厂服务续保、网证通数字证书年度服务费等。运维设备包括</w:t>
            </w:r>
            <w:r>
              <w:rPr>
                <w:rFonts w:hint="eastAsia" w:ascii="仿宋_GB2312" w:hAnsi="仿宋" w:eastAsia="仿宋_GB2312" w:cs="宋体"/>
                <w:kern w:val="0"/>
                <w:szCs w:val="21"/>
              </w:rPr>
              <w:fldChar w:fldCharType="begin"/>
            </w:r>
            <w:r>
              <w:rPr>
                <w:rFonts w:hint="eastAsia" w:ascii="仿宋_GB2312" w:hAnsi="仿宋" w:eastAsia="仿宋_GB2312" w:cs="宋体"/>
                <w:kern w:val="0"/>
                <w:szCs w:val="21"/>
              </w:rPr>
              <w:instrText xml:space="preserve">REF 单位名称 \h  \* MERGEFORMAT </w:instrText>
            </w:r>
            <w:r>
              <w:rPr>
                <w:rFonts w:hint="eastAsia" w:ascii="仿宋_GB2312" w:hAnsi="仿宋" w:eastAsia="仿宋_GB2312" w:cs="宋体"/>
                <w:kern w:val="0"/>
                <w:szCs w:val="21"/>
              </w:rPr>
              <w:fldChar w:fldCharType="separate"/>
            </w:r>
            <w:r>
              <w:rPr>
                <w:rFonts w:hint="eastAsia" w:ascii="仿宋_GB2312" w:hAnsi="仿宋" w:eastAsia="仿宋_GB2312" w:cs="宋体"/>
                <w:kern w:val="0"/>
                <w:szCs w:val="21"/>
              </w:rPr>
              <w:t>广州市红十字会医院</w:t>
            </w:r>
            <w:r>
              <w:rPr>
                <w:rFonts w:hint="eastAsia" w:ascii="仿宋_GB2312" w:hAnsi="仿宋" w:eastAsia="仿宋_GB2312" w:cs="宋体"/>
                <w:kern w:val="0"/>
                <w:szCs w:val="21"/>
              </w:rPr>
              <w:fldChar w:fldCharType="end"/>
            </w:r>
            <w:r>
              <w:rPr>
                <w:rFonts w:hint="eastAsia" w:ascii="仿宋_GB2312" w:hAnsi="仿宋" w:eastAsia="仿宋_GB2312" w:cs="宋体"/>
                <w:kern w:val="0"/>
                <w:szCs w:val="21"/>
              </w:rPr>
              <w:t>在用的全部信息化设备，服务地点包括同福中院本部、昌岗分院、白云院区，具体设备以医院现场实际使用情况为准。</w:t>
            </w:r>
            <w:bookmarkEnd w:id="9"/>
          </w:p>
          <w:p w14:paraId="22233272">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（一）桌面运维服务</w:t>
            </w:r>
          </w:p>
          <w:p w14:paraId="35C56ACE">
            <w:pPr>
              <w:pStyle w:val="50"/>
              <w:ind w:right="105" w:rightChars="50"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对广州市红十字会医院已入库的办公电脑、打印机、扫描仪等一般桌面办公设备及LED屏、远程会诊系统、排队叫号系统等进行日常维护和技术保障，保障设备安全稳定运行，满足院内职工的办公需要。</w:t>
            </w:r>
          </w:p>
          <w:p w14:paraId="10904FB2">
            <w:pPr>
              <w:pStyle w:val="50"/>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包含：</w:t>
            </w:r>
          </w:p>
          <w:p w14:paraId="6B1A527A">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1、日常保养维护</w:t>
            </w:r>
          </w:p>
          <w:p w14:paraId="62889108">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对桌面设备进行巡检、保养，以保障设备运行正常；</w:t>
            </w:r>
          </w:p>
          <w:p w14:paraId="48BF9672">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软硬件的升级、设备的搬迁调整</w:t>
            </w:r>
          </w:p>
          <w:p w14:paraId="3CA6EAB8">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进行桌面设备普查工作，建设可实现动态维护的硬件设备档案库；</w:t>
            </w:r>
          </w:p>
          <w:p w14:paraId="15FF1606">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服务中配合检查硬件实际配置与设备登记表是否相符。</w:t>
            </w:r>
          </w:p>
          <w:p w14:paraId="7ABB8045">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2、设备故障处理</w:t>
            </w:r>
          </w:p>
          <w:p w14:paraId="4C594BE6">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对故障原因进行排查，定位；</w:t>
            </w:r>
          </w:p>
          <w:p w14:paraId="0947AFB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在规定响应时限内恢复故障；</w:t>
            </w:r>
          </w:p>
          <w:p w14:paraId="6DFE8B41">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及时汇报故障处理情况，做好处理工单记录；</w:t>
            </w:r>
          </w:p>
          <w:p w14:paraId="5EE62A41">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每月提供工单统计报表；</w:t>
            </w:r>
          </w:p>
          <w:p w14:paraId="2D20C38C">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3、故障设备的维修</w:t>
            </w:r>
          </w:p>
          <w:p w14:paraId="34BC41DE">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在响应时间内完成故障设备的故障处理；</w:t>
            </w:r>
          </w:p>
          <w:p w14:paraId="29B07A8F">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对关键重点岗位及紧急的故障及时响应并及时汇报；</w:t>
            </w:r>
          </w:p>
          <w:p w14:paraId="6D18065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协助用户单位对故障设备送外维修或更换零配件提供人工服务（不包含办公设备外送维修费用、零配件更换费用及耗材费用）。</w:t>
            </w:r>
          </w:p>
          <w:p w14:paraId="49E8FF95">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桌面端设备故障排查所需的软、硬件工具及配件由服务方自行提供（包括测试用的CPU、内存、主板、显卡、声卡、网卡、测线器、螺丝刀等等）。</w:t>
            </w:r>
          </w:p>
          <w:p w14:paraId="1AD5A3F7">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4、数据维护</w:t>
            </w:r>
          </w:p>
          <w:p w14:paraId="7D8BCF47">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根据具体用户的实际需要，提供定期对有需要的客户端的系统优化和数据整理服务；</w:t>
            </w:r>
          </w:p>
          <w:p w14:paraId="0799BB6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根据具体用户的实际需要，对于需送专业维修点检测的设备，协助对于敏感或重要的数据进行相应安全保密处理；</w:t>
            </w:r>
          </w:p>
          <w:p w14:paraId="5043917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根据的要求备份指定数据，协助拟制桌面设备最新维护、优化、管理信息。</w:t>
            </w:r>
          </w:p>
          <w:p w14:paraId="6D06747D">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5、终端软件维护</w:t>
            </w:r>
          </w:p>
          <w:p w14:paraId="14E99D7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操作系统的安装、调试及升级；</w:t>
            </w:r>
          </w:p>
          <w:p w14:paraId="03335ADD">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外设（打印机、扫描仪等设备）的相关驱动程序及软件的安装调试；</w:t>
            </w:r>
          </w:p>
          <w:p w14:paraId="7E018A4B">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经授权进行软件安装、升级并排除软件使用过程中的故障；</w:t>
            </w:r>
          </w:p>
          <w:p w14:paraId="1B026B53">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解决软件冲突造成的系统故障；</w:t>
            </w:r>
          </w:p>
          <w:p w14:paraId="30EC7781">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计算机标配的软件备份，包括随机恢复光盘，附带赠送软件、驱动程序等；</w:t>
            </w:r>
          </w:p>
          <w:p w14:paraId="5DD69BB1">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计算机外设的软件备份。</w:t>
            </w:r>
          </w:p>
          <w:p w14:paraId="36AD82C8">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6、优化改善服务</w:t>
            </w:r>
          </w:p>
          <w:p w14:paraId="48BFE683">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根据具体用户的实际需要，对有需要的客户端的系统优化和磁盘数据整理服务；</w:t>
            </w:r>
          </w:p>
          <w:p w14:paraId="2D729C10">
            <w:pPr>
              <w:pStyle w:val="50"/>
              <w:numPr>
                <w:ilvl w:val="0"/>
                <w:numId w:val="1"/>
              </w:numPr>
              <w:ind w:right="105" w:rightChars="50"/>
              <w:rPr>
                <w:rFonts w:hint="eastAsia" w:ascii="仿宋_GB2312" w:hAnsi="仿宋" w:eastAsia="仿宋_GB2312" w:cs="宋体"/>
                <w:b/>
                <w:bCs/>
                <w:kern w:val="0"/>
                <w:szCs w:val="21"/>
              </w:rPr>
            </w:pPr>
            <w:r>
              <w:rPr>
                <w:rFonts w:hint="eastAsia" w:ascii="仿宋_GB2312" w:hAnsi="仿宋" w:eastAsia="仿宋_GB2312" w:cs="宋体"/>
                <w:kern w:val="0"/>
                <w:szCs w:val="21"/>
              </w:rPr>
              <w:t>根据用户操作习惯，优化系统启动服务、系统配置、注册等。</w:t>
            </w:r>
          </w:p>
          <w:p w14:paraId="295BFD4E">
            <w:pPr>
              <w:pStyle w:val="50"/>
              <w:ind w:right="105" w:rightChars="50"/>
              <w:rPr>
                <w:rFonts w:hint="eastAsia" w:ascii="仿宋_GB2312" w:hAnsi="仿宋" w:eastAsia="仿宋_GB2312" w:cs="宋体"/>
                <w:b/>
                <w:bCs/>
                <w:kern w:val="0"/>
                <w:szCs w:val="21"/>
              </w:rPr>
            </w:pPr>
          </w:p>
          <w:p w14:paraId="2E665B93">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（二） 信息化基础架构运维服务</w:t>
            </w:r>
          </w:p>
          <w:p w14:paraId="799A8C0F">
            <w:pPr>
              <w:pStyle w:val="50"/>
              <w:ind w:right="105" w:rightChars="50"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对广州市红十字会医院一院三区的信息化基础设施进行运行维护，包括机房、服务器及存储系统、网络系统、网络安全设备基础运维。</w:t>
            </w:r>
          </w:p>
          <w:p w14:paraId="5686F8D1">
            <w:pPr>
              <w:pStyle w:val="50"/>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包含：</w:t>
            </w:r>
          </w:p>
          <w:p w14:paraId="09DDE124">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1、服务器维护</w:t>
            </w:r>
          </w:p>
          <w:p w14:paraId="1A544765">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设备主机、环境保养</w:t>
            </w:r>
          </w:p>
          <w:p w14:paraId="64CB3220">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操作系统维护</w:t>
            </w:r>
          </w:p>
          <w:p w14:paraId="08FE0A49">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服务器及存储系统故障检测及排除</w:t>
            </w:r>
          </w:p>
          <w:p w14:paraId="7E433E97">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操作系统重部署及调试</w:t>
            </w:r>
          </w:p>
          <w:p w14:paraId="7BD6D71F">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服务器及存储维修及备件提供</w:t>
            </w:r>
          </w:p>
          <w:p w14:paraId="276D6BE8">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2、网络系统维护</w:t>
            </w:r>
          </w:p>
          <w:p w14:paraId="5CF11125">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涉及到包括交换机等网络设备及客户要求维护的涉及主干专线线路正常运行的相关网络设备的硬件及环境保养，并包含维护期内新增加的网络</w:t>
            </w:r>
          </w:p>
          <w:p w14:paraId="2E6FC48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系统性能日常维护</w:t>
            </w:r>
          </w:p>
          <w:p w14:paraId="490976EF">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系统故障检测及排除</w:t>
            </w:r>
          </w:p>
          <w:p w14:paraId="7082DAF3">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网络系统重部署及调试</w:t>
            </w:r>
          </w:p>
          <w:p w14:paraId="32D3BD79">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设备主机维修及备件提供</w:t>
            </w:r>
          </w:p>
          <w:p w14:paraId="304378A8">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主机固件软件版本升级更新</w:t>
            </w:r>
          </w:p>
          <w:p w14:paraId="6580E9BC">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3、机房维护</w:t>
            </w:r>
          </w:p>
          <w:p w14:paraId="72D0217D">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机房设备及环境保养</w:t>
            </w:r>
          </w:p>
          <w:p w14:paraId="3F06C7C0">
            <w:pPr>
              <w:pStyle w:val="50"/>
              <w:numPr>
                <w:ilvl w:val="0"/>
                <w:numId w:val="1"/>
              </w:numPr>
              <w:ind w:right="105" w:rightChars="50"/>
              <w:rPr>
                <w:rFonts w:hint="eastAsia" w:ascii="仿宋_GB2312" w:hAnsi="仿宋" w:eastAsia="仿宋_GB2312" w:cs="宋体"/>
                <w:kern w:val="0"/>
                <w:szCs w:val="21"/>
                <w:highlight w:val="none"/>
              </w:rPr>
            </w:pPr>
            <w:r>
              <w:rPr>
                <w:rFonts w:hint="eastAsia" w:ascii="仿宋_GB2312" w:hAnsi="仿宋" w:eastAsia="仿宋_GB2312" w:cs="宋体"/>
                <w:kern w:val="0"/>
                <w:szCs w:val="21"/>
                <w:highlight w:val="none"/>
              </w:rPr>
              <w:t>机房日常维护</w:t>
            </w:r>
          </w:p>
          <w:p w14:paraId="6CB9A991">
            <w:pPr>
              <w:pStyle w:val="50"/>
              <w:numPr>
                <w:ilvl w:val="0"/>
                <w:numId w:val="1"/>
              </w:numPr>
              <w:ind w:right="105" w:rightChars="50"/>
              <w:rPr>
                <w:rFonts w:hint="eastAsia" w:ascii="仿宋_GB2312" w:hAnsi="仿宋" w:eastAsia="仿宋_GB2312" w:cs="宋体"/>
                <w:kern w:val="0"/>
                <w:szCs w:val="21"/>
                <w:highlight w:val="none"/>
              </w:rPr>
            </w:pPr>
            <w:r>
              <w:rPr>
                <w:rFonts w:hint="eastAsia" w:ascii="仿宋_GB2312" w:hAnsi="仿宋" w:eastAsia="仿宋_GB2312" w:cs="宋体"/>
                <w:kern w:val="0"/>
                <w:szCs w:val="21"/>
                <w:highlight w:val="none"/>
              </w:rPr>
              <w:t>机房设备安全策略制定和更新</w:t>
            </w:r>
          </w:p>
          <w:p w14:paraId="30999330">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机房设备系统故障检测及排除</w:t>
            </w:r>
          </w:p>
          <w:p w14:paraId="6FF7153F">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机房设备部署及调试</w:t>
            </w:r>
          </w:p>
          <w:p w14:paraId="47E22881">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机房设备维护及备件提供</w:t>
            </w:r>
          </w:p>
          <w:p w14:paraId="1676AC17">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机房设备相关软件版本升级更新</w:t>
            </w:r>
          </w:p>
          <w:p w14:paraId="592F34D7">
            <w:pPr>
              <w:pStyle w:val="50"/>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4、网络安全基础运维</w:t>
            </w:r>
          </w:p>
          <w:p w14:paraId="5E6EA9AB">
            <w:pPr>
              <w:pStyle w:val="50"/>
              <w:numPr>
                <w:ilvl w:val="0"/>
                <w:numId w:val="1"/>
              </w:numPr>
              <w:ind w:right="105" w:rightChars="50"/>
              <w:rPr>
                <w:rFonts w:hint="eastAsia"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lang w:val="en-US" w:eastAsia="zh-CN"/>
                <w14:textFill>
                  <w14:solidFill>
                    <w14:schemeClr w14:val="tx1"/>
                  </w14:solidFill>
                </w14:textFill>
              </w:rPr>
              <w:t>配合院方安全服务工作要求对</w:t>
            </w:r>
            <w:r>
              <w:rPr>
                <w:rFonts w:hint="eastAsia" w:ascii="仿宋_GB2312" w:hAnsi="仿宋" w:eastAsia="仿宋_GB2312" w:cs="宋体"/>
                <w:color w:val="000000" w:themeColor="text1"/>
                <w:kern w:val="0"/>
                <w:szCs w:val="21"/>
                <w14:textFill>
                  <w14:solidFill>
                    <w14:schemeClr w14:val="tx1"/>
                  </w14:solidFill>
                </w14:textFill>
              </w:rPr>
              <w:t>网络安全设备</w:t>
            </w:r>
            <w:r>
              <w:rPr>
                <w:rFonts w:hint="eastAsia" w:ascii="仿宋_GB2312" w:hAnsi="仿宋" w:eastAsia="仿宋_GB2312" w:cs="宋体"/>
                <w:color w:val="000000" w:themeColor="text1"/>
                <w:kern w:val="0"/>
                <w:szCs w:val="21"/>
                <w:lang w:val="en-US" w:eastAsia="zh-CN"/>
                <w14:textFill>
                  <w14:solidFill>
                    <w14:schemeClr w14:val="tx1"/>
                  </w14:solidFill>
                </w14:textFill>
              </w:rPr>
              <w:t>进行基础</w:t>
            </w:r>
            <w:r>
              <w:rPr>
                <w:rFonts w:hint="eastAsia" w:ascii="仿宋_GB2312" w:hAnsi="仿宋" w:eastAsia="仿宋_GB2312" w:cs="宋体"/>
                <w:color w:val="000000" w:themeColor="text1"/>
                <w:kern w:val="0"/>
                <w:szCs w:val="21"/>
                <w14:textFill>
                  <w14:solidFill>
                    <w14:schemeClr w14:val="tx1"/>
                  </w14:solidFill>
                </w14:textFill>
              </w:rPr>
              <w:t>巡检</w:t>
            </w:r>
          </w:p>
          <w:p w14:paraId="4FF06BDA">
            <w:pPr>
              <w:pStyle w:val="50"/>
              <w:numPr>
                <w:ilvl w:val="0"/>
                <w:numId w:val="1"/>
              </w:numPr>
              <w:ind w:right="105" w:rightChars="50"/>
              <w:rPr>
                <w:rFonts w:hint="eastAsia"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lang w:val="en-US" w:eastAsia="zh-CN"/>
                <w14:textFill>
                  <w14:solidFill>
                    <w14:schemeClr w14:val="tx1"/>
                  </w14:solidFill>
                </w14:textFill>
              </w:rPr>
              <w:t>配合院方安全服务工作要求对</w:t>
            </w:r>
            <w:r>
              <w:rPr>
                <w:rFonts w:hint="eastAsia" w:ascii="仿宋_GB2312" w:hAnsi="仿宋" w:eastAsia="仿宋_GB2312" w:cs="宋体"/>
                <w:color w:val="000000" w:themeColor="text1"/>
                <w:kern w:val="0"/>
                <w:szCs w:val="21"/>
                <w14:textFill>
                  <w14:solidFill>
                    <w14:schemeClr w14:val="tx1"/>
                  </w14:solidFill>
                </w14:textFill>
              </w:rPr>
              <w:t>网络安全设备故障应急响应</w:t>
            </w:r>
          </w:p>
          <w:p w14:paraId="70E7D577">
            <w:pPr>
              <w:pStyle w:val="50"/>
              <w:numPr>
                <w:ilvl w:val="0"/>
                <w:numId w:val="1"/>
              </w:numPr>
              <w:ind w:right="105" w:rightChars="50"/>
              <w:rPr>
                <w:rFonts w:hint="eastAsia"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lang w:val="en-US" w:eastAsia="zh-CN"/>
                <w14:textFill>
                  <w14:solidFill>
                    <w14:schemeClr w14:val="tx1"/>
                  </w14:solidFill>
                </w14:textFill>
              </w:rPr>
              <w:t>配合院方安全服务工作要求对</w:t>
            </w:r>
            <w:r>
              <w:rPr>
                <w:rFonts w:hint="eastAsia" w:ascii="仿宋_GB2312" w:hAnsi="仿宋" w:eastAsia="仿宋_GB2312" w:cs="宋体"/>
                <w:color w:val="000000" w:themeColor="text1"/>
                <w:kern w:val="0"/>
                <w:szCs w:val="21"/>
                <w14:textFill>
                  <w14:solidFill>
                    <w14:schemeClr w14:val="tx1"/>
                  </w14:solidFill>
                </w14:textFill>
              </w:rPr>
              <w:t>设备部署</w:t>
            </w:r>
            <w:r>
              <w:rPr>
                <w:rFonts w:hint="eastAsia" w:ascii="仿宋_GB2312" w:hAnsi="仿宋" w:eastAsia="仿宋_GB2312" w:cs="宋体"/>
                <w:color w:val="000000" w:themeColor="text1"/>
                <w:kern w:val="0"/>
                <w:szCs w:val="21"/>
                <w:lang w:val="en-US" w:eastAsia="zh-CN"/>
                <w14:textFill>
                  <w14:solidFill>
                    <w14:schemeClr w14:val="tx1"/>
                  </w14:solidFill>
                </w14:textFill>
              </w:rPr>
              <w:t>工作</w:t>
            </w:r>
          </w:p>
          <w:p w14:paraId="55D96FA1">
            <w:pPr>
              <w:pStyle w:val="50"/>
              <w:numPr>
                <w:ilvl w:val="0"/>
                <w:numId w:val="1"/>
              </w:numPr>
              <w:ind w:right="105" w:rightChars="50"/>
              <w:rPr>
                <w:rFonts w:hint="eastAsia"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lang w:val="en-US" w:eastAsia="zh-CN"/>
                <w14:textFill>
                  <w14:solidFill>
                    <w14:schemeClr w14:val="tx1"/>
                  </w14:solidFill>
                </w14:textFill>
              </w:rPr>
              <w:t>配合院方安全服务工作要求对</w:t>
            </w:r>
            <w:r>
              <w:rPr>
                <w:rFonts w:hint="eastAsia" w:ascii="仿宋_GB2312" w:hAnsi="仿宋" w:eastAsia="仿宋_GB2312" w:cs="宋体"/>
                <w:color w:val="000000" w:themeColor="text1"/>
                <w:kern w:val="0"/>
                <w:szCs w:val="21"/>
                <w14:textFill>
                  <w14:solidFill>
                    <w14:schemeClr w14:val="tx1"/>
                  </w14:solidFill>
                </w14:textFill>
              </w:rPr>
              <w:t>网络安全设备固件软件版本升级更新</w:t>
            </w:r>
          </w:p>
          <w:p w14:paraId="01014156">
            <w:pPr>
              <w:pStyle w:val="50"/>
              <w:numPr>
                <w:ilvl w:val="0"/>
                <w:numId w:val="1"/>
              </w:numPr>
              <w:ind w:right="105" w:rightChars="50"/>
              <w:rPr>
                <w:rFonts w:hint="eastAsia"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CA证书202</w:t>
            </w:r>
            <w:r>
              <w:rPr>
                <w:rFonts w:hint="eastAsia" w:ascii="仿宋_GB2312" w:hAnsi="仿宋" w:eastAsia="仿宋_GB2312" w:cs="宋体"/>
                <w:color w:val="000000" w:themeColor="text1"/>
                <w:kern w:val="0"/>
                <w:szCs w:val="21"/>
                <w:lang w:val="en-US" w:eastAsia="zh-CN"/>
                <w14:textFill>
                  <w14:solidFill>
                    <w14:schemeClr w14:val="tx1"/>
                  </w14:solidFill>
                </w14:textFill>
              </w:rPr>
              <w:t>5</w:t>
            </w:r>
            <w:r>
              <w:rPr>
                <w:rFonts w:hint="eastAsia" w:ascii="仿宋_GB2312" w:hAnsi="仿宋" w:eastAsia="仿宋_GB2312" w:cs="宋体"/>
                <w:color w:val="000000" w:themeColor="text1"/>
                <w:kern w:val="0"/>
                <w:szCs w:val="21"/>
                <w14:textFill>
                  <w14:solidFill>
                    <w14:schemeClr w14:val="tx1"/>
                  </w14:solidFill>
                </w14:textFill>
              </w:rPr>
              <w:t>年度服务</w:t>
            </w:r>
          </w:p>
          <w:p w14:paraId="1C21065A">
            <w:pPr>
              <w:pStyle w:val="50"/>
              <w:numPr>
                <w:ilvl w:val="0"/>
                <w:numId w:val="1"/>
              </w:numPr>
              <w:ind w:right="105" w:rightChars="50"/>
              <w:rPr>
                <w:rFonts w:hint="eastAsia" w:ascii="仿宋_GB2312" w:hAnsi="仿宋" w:eastAsia="仿宋_GB2312" w:cs="宋体"/>
                <w:color w:val="auto"/>
                <w:kern w:val="0"/>
                <w:szCs w:val="21"/>
              </w:rPr>
            </w:pPr>
            <w:r>
              <w:rPr>
                <w:rFonts w:hint="eastAsia" w:ascii="仿宋_GB2312" w:hAnsi="仿宋" w:eastAsia="仿宋_GB2312" w:cs="宋体"/>
                <w:color w:val="auto"/>
                <w:kern w:val="0"/>
                <w:szCs w:val="21"/>
                <w:lang w:val="en-US" w:eastAsia="zh-CN"/>
              </w:rPr>
              <w:t>1500个</w:t>
            </w:r>
            <w:r>
              <w:rPr>
                <w:rFonts w:hint="eastAsia" w:ascii="仿宋_GB2312" w:hAnsi="仿宋" w:eastAsia="仿宋_GB2312" w:cs="宋体"/>
                <w:color w:val="auto"/>
                <w:kern w:val="0"/>
                <w:szCs w:val="21"/>
              </w:rPr>
              <w:t>终端杀毒软件升级授权和</w:t>
            </w:r>
            <w:r>
              <w:rPr>
                <w:rFonts w:hint="eastAsia" w:ascii="仿宋_GB2312" w:hAnsi="仿宋" w:eastAsia="仿宋_GB2312" w:cs="宋体"/>
                <w:color w:val="auto"/>
                <w:kern w:val="0"/>
                <w:szCs w:val="21"/>
                <w:lang w:val="en-US" w:eastAsia="zh-CN"/>
              </w:rPr>
              <w:t>400个</w:t>
            </w:r>
            <w:r>
              <w:rPr>
                <w:rFonts w:hint="eastAsia" w:ascii="仿宋_GB2312" w:hAnsi="仿宋" w:eastAsia="仿宋_GB2312" w:cs="宋体"/>
                <w:color w:val="auto"/>
                <w:kern w:val="0"/>
                <w:szCs w:val="21"/>
              </w:rPr>
              <w:t>服务器端防毒软件升级授权原厂服务</w:t>
            </w:r>
            <w:r>
              <w:rPr>
                <w:rFonts w:hint="eastAsia" w:ascii="仿宋_GB2312" w:hAnsi="仿宋" w:eastAsia="仿宋_GB2312" w:cs="宋体"/>
                <w:color w:val="auto"/>
                <w:kern w:val="0"/>
                <w:szCs w:val="21"/>
                <w:lang w:val="en-US" w:eastAsia="zh-CN"/>
              </w:rPr>
              <w:t>1年</w:t>
            </w:r>
          </w:p>
          <w:p w14:paraId="7D3B764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color w:val="FF0000"/>
                <w:kern w:val="0"/>
                <w:szCs w:val="21"/>
                <w:highlight w:val="none"/>
                <w:lang w:val="en-US" w:eastAsia="zh-CN"/>
              </w:rPr>
              <w:t>深信服防火墙原厂服务1年</w:t>
            </w:r>
          </w:p>
        </w:tc>
      </w:tr>
      <w:tr w14:paraId="536E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48EC0D0A">
            <w:pPr>
              <w:ind w:left="105" w:leftChars="50" w:right="105" w:rightChars="50"/>
              <w:rPr>
                <w:rFonts w:hint="eastAsia" w:ascii="仿宋_GB2312" w:hAnsi="宋体" w:eastAsia="仿宋_GB2312" w:cs="宋体"/>
                <w:szCs w:val="21"/>
              </w:rPr>
            </w:pPr>
            <w:r>
              <w:rPr>
                <w:rFonts w:hint="eastAsia" w:ascii="仿宋_GB2312" w:hAnsi="仿宋" w:eastAsia="仿宋_GB2312" w:cs="宋体"/>
                <w:b/>
                <w:bCs/>
                <w:kern w:val="0"/>
                <w:sz w:val="24"/>
                <w:szCs w:val="24"/>
              </w:rPr>
              <w:t>四、项目工期要求</w:t>
            </w:r>
          </w:p>
        </w:tc>
      </w:tr>
      <w:tr w14:paraId="2ED8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99A527A">
            <w:pPr>
              <w:ind w:left="105" w:leftChars="50" w:right="105" w:rightChars="50" w:firstLine="430"/>
              <w:rPr>
                <w:rFonts w:hint="eastAsia" w:ascii="仿宋_GB2312" w:hAnsi="仿宋" w:eastAsia="仿宋_GB2312" w:cs="宋体"/>
                <w:kern w:val="0"/>
                <w:szCs w:val="21"/>
              </w:rPr>
            </w:pPr>
            <w:r>
              <w:rPr>
                <w:rFonts w:ascii="仿宋_GB2312" w:hAnsi="仿宋" w:eastAsia="仿宋_GB2312" w:cs="宋体"/>
                <w:kern w:val="0"/>
                <w:szCs w:val="21"/>
              </w:rPr>
              <w:sym w:font="Wingdings" w:char="00A8"/>
            </w:r>
            <w:r>
              <w:rPr>
                <w:rFonts w:hint="eastAsia" w:ascii="仿宋_GB2312" w:hAnsi="仿宋" w:eastAsia="仿宋_GB2312" w:cs="宋体"/>
                <w:kern w:val="0"/>
                <w:szCs w:val="21"/>
              </w:rPr>
              <w:t>从合同签订之日起至年月日止。</w:t>
            </w:r>
          </w:p>
          <w:p w14:paraId="69B08338">
            <w:pPr>
              <w:ind w:left="105" w:leftChars="50" w:right="105" w:rightChars="50" w:firstLine="430"/>
              <w:rPr>
                <w:rFonts w:hint="eastAsia" w:ascii="仿宋_GB2312" w:hAnsi="仿宋_GB2312" w:eastAsia="仿宋_GB2312" w:cs="仿宋_GB2312"/>
                <w:szCs w:val="21"/>
              </w:rPr>
            </w:pPr>
            <w:r>
              <w:rPr>
                <w:rFonts w:hint="eastAsia" w:ascii="仿宋_GB2312" w:hAnsi="仿宋" w:eastAsia="仿宋_GB2312" w:cs="Arial"/>
                <w:szCs w:val="21"/>
              </w:rPr>
              <w:sym w:font="Wingdings 2" w:char="F052"/>
            </w:r>
            <w:r>
              <w:rPr>
                <w:rFonts w:hint="eastAsia" w:ascii="仿宋_GB2312" w:hAnsi="仿宋" w:eastAsia="仿宋_GB2312" w:cs="宋体"/>
                <w:kern w:val="0"/>
                <w:szCs w:val="21"/>
              </w:rPr>
              <w:t>从合同签订之日起</w:t>
            </w:r>
            <w:r>
              <w:rPr>
                <w:rFonts w:hint="eastAsia" w:ascii="仿宋_GB2312" w:hAnsi="仿宋" w:eastAsia="仿宋_GB2312" w:cs="宋体"/>
                <w:kern w:val="0"/>
                <w:szCs w:val="21"/>
                <w:u w:val="single"/>
              </w:rPr>
              <w:t>12</w:t>
            </w:r>
            <w:r>
              <w:rPr>
                <w:rFonts w:hint="eastAsia" w:ascii="仿宋_GB2312" w:hAnsi="仿宋" w:eastAsia="仿宋_GB2312" w:cs="宋体"/>
                <w:kern w:val="0"/>
                <w:szCs w:val="21"/>
              </w:rPr>
              <w:t>个月。</w:t>
            </w:r>
          </w:p>
        </w:tc>
      </w:tr>
      <w:tr w14:paraId="4BBF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32257BC8">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五、项目背景</w:t>
            </w:r>
          </w:p>
        </w:tc>
      </w:tr>
      <w:tr w14:paraId="18E2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2E8EA1E8">
            <w:pPr>
              <w:pStyle w:val="50"/>
              <w:ind w:left="105" w:leftChars="50" w:right="105" w:rightChars="5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广州市红十字会医院</w:t>
            </w:r>
            <w:r>
              <w:rPr>
                <w:rFonts w:hint="eastAsia" w:ascii="仿宋_GB2312" w:hAnsi="仿宋_GB2312" w:eastAsia="仿宋_GB2312" w:cs="仿宋_GB2312"/>
                <w:color w:val="000000" w:themeColor="text1"/>
                <w:szCs w:val="21"/>
                <w:lang w:eastAsia="zh-CN"/>
                <w14:textFill>
                  <w14:solidFill>
                    <w14:schemeClr w14:val="tx1"/>
                  </w14:solidFill>
                </w14:textFill>
              </w:rPr>
              <w:t>2026-2027</w:t>
            </w:r>
            <w:r>
              <w:rPr>
                <w:rFonts w:hint="eastAsia" w:ascii="仿宋_GB2312" w:hAnsi="仿宋_GB2312" w:eastAsia="仿宋_GB2312" w:cs="仿宋_GB2312"/>
                <w:color w:val="000000" w:themeColor="text1"/>
                <w:szCs w:val="21"/>
                <w14:textFill>
                  <w14:solidFill>
                    <w14:schemeClr w14:val="tx1"/>
                  </w14:solidFill>
                </w14:textFill>
              </w:rPr>
              <w:t>年</w:t>
            </w:r>
            <w:r>
              <w:rPr>
                <w:rFonts w:hint="eastAsia" w:ascii="仿宋_GB2312" w:hAnsi="仿宋_GB2312" w:eastAsia="仿宋_GB2312" w:cs="仿宋_GB2312"/>
                <w:szCs w:val="21"/>
              </w:rPr>
              <w:t>信息化基础设施运行维护项目以保障广州市红十字会医院信息化基础设施的连续、可靠、有效运行为目标。项目本期通过对信息化运维服务的流程管理、服务响应时间管理和绩效管理等手段，完善日常信息化基础运维规程，解决广州市红十字会医院信息系统的日常故障，保证医院业务持续稳定运行，维护医院正常医疗秩序，充分保障群众的医疗权益。本项目是医院自筹资金信息化运维项目，项目运维要求和验收按市卫生健康行政管理部门和市信息化管理部门相关要求执行。</w:t>
            </w:r>
          </w:p>
        </w:tc>
      </w:tr>
      <w:tr w14:paraId="3DE3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0145E50B">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六、运维目标需求</w:t>
            </w:r>
          </w:p>
        </w:tc>
      </w:tr>
      <w:tr w14:paraId="0DFF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27236D1">
            <w:pPr>
              <w:pStyle w:val="50"/>
              <w:ind w:left="105" w:leftChars="50" w:right="105" w:rightChars="50" w:firstLine="420" w:firstLineChars="200"/>
              <w:rPr>
                <w:rFonts w:hint="eastAsia" w:ascii="仿宋_GB2312" w:hAnsi="仿宋" w:eastAsia="仿宋_GB2312"/>
                <w:szCs w:val="21"/>
              </w:rPr>
            </w:pPr>
            <w:r>
              <w:rPr>
                <w:rFonts w:hint="eastAsia" w:ascii="仿宋_GB2312" w:hAnsi="仿宋" w:eastAsia="仿宋_GB2312"/>
                <w:szCs w:val="21"/>
              </w:rPr>
              <w:t>本项目以保障广州市红十字会医院信息化基础设施的连续、可靠、有效运行为目标。项目本期通过对信息化运维服务的流程管理、服务响应时间管理和绩效管理等手段，完善日常信息化基础运维规程，解决广州市红十字会医院信息系统的日常故障，保证医院业务持续稳定运行，维护医院正常医疗秩序，充分保障群众的医疗权益。</w:t>
            </w:r>
          </w:p>
          <w:p w14:paraId="6370C92E">
            <w:pPr>
              <w:pStyle w:val="50"/>
              <w:ind w:right="105" w:rightChars="50"/>
              <w:rPr>
                <w:rFonts w:hint="eastAsia" w:ascii="仿宋_GB2312" w:hAnsi="仿宋" w:eastAsia="仿宋_GB2312" w:cs="仿宋"/>
                <w:b/>
                <w:bCs/>
                <w:szCs w:val="21"/>
              </w:rPr>
            </w:pPr>
            <w:r>
              <w:rPr>
                <w:rFonts w:hint="eastAsia" w:ascii="仿宋_GB2312" w:hAnsi="仿宋" w:eastAsia="仿宋_GB2312" w:cs="仿宋"/>
                <w:b/>
                <w:bCs/>
                <w:szCs w:val="21"/>
              </w:rPr>
              <w:t>（一）、项目绩效指标表</w:t>
            </w:r>
          </w:p>
          <w:tbl>
            <w:tblPr>
              <w:tblStyle w:val="22"/>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18"/>
              <w:gridCol w:w="1533"/>
              <w:gridCol w:w="2375"/>
              <w:gridCol w:w="2827"/>
            </w:tblGrid>
            <w:tr w14:paraId="14CB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Header/>
                <w:jc w:val="center"/>
              </w:trPr>
              <w:tc>
                <w:tcPr>
                  <w:tcW w:w="656" w:type="pct"/>
                  <w:tcMar>
                    <w:top w:w="60" w:type="dxa"/>
                    <w:left w:w="60" w:type="dxa"/>
                    <w:bottom w:w="60" w:type="dxa"/>
                    <w:right w:w="60" w:type="dxa"/>
                  </w:tcMar>
                  <w:vAlign w:val="center"/>
                </w:tcPr>
                <w:p w14:paraId="6AE61A3D">
                  <w:pPr>
                    <w:widowControl/>
                    <w:jc w:val="left"/>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t>一级指标</w:t>
                  </w:r>
                </w:p>
              </w:tc>
              <w:tc>
                <w:tcPr>
                  <w:tcW w:w="988" w:type="pct"/>
                  <w:tcMar>
                    <w:top w:w="60" w:type="dxa"/>
                    <w:left w:w="60" w:type="dxa"/>
                    <w:bottom w:w="60" w:type="dxa"/>
                    <w:right w:w="60" w:type="dxa"/>
                  </w:tcMar>
                  <w:vAlign w:val="center"/>
                </w:tcPr>
                <w:p w14:paraId="3D20FBBD">
                  <w:pPr>
                    <w:widowControl/>
                    <w:jc w:val="left"/>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t>二级指标</w:t>
                  </w:r>
                </w:p>
              </w:tc>
              <w:tc>
                <w:tcPr>
                  <w:tcW w:w="1531" w:type="pct"/>
                  <w:tcMar>
                    <w:top w:w="60" w:type="dxa"/>
                    <w:left w:w="60" w:type="dxa"/>
                    <w:bottom w:w="60" w:type="dxa"/>
                    <w:right w:w="60" w:type="dxa"/>
                  </w:tcMar>
                  <w:vAlign w:val="center"/>
                </w:tcPr>
                <w:p w14:paraId="3A289ABB">
                  <w:pPr>
                    <w:widowControl/>
                    <w:jc w:val="left"/>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t>三级指标</w:t>
                  </w:r>
                </w:p>
              </w:tc>
              <w:tc>
                <w:tcPr>
                  <w:tcW w:w="1823" w:type="pct"/>
                  <w:tcMar>
                    <w:top w:w="60" w:type="dxa"/>
                    <w:left w:w="60" w:type="dxa"/>
                    <w:bottom w:w="60" w:type="dxa"/>
                    <w:right w:w="60" w:type="dxa"/>
                  </w:tcMar>
                  <w:vAlign w:val="center"/>
                </w:tcPr>
                <w:p w14:paraId="6BBA21ED">
                  <w:pPr>
                    <w:widowControl/>
                    <w:jc w:val="left"/>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b/>
                      <w:bCs/>
                      <w:color w:val="000000" w:themeColor="text1"/>
                      <w:kern w:val="2"/>
                      <w:sz w:val="21"/>
                      <w:szCs w:val="21"/>
                      <w:lang w:val="en-US" w:eastAsia="zh-CN" w:bidi="ar-SA"/>
                      <w14:textFill>
                        <w14:solidFill>
                          <w14:schemeClr w14:val="tx1"/>
                        </w14:solidFill>
                      </w14:textFill>
                    </w:rPr>
                    <w:t>指标目标要求</w:t>
                  </w:r>
                </w:p>
              </w:tc>
            </w:tr>
            <w:tr w14:paraId="5A6C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restart"/>
                  <w:tcMar>
                    <w:top w:w="60" w:type="dxa"/>
                    <w:left w:w="60" w:type="dxa"/>
                    <w:bottom w:w="60" w:type="dxa"/>
                    <w:right w:w="60" w:type="dxa"/>
                  </w:tcMar>
                  <w:vAlign w:val="center"/>
                </w:tcPr>
                <w:p w14:paraId="15B3A12F">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产出指标</w:t>
                  </w:r>
                </w:p>
              </w:tc>
              <w:tc>
                <w:tcPr>
                  <w:tcW w:w="988" w:type="pct"/>
                  <w:tcMar>
                    <w:top w:w="60" w:type="dxa"/>
                    <w:left w:w="60" w:type="dxa"/>
                    <w:bottom w:w="60" w:type="dxa"/>
                    <w:right w:w="60" w:type="dxa"/>
                  </w:tcMar>
                  <w:vAlign w:val="center"/>
                </w:tcPr>
                <w:p w14:paraId="6A6D8904">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故障响应管理</w:t>
                  </w:r>
                </w:p>
              </w:tc>
              <w:tc>
                <w:tcPr>
                  <w:tcW w:w="1531" w:type="pct"/>
                  <w:tcMar>
                    <w:top w:w="60" w:type="dxa"/>
                    <w:left w:w="60" w:type="dxa"/>
                    <w:bottom w:w="60" w:type="dxa"/>
                    <w:right w:w="60" w:type="dxa"/>
                  </w:tcMar>
                  <w:vAlign w:val="center"/>
                </w:tcPr>
                <w:p w14:paraId="737F58EA">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故障响应及时率</w:t>
                  </w:r>
                </w:p>
              </w:tc>
              <w:tc>
                <w:tcPr>
                  <w:tcW w:w="1823" w:type="pct"/>
                  <w:tcMar>
                    <w:top w:w="60" w:type="dxa"/>
                    <w:left w:w="60" w:type="dxa"/>
                    <w:bottom w:w="60" w:type="dxa"/>
                    <w:right w:w="60" w:type="dxa"/>
                  </w:tcMar>
                  <w:vAlign w:val="center"/>
                </w:tcPr>
                <w:p w14:paraId="56D48FDE">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故障能够限时响应，一般性故障响应及时</w:t>
                  </w:r>
                </w:p>
              </w:tc>
            </w:tr>
            <w:tr w14:paraId="055B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0BDA5377">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66AEBF1A">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时效管理</w:t>
                  </w:r>
                </w:p>
              </w:tc>
              <w:tc>
                <w:tcPr>
                  <w:tcW w:w="1531" w:type="pct"/>
                  <w:tcMar>
                    <w:top w:w="60" w:type="dxa"/>
                    <w:left w:w="60" w:type="dxa"/>
                    <w:bottom w:w="60" w:type="dxa"/>
                    <w:right w:w="60" w:type="dxa"/>
                  </w:tcMar>
                  <w:vAlign w:val="center"/>
                </w:tcPr>
                <w:p w14:paraId="5F8052B1">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故障分级处置时效</w:t>
                  </w:r>
                </w:p>
              </w:tc>
              <w:tc>
                <w:tcPr>
                  <w:tcW w:w="1823" w:type="pct"/>
                  <w:tcMar>
                    <w:top w:w="60" w:type="dxa"/>
                    <w:left w:w="60" w:type="dxa"/>
                    <w:bottom w:w="60" w:type="dxa"/>
                    <w:right w:w="60" w:type="dxa"/>
                  </w:tcMar>
                  <w:vAlign w:val="center"/>
                </w:tcPr>
                <w:p w14:paraId="01ABB647">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重大故障快速介入处置，常规故障按时处理</w:t>
                  </w:r>
                </w:p>
              </w:tc>
            </w:tr>
            <w:tr w14:paraId="5FBB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0DE1D200">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07162A54">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故障处置成效</w:t>
                  </w:r>
                </w:p>
              </w:tc>
              <w:tc>
                <w:tcPr>
                  <w:tcW w:w="1531" w:type="pct"/>
                  <w:tcMar>
                    <w:top w:w="60" w:type="dxa"/>
                    <w:left w:w="60" w:type="dxa"/>
                    <w:bottom w:w="60" w:type="dxa"/>
                    <w:right w:w="60" w:type="dxa"/>
                  </w:tcMar>
                  <w:vAlign w:val="center"/>
                </w:tcPr>
                <w:p w14:paraId="3FE87546">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故障排除率</w:t>
                  </w:r>
                </w:p>
              </w:tc>
              <w:tc>
                <w:tcPr>
                  <w:tcW w:w="1823" w:type="pct"/>
                  <w:tcMar>
                    <w:top w:w="60" w:type="dxa"/>
                    <w:left w:w="60" w:type="dxa"/>
                    <w:bottom w:w="60" w:type="dxa"/>
                    <w:right w:w="60" w:type="dxa"/>
                  </w:tcMar>
                  <w:vAlign w:val="center"/>
                </w:tcPr>
                <w:p w14:paraId="1F47F297">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大部分故障能够有效排查解决</w:t>
                  </w:r>
                </w:p>
              </w:tc>
            </w:tr>
            <w:tr w14:paraId="4695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7E0B2176">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3C34ADAC">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项目实施管控</w:t>
                  </w:r>
                </w:p>
              </w:tc>
              <w:tc>
                <w:tcPr>
                  <w:tcW w:w="1531" w:type="pct"/>
                  <w:tcMar>
                    <w:top w:w="60" w:type="dxa"/>
                    <w:left w:w="60" w:type="dxa"/>
                    <w:bottom w:w="60" w:type="dxa"/>
                    <w:right w:w="60" w:type="dxa"/>
                  </w:tcMar>
                  <w:vAlign w:val="center"/>
                </w:tcPr>
                <w:p w14:paraId="6AF6A610">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项目实施进度完成情况</w:t>
                  </w:r>
                </w:p>
              </w:tc>
              <w:tc>
                <w:tcPr>
                  <w:tcW w:w="1823" w:type="pct"/>
                  <w:tcMar>
                    <w:top w:w="60" w:type="dxa"/>
                    <w:left w:w="60" w:type="dxa"/>
                    <w:bottom w:w="60" w:type="dxa"/>
                    <w:right w:w="60" w:type="dxa"/>
                  </w:tcMar>
                  <w:vAlign w:val="center"/>
                </w:tcPr>
                <w:p w14:paraId="2FFA4A02">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按合同节点推进项目实施</w:t>
                  </w:r>
                </w:p>
              </w:tc>
            </w:tr>
            <w:tr w14:paraId="7312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restart"/>
                  <w:tcMar>
                    <w:top w:w="60" w:type="dxa"/>
                    <w:left w:w="60" w:type="dxa"/>
                    <w:bottom w:w="60" w:type="dxa"/>
                    <w:right w:w="60" w:type="dxa"/>
                  </w:tcMar>
                  <w:vAlign w:val="center"/>
                </w:tcPr>
                <w:p w14:paraId="433C4525">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效益指标</w:t>
                  </w:r>
                </w:p>
              </w:tc>
              <w:tc>
                <w:tcPr>
                  <w:tcW w:w="988" w:type="pct"/>
                  <w:tcMar>
                    <w:top w:w="60" w:type="dxa"/>
                    <w:left w:w="60" w:type="dxa"/>
                    <w:bottom w:w="60" w:type="dxa"/>
                    <w:right w:w="60" w:type="dxa"/>
                  </w:tcMar>
                  <w:vAlign w:val="center"/>
                </w:tcPr>
                <w:p w14:paraId="12F3AA66">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系统运行保障</w:t>
                  </w:r>
                </w:p>
              </w:tc>
              <w:tc>
                <w:tcPr>
                  <w:tcW w:w="1531" w:type="pct"/>
                  <w:tcMar>
                    <w:top w:w="60" w:type="dxa"/>
                    <w:left w:w="60" w:type="dxa"/>
                    <w:bottom w:w="60" w:type="dxa"/>
                    <w:right w:w="60" w:type="dxa"/>
                  </w:tcMar>
                  <w:vAlign w:val="center"/>
                </w:tcPr>
                <w:p w14:paraId="7169F50E">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系统正常运行水平</w:t>
                  </w:r>
                </w:p>
              </w:tc>
              <w:tc>
                <w:tcPr>
                  <w:tcW w:w="1823" w:type="pct"/>
                  <w:tcMar>
                    <w:top w:w="60" w:type="dxa"/>
                    <w:left w:w="60" w:type="dxa"/>
                    <w:bottom w:w="60" w:type="dxa"/>
                    <w:right w:w="60" w:type="dxa"/>
                  </w:tcMar>
                  <w:vAlign w:val="center"/>
                </w:tcPr>
                <w:p w14:paraId="3114EE0A">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保障核心业务系统稳定运行，避免长时间中断</w:t>
                  </w:r>
                </w:p>
              </w:tc>
            </w:tr>
            <w:tr w14:paraId="16DF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6100698F">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4F492CE0">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服务评价</w:t>
                  </w:r>
                </w:p>
              </w:tc>
              <w:tc>
                <w:tcPr>
                  <w:tcW w:w="1531" w:type="pct"/>
                  <w:tcMar>
                    <w:top w:w="60" w:type="dxa"/>
                    <w:left w:w="60" w:type="dxa"/>
                    <w:bottom w:w="60" w:type="dxa"/>
                    <w:right w:w="60" w:type="dxa"/>
                  </w:tcMar>
                  <w:vAlign w:val="center"/>
                </w:tcPr>
                <w:p w14:paraId="398297FB">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服务对象满意度</w:t>
                  </w:r>
                </w:p>
              </w:tc>
              <w:tc>
                <w:tcPr>
                  <w:tcW w:w="1823" w:type="pct"/>
                  <w:tcMar>
                    <w:top w:w="60" w:type="dxa"/>
                    <w:left w:w="60" w:type="dxa"/>
                    <w:bottom w:w="60" w:type="dxa"/>
                    <w:right w:w="60" w:type="dxa"/>
                  </w:tcMar>
                  <w:vAlign w:val="center"/>
                </w:tcPr>
                <w:p w14:paraId="5A8806A4">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临床科室总体满意度良好</w:t>
                  </w:r>
                </w:p>
              </w:tc>
            </w:tr>
            <w:tr w14:paraId="34E8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4981280F">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3CAF5BF0">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运维流程管理</w:t>
                  </w:r>
                </w:p>
              </w:tc>
              <w:tc>
                <w:tcPr>
                  <w:tcW w:w="1531" w:type="pct"/>
                  <w:tcMar>
                    <w:top w:w="60" w:type="dxa"/>
                    <w:left w:w="60" w:type="dxa"/>
                    <w:bottom w:w="60" w:type="dxa"/>
                    <w:right w:w="60" w:type="dxa"/>
                  </w:tcMar>
                  <w:vAlign w:val="center"/>
                </w:tcPr>
                <w:p w14:paraId="3A16BC57">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运维服务合规性</w:t>
                  </w:r>
                </w:p>
              </w:tc>
              <w:tc>
                <w:tcPr>
                  <w:tcW w:w="1823" w:type="pct"/>
                  <w:tcMar>
                    <w:top w:w="60" w:type="dxa"/>
                    <w:left w:w="60" w:type="dxa"/>
                    <w:bottom w:w="60" w:type="dxa"/>
                    <w:right w:w="60" w:type="dxa"/>
                  </w:tcMar>
                  <w:vAlign w:val="center"/>
                </w:tcPr>
                <w:p w14:paraId="31D2548C">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100% 落实运维管理制度、信息安全管理要求</w:t>
                  </w:r>
                </w:p>
              </w:tc>
            </w:tr>
            <w:tr w14:paraId="59E4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7BBD7FD1">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1E6EF736">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交付物管理</w:t>
                  </w:r>
                </w:p>
              </w:tc>
              <w:tc>
                <w:tcPr>
                  <w:tcW w:w="1531" w:type="pct"/>
                  <w:tcMar>
                    <w:top w:w="60" w:type="dxa"/>
                    <w:left w:w="60" w:type="dxa"/>
                    <w:bottom w:w="60" w:type="dxa"/>
                    <w:right w:w="60" w:type="dxa"/>
                  </w:tcMar>
                  <w:vAlign w:val="center"/>
                </w:tcPr>
                <w:p w14:paraId="4993891F">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运维文档产出质量</w:t>
                  </w:r>
                </w:p>
              </w:tc>
              <w:tc>
                <w:tcPr>
                  <w:tcW w:w="1823" w:type="pct"/>
                  <w:tcMar>
                    <w:top w:w="60" w:type="dxa"/>
                    <w:left w:w="60" w:type="dxa"/>
                    <w:bottom w:w="60" w:type="dxa"/>
                    <w:right w:w="60" w:type="dxa"/>
                  </w:tcMar>
                  <w:vAlign w:val="center"/>
                </w:tcPr>
                <w:p w14:paraId="0BD41F94">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运维资料、项目文档完整规范</w:t>
                  </w:r>
                </w:p>
              </w:tc>
            </w:tr>
            <w:tr w14:paraId="7504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6E194CAA">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1C263B36">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运营价值</w:t>
                  </w:r>
                </w:p>
              </w:tc>
              <w:tc>
                <w:tcPr>
                  <w:tcW w:w="1531" w:type="pct"/>
                  <w:tcMar>
                    <w:top w:w="60" w:type="dxa"/>
                    <w:left w:w="60" w:type="dxa"/>
                    <w:bottom w:w="60" w:type="dxa"/>
                    <w:right w:w="60" w:type="dxa"/>
                  </w:tcMar>
                  <w:vAlign w:val="center"/>
                </w:tcPr>
                <w:p w14:paraId="771A17E5">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降低医院运营成本</w:t>
                  </w:r>
                </w:p>
              </w:tc>
              <w:tc>
                <w:tcPr>
                  <w:tcW w:w="1823" w:type="pct"/>
                  <w:tcMar>
                    <w:top w:w="60" w:type="dxa"/>
                    <w:left w:w="60" w:type="dxa"/>
                    <w:bottom w:w="60" w:type="dxa"/>
                    <w:right w:w="60" w:type="dxa"/>
                  </w:tcMar>
                  <w:vAlign w:val="center"/>
                </w:tcPr>
                <w:p w14:paraId="14E70008">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持续优化运维模式，助力医院运营提质降耗</w:t>
                  </w:r>
                </w:p>
              </w:tc>
            </w:tr>
            <w:tr w14:paraId="4C25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restart"/>
                  <w:tcMar>
                    <w:top w:w="60" w:type="dxa"/>
                    <w:left w:w="60" w:type="dxa"/>
                    <w:bottom w:w="60" w:type="dxa"/>
                    <w:right w:w="60" w:type="dxa"/>
                  </w:tcMar>
                  <w:vAlign w:val="center"/>
                </w:tcPr>
                <w:p w14:paraId="68B04783">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可持续影响指标</w:t>
                  </w:r>
                </w:p>
              </w:tc>
              <w:tc>
                <w:tcPr>
                  <w:tcW w:w="988" w:type="pct"/>
                  <w:tcMar>
                    <w:top w:w="60" w:type="dxa"/>
                    <w:left w:w="60" w:type="dxa"/>
                    <w:bottom w:w="60" w:type="dxa"/>
                    <w:right w:w="60" w:type="dxa"/>
                  </w:tcMar>
                  <w:vAlign w:val="center"/>
                </w:tcPr>
                <w:p w14:paraId="4C260788">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基础设施保障能力</w:t>
                  </w:r>
                </w:p>
              </w:tc>
              <w:tc>
                <w:tcPr>
                  <w:tcW w:w="1531" w:type="pct"/>
                  <w:tcMar>
                    <w:top w:w="60" w:type="dxa"/>
                    <w:left w:w="60" w:type="dxa"/>
                    <w:bottom w:w="60" w:type="dxa"/>
                    <w:right w:w="60" w:type="dxa"/>
                  </w:tcMar>
                  <w:vAlign w:val="center"/>
                </w:tcPr>
                <w:p w14:paraId="1D3A5223">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基础信息设施运行保障</w:t>
                  </w:r>
                </w:p>
              </w:tc>
              <w:tc>
                <w:tcPr>
                  <w:tcW w:w="1823" w:type="pct"/>
                  <w:tcMar>
                    <w:top w:w="60" w:type="dxa"/>
                    <w:left w:w="60" w:type="dxa"/>
                    <w:bottom w:w="60" w:type="dxa"/>
                    <w:right w:w="60" w:type="dxa"/>
                  </w:tcMar>
                  <w:vAlign w:val="center"/>
                </w:tcPr>
                <w:p w14:paraId="02C8A55C">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机房、核心网络、服务器等基础设施持续稳定运行</w:t>
                  </w:r>
                </w:p>
              </w:tc>
            </w:tr>
            <w:tr w14:paraId="298D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56" w:type="pct"/>
                  <w:vMerge w:val="continue"/>
                  <w:tcMar>
                    <w:top w:w="60" w:type="dxa"/>
                    <w:left w:w="60" w:type="dxa"/>
                    <w:bottom w:w="60" w:type="dxa"/>
                    <w:right w:w="60" w:type="dxa"/>
                  </w:tcMar>
                  <w:vAlign w:val="center"/>
                </w:tcPr>
                <w:p w14:paraId="4ADC64F1">
                  <w:pPr>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p>
              </w:tc>
              <w:tc>
                <w:tcPr>
                  <w:tcW w:w="988" w:type="pct"/>
                  <w:tcMar>
                    <w:top w:w="60" w:type="dxa"/>
                    <w:left w:w="60" w:type="dxa"/>
                    <w:bottom w:w="60" w:type="dxa"/>
                    <w:right w:w="60" w:type="dxa"/>
                  </w:tcMar>
                  <w:vAlign w:val="center"/>
                </w:tcPr>
                <w:p w14:paraId="435C9298">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系统长期运行能力</w:t>
                  </w:r>
                </w:p>
              </w:tc>
              <w:tc>
                <w:tcPr>
                  <w:tcW w:w="1531" w:type="pct"/>
                  <w:tcMar>
                    <w:top w:w="60" w:type="dxa"/>
                    <w:left w:w="60" w:type="dxa"/>
                    <w:bottom w:w="60" w:type="dxa"/>
                    <w:right w:w="60" w:type="dxa"/>
                  </w:tcMar>
                  <w:vAlign w:val="center"/>
                </w:tcPr>
                <w:p w14:paraId="0BF4E03C">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系统可持续使用保障</w:t>
                  </w:r>
                </w:p>
              </w:tc>
              <w:tc>
                <w:tcPr>
                  <w:tcW w:w="1823" w:type="pct"/>
                  <w:tcMar>
                    <w:top w:w="60" w:type="dxa"/>
                    <w:left w:w="60" w:type="dxa"/>
                    <w:bottom w:w="60" w:type="dxa"/>
                    <w:right w:w="60" w:type="dxa"/>
                  </w:tcMar>
                  <w:vAlign w:val="center"/>
                </w:tcPr>
                <w:p w14:paraId="497C472C">
                  <w:pPr>
                    <w:widowControl/>
                    <w:jc w:val="left"/>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21"/>
                      <w:szCs w:val="21"/>
                      <w:lang w:val="en-US" w:eastAsia="zh-CN" w:bidi="ar-SA"/>
                      <w14:textFill>
                        <w14:solidFill>
                          <w14:schemeClr w14:val="tx1"/>
                        </w14:solidFill>
                      </w14:textFill>
                    </w:rPr>
                    <w:t>持续改善系统稳定性，保障信息系统长期支撑业务开展</w:t>
                  </w:r>
                </w:p>
              </w:tc>
            </w:tr>
          </w:tbl>
          <w:p w14:paraId="3CFF5C42">
            <w:pPr>
              <w:pStyle w:val="50"/>
              <w:ind w:right="105" w:rightChars="50"/>
              <w:rPr>
                <w:rFonts w:hint="eastAsia" w:ascii="仿宋_GB2312" w:hAnsi="仿宋" w:eastAsia="仿宋_GB2312"/>
                <w:szCs w:val="21"/>
              </w:rPr>
            </w:pPr>
          </w:p>
        </w:tc>
      </w:tr>
      <w:tr w14:paraId="7C01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7C4C6B5D">
            <w:pPr>
              <w:ind w:left="105" w:leftChars="50" w:right="105" w:rightChars="50"/>
              <w:rPr>
                <w:rFonts w:hint="eastAsia" w:ascii="仿宋_GB2312" w:hAnsi="宋体" w:eastAsia="仿宋_GB2312"/>
                <w:szCs w:val="21"/>
              </w:rPr>
            </w:pPr>
            <w:bookmarkStart w:id="10" w:name="_Toc351733392"/>
            <w:bookmarkStart w:id="11" w:name="_Toc360127324"/>
            <w:bookmarkStart w:id="12" w:name="_Toc351732928"/>
            <w:bookmarkStart w:id="13" w:name="_Toc346057353"/>
            <w:r>
              <w:rPr>
                <w:rFonts w:hint="eastAsia" w:ascii="仿宋_GB2312" w:hAnsi="仿宋" w:eastAsia="仿宋_GB2312" w:cs="宋体"/>
                <w:b/>
                <w:bCs/>
                <w:kern w:val="0"/>
                <w:sz w:val="24"/>
                <w:szCs w:val="24"/>
              </w:rPr>
              <w:t>七、运维服务的范围</w:t>
            </w:r>
            <w:bookmarkEnd w:id="10"/>
            <w:bookmarkEnd w:id="11"/>
            <w:bookmarkEnd w:id="12"/>
            <w:bookmarkEnd w:id="13"/>
          </w:p>
        </w:tc>
      </w:tr>
      <w:tr w14:paraId="79F2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5DE3F905">
            <w:pPr>
              <w:ind w:left="105" w:leftChars="50" w:right="105" w:rightChars="50"/>
              <w:rPr>
                <w:rFonts w:hint="eastAsia" w:ascii="仿宋_GB2312" w:hAnsi="宋体" w:eastAsia="仿宋_GB2312" w:cs="宋体"/>
                <w:szCs w:val="21"/>
              </w:rPr>
            </w:pPr>
            <w:bookmarkStart w:id="14" w:name="OLE_LINK1"/>
            <w:r>
              <w:rPr>
                <w:rFonts w:hint="eastAsia" w:ascii="仿宋_GB2312" w:hAnsi="仿宋" w:eastAsia="仿宋_GB2312" w:cs="Arial"/>
                <w:szCs w:val="21"/>
              </w:rPr>
              <w:sym w:font="Wingdings 2" w:char="F052"/>
            </w:r>
            <w:r>
              <w:rPr>
                <w:rFonts w:hint="eastAsia" w:ascii="仿宋_GB2312" w:hAnsi="仿宋" w:eastAsia="仿宋_GB2312" w:cs="Arial"/>
                <w:szCs w:val="21"/>
              </w:rPr>
              <w:t>桌面运维服务</w:t>
            </w:r>
          </w:p>
          <w:p w14:paraId="02F650EF">
            <w:pPr>
              <w:ind w:left="105" w:leftChars="50" w:right="105" w:rightChars="50"/>
              <w:rPr>
                <w:rFonts w:hint="eastAsia" w:ascii="仿宋_GB2312" w:hAnsi="仿宋" w:eastAsia="仿宋_GB2312" w:cs="宋体"/>
                <w:szCs w:val="21"/>
              </w:rPr>
            </w:pPr>
            <w:r>
              <w:rPr>
                <w:rFonts w:hint="eastAsia" w:ascii="仿宋_GB2312" w:hAnsi="仿宋" w:eastAsia="仿宋_GB2312" w:cs="Arial"/>
                <w:szCs w:val="21"/>
              </w:rPr>
              <w:sym w:font="Wingdings 2" w:char="F052"/>
            </w:r>
            <w:r>
              <w:rPr>
                <w:rFonts w:hint="eastAsia" w:ascii="仿宋_GB2312" w:hAnsi="仿宋" w:eastAsia="仿宋_GB2312" w:cs="Arial"/>
                <w:szCs w:val="21"/>
              </w:rPr>
              <w:t>信息化基础架构运维服务</w:t>
            </w:r>
          </w:p>
          <w:p w14:paraId="6A0CC443">
            <w:pPr>
              <w:ind w:left="105" w:leftChars="50" w:right="105" w:rightChars="50"/>
              <w:rPr>
                <w:rFonts w:hint="eastAsia" w:ascii="仿宋_GB2312" w:hAnsi="宋体" w:eastAsia="仿宋_GB2312" w:cs="宋体"/>
                <w:szCs w:val="21"/>
              </w:rPr>
            </w:pPr>
            <w:r>
              <w:rPr>
                <w:rFonts w:hint="eastAsia" w:ascii="仿宋_GB2312" w:hAnsi="仿宋" w:eastAsia="仿宋_GB2312" w:cs="宋体"/>
                <w:szCs w:val="21"/>
              </w:rPr>
              <w:sym w:font="Wingdings 2" w:char="F052"/>
            </w:r>
            <w:r>
              <w:rPr>
                <w:rFonts w:hint="eastAsia" w:ascii="仿宋_GB2312" w:hAnsi="仿宋" w:eastAsia="仿宋_GB2312" w:cs="宋体"/>
                <w:szCs w:val="21"/>
              </w:rPr>
              <w:t>网络安全基础运维服务</w:t>
            </w:r>
            <w:bookmarkEnd w:id="14"/>
          </w:p>
        </w:tc>
      </w:tr>
      <w:tr w14:paraId="6686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0E902F9A">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八、运维服务工作要求</w:t>
            </w:r>
          </w:p>
        </w:tc>
      </w:tr>
      <w:tr w14:paraId="5D4F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8523" w:type="dxa"/>
            <w:vAlign w:val="center"/>
          </w:tcPr>
          <w:p w14:paraId="4BE2A4D6">
            <w:pPr>
              <w:pStyle w:val="51"/>
              <w:spacing w:beforeAutospacing="0" w:afterAutospacing="0"/>
              <w:rPr>
                <w:rFonts w:ascii="仿宋_GB2312" w:hAnsi="宋体" w:eastAsia="仿宋_GB2312" w:cs="仿宋_GB2312"/>
                <w:b/>
                <w:bCs/>
                <w:sz w:val="21"/>
                <w:szCs w:val="21"/>
              </w:rPr>
            </w:pPr>
            <w:bookmarkStart w:id="15" w:name="_Toc18655"/>
            <w:r>
              <w:rPr>
                <w:rFonts w:ascii="仿宋_GB2312" w:hAnsi="宋体" w:eastAsia="仿宋_GB2312" w:cs="仿宋_GB2312"/>
                <w:b/>
                <w:bCs/>
                <w:sz w:val="21"/>
                <w:szCs w:val="21"/>
              </w:rPr>
              <w:t>（一）桌面运维服务</w:t>
            </w:r>
            <w:bookmarkEnd w:id="15"/>
          </w:p>
          <w:p w14:paraId="6F9546AD">
            <w:pPr>
              <w:pStyle w:val="51"/>
              <w:spacing w:beforeAutospacing="0" w:afterAutospacing="0"/>
              <w:ind w:firstLine="482"/>
              <w:rPr>
                <w:rFonts w:ascii="仿宋_GB2312" w:hAnsi="宋体" w:eastAsia="仿宋_GB2312" w:cs="仿宋_GB2312"/>
                <w:sz w:val="21"/>
                <w:szCs w:val="21"/>
              </w:rPr>
            </w:pPr>
            <w:r>
              <w:rPr>
                <w:rFonts w:ascii="仿宋_GB2312" w:hAnsi="宋体" w:eastAsia="仿宋_GB2312" w:cs="仿宋_GB2312"/>
                <w:sz w:val="21"/>
                <w:szCs w:val="21"/>
              </w:rPr>
              <w:t>对</w:t>
            </w:r>
            <w:r>
              <w:rPr>
                <w:rFonts w:ascii="仿宋_GB2312" w:eastAsia="仿宋_GB2312"/>
                <w:sz w:val="21"/>
                <w:szCs w:val="21"/>
              </w:rPr>
              <w:fldChar w:fldCharType="begin"/>
            </w:r>
            <w:r>
              <w:rPr>
                <w:rFonts w:ascii="仿宋_GB2312" w:eastAsia="仿宋_GB2312"/>
                <w:sz w:val="21"/>
                <w:szCs w:val="21"/>
              </w:rPr>
              <w:instrText xml:space="preserve">REF 单位名称 \h  \* MERGEFORMAT </w:instrText>
            </w:r>
            <w:r>
              <w:rPr>
                <w:rFonts w:ascii="仿宋_GB2312" w:eastAsia="仿宋_GB2312"/>
                <w:sz w:val="21"/>
                <w:szCs w:val="21"/>
              </w:rPr>
              <w:fldChar w:fldCharType="separate"/>
            </w:r>
            <w:r>
              <w:rPr>
                <w:rFonts w:ascii="仿宋_GB2312" w:hAnsi="宋体" w:eastAsia="仿宋_GB2312" w:cs="仿宋_GB2312"/>
                <w:sz w:val="21"/>
                <w:szCs w:val="21"/>
              </w:rPr>
              <w:t>广州市红十字会医院</w:t>
            </w:r>
            <w:r>
              <w:rPr>
                <w:rFonts w:ascii="仿宋_GB2312" w:eastAsia="仿宋_GB2312"/>
                <w:sz w:val="21"/>
                <w:szCs w:val="21"/>
              </w:rPr>
              <w:fldChar w:fldCharType="end"/>
            </w:r>
            <w:r>
              <w:rPr>
                <w:rFonts w:ascii="仿宋_GB2312" w:hAnsi="宋体" w:eastAsia="仿宋_GB2312" w:cs="仿宋_GB2312"/>
                <w:sz w:val="21"/>
                <w:szCs w:val="21"/>
              </w:rPr>
              <w:t>已入库的办公电脑、打印机、扫描仪等一般桌面办公设备及LED屏、远程会诊系统、排队叫号系统等进行日常维护和技术保障，保障设备安全稳定运行，满足院内职工的办公需要。</w:t>
            </w:r>
          </w:p>
          <w:p w14:paraId="3472261E">
            <w:pPr>
              <w:pStyle w:val="51"/>
              <w:spacing w:beforeAutospacing="0" w:afterAutospacing="0"/>
              <w:rPr>
                <w:rFonts w:ascii="仿宋_GB2312" w:eastAsia="仿宋_GB2312"/>
                <w:b/>
                <w:bCs/>
                <w:sz w:val="21"/>
                <w:szCs w:val="21"/>
              </w:rPr>
            </w:pPr>
            <w:r>
              <w:rPr>
                <w:rFonts w:ascii="仿宋_GB2312" w:eastAsia="仿宋_GB2312"/>
                <w:b/>
                <w:bCs/>
                <w:sz w:val="21"/>
                <w:szCs w:val="21"/>
              </w:rPr>
              <w:t>1、桌面终端设备清单</w:t>
            </w:r>
          </w:p>
          <w:tbl>
            <w:tblPr>
              <w:tblStyle w:val="22"/>
              <w:tblW w:w="4361" w:type="pct"/>
              <w:jc w:val="center"/>
              <w:tblLayout w:type="fixed"/>
              <w:tblCellMar>
                <w:top w:w="0" w:type="dxa"/>
                <w:left w:w="108" w:type="dxa"/>
                <w:bottom w:w="0" w:type="dxa"/>
                <w:right w:w="108" w:type="dxa"/>
              </w:tblCellMar>
            </w:tblPr>
            <w:tblGrid>
              <w:gridCol w:w="1426"/>
              <w:gridCol w:w="4550"/>
              <w:gridCol w:w="1269"/>
            </w:tblGrid>
            <w:tr w14:paraId="37841E09">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684B767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序号</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2563997C">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资产名称</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7AA872F">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计数</w:t>
                  </w:r>
                </w:p>
              </w:tc>
            </w:tr>
            <w:tr w14:paraId="3D2268D7">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54B67B82">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44ABF230">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PDA</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5ECF667D">
                  <w:pPr>
                    <w:widowControl/>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val="en-US" w:eastAsia="zh-CN"/>
                    </w:rPr>
                    <w:t>156</w:t>
                  </w:r>
                </w:p>
              </w:tc>
            </w:tr>
            <w:tr w14:paraId="2AE03564">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21263CD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2</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09E5AB15">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笔记本电脑</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328D8E30">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64</w:t>
                  </w:r>
                </w:p>
              </w:tc>
            </w:tr>
            <w:tr w14:paraId="6E915FFF">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3B1938BA">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3</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38A545CB">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标签打印机</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6DFA92DA">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19</w:t>
                  </w:r>
                </w:p>
              </w:tc>
            </w:tr>
            <w:tr w14:paraId="13D34350">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6FE523A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4</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1F40DF0B">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多功能读卡器</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03C1E87">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25</w:t>
                  </w:r>
                </w:p>
              </w:tc>
            </w:tr>
            <w:tr w14:paraId="27C4B991">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524C7C85">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5</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1272D151">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多功能读写器</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E778DD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17</w:t>
                  </w:r>
                </w:p>
              </w:tc>
            </w:tr>
            <w:tr w14:paraId="3E521FC7">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227F54BD">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6</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6F765381">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高拍仪</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35EEE88E">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4</w:t>
                  </w:r>
                </w:p>
              </w:tc>
            </w:tr>
            <w:tr w14:paraId="35138C74">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006E9502">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7</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314D8C1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会议平板</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6CD119A1">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33</w:t>
                  </w:r>
                </w:p>
              </w:tc>
            </w:tr>
            <w:tr w14:paraId="20C89B5D">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2EAE40B5">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8</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3B458B9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激光打印机</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1F7ECD93">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343</w:t>
                  </w:r>
                </w:p>
              </w:tc>
            </w:tr>
            <w:tr w14:paraId="178C25F2">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498717AC">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9</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376428A5">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喷墨打印机</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48FAE65E">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14</w:t>
                  </w:r>
                </w:p>
              </w:tc>
            </w:tr>
            <w:tr w14:paraId="034FD8E1">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5B5A1C7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10</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7558D0C3">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平板电脑</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5793EF6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101</w:t>
                  </w:r>
                </w:p>
              </w:tc>
            </w:tr>
            <w:tr w14:paraId="499B186C">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062302E1">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11</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747A029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扫描器</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4C2693FC">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83</w:t>
                  </w:r>
                </w:p>
              </w:tc>
            </w:tr>
            <w:tr w14:paraId="5D3C9B8A">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245D8ACA">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12</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0145E6D9">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扫描仪</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2EC8FFA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12</w:t>
                  </w:r>
                </w:p>
              </w:tc>
            </w:tr>
            <w:tr w14:paraId="227DF5FC">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05633396">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13</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17C62782">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台式机电脑</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69792D0E">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1061</w:t>
                  </w:r>
                </w:p>
              </w:tc>
            </w:tr>
            <w:tr w14:paraId="173D4D27">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396B3A47">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14</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416172ED">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显示器</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289A57B">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1032</w:t>
                  </w:r>
                </w:p>
              </w:tc>
            </w:tr>
            <w:tr w14:paraId="14428B8A">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62A95168">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15</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57F16486">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无线AP</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6036B20F">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341</w:t>
                  </w:r>
                </w:p>
              </w:tc>
            </w:tr>
            <w:tr w14:paraId="2A5707C6">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1769F383">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16</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51CD9FCC">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移动查房车</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6BE21E33">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96</w:t>
                  </w:r>
                </w:p>
              </w:tc>
            </w:tr>
            <w:tr w14:paraId="62F8BB21">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0074A552">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17</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124B3A7D">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针式打印机</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0FF8BF3">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169</w:t>
                  </w:r>
                </w:p>
              </w:tc>
            </w:tr>
            <w:tr w14:paraId="0DE60B39">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2EA42C8C">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18</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69B490F0">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条码打印机</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1CBE057E">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114</w:t>
                  </w:r>
                </w:p>
              </w:tc>
            </w:tr>
            <w:tr w14:paraId="2FA16634">
              <w:tblPrEx>
                <w:tblCellMar>
                  <w:top w:w="0" w:type="dxa"/>
                  <w:left w:w="108" w:type="dxa"/>
                  <w:bottom w:w="0" w:type="dxa"/>
                  <w:right w:w="108" w:type="dxa"/>
                </w:tblCellMar>
              </w:tblPrEx>
              <w:trPr>
                <w:trHeight w:val="270" w:hRule="atLeast"/>
                <w:jc w:val="center"/>
              </w:trPr>
              <w:tc>
                <w:tcPr>
                  <w:tcW w:w="984" w:type="pct"/>
                  <w:tcBorders>
                    <w:top w:val="single" w:color="000000" w:sz="4" w:space="0"/>
                    <w:left w:val="single" w:color="000000" w:sz="4" w:space="0"/>
                    <w:bottom w:val="single" w:color="000000" w:sz="4" w:space="0"/>
                    <w:right w:val="single" w:color="000000" w:sz="4" w:space="0"/>
                  </w:tcBorders>
                  <w:noWrap/>
                  <w:vAlign w:val="center"/>
                </w:tcPr>
                <w:p w14:paraId="7413AD56">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19</w:t>
                  </w:r>
                </w:p>
              </w:tc>
              <w:tc>
                <w:tcPr>
                  <w:tcW w:w="3140" w:type="pct"/>
                  <w:tcBorders>
                    <w:top w:val="single" w:color="000000" w:sz="4" w:space="0"/>
                    <w:left w:val="single" w:color="000000" w:sz="4" w:space="0"/>
                    <w:bottom w:val="single" w:color="000000" w:sz="4" w:space="0"/>
                    <w:right w:val="single" w:color="000000" w:sz="4" w:space="0"/>
                  </w:tcBorders>
                  <w:noWrap/>
                  <w:vAlign w:val="center"/>
                </w:tcPr>
                <w:p w14:paraId="2CE1FE11">
                  <w:pPr>
                    <w:widowControl/>
                    <w:jc w:val="center"/>
                    <w:textAlignment w:val="center"/>
                    <w:rPr>
                      <w:rFonts w:ascii="宋体" w:hAnsi="宋体" w:eastAsia="宋体" w:cs="宋体"/>
                      <w:color w:val="auto"/>
                      <w:sz w:val="22"/>
                      <w:szCs w:val="22"/>
                    </w:rPr>
                  </w:pPr>
                  <w:r>
                    <w:rPr>
                      <w:rFonts w:ascii="宋体" w:hAnsi="宋体" w:eastAsia="宋体" w:cs="宋体"/>
                      <w:color w:val="auto"/>
                      <w:kern w:val="0"/>
                      <w:sz w:val="22"/>
                      <w:szCs w:val="22"/>
                      <w:lang w:bidi="ar"/>
                    </w:rPr>
                    <w:t>条码扫描仪</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0A9F60F0">
                  <w:pPr>
                    <w:widowControl/>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19</w:t>
                  </w:r>
                </w:p>
              </w:tc>
            </w:tr>
          </w:tbl>
          <w:p w14:paraId="0F8218FC">
            <w:pPr>
              <w:pStyle w:val="51"/>
              <w:spacing w:beforeAutospacing="0" w:afterAutospacing="0"/>
              <w:jc w:val="center"/>
              <w:rPr>
                <w:rFonts w:ascii="仿宋_GB2312" w:eastAsia="仿宋_GB2312"/>
                <w:b/>
                <w:bCs/>
                <w:sz w:val="21"/>
                <w:szCs w:val="21"/>
              </w:rPr>
            </w:pPr>
          </w:p>
          <w:p w14:paraId="51E852FD">
            <w:pPr>
              <w:pStyle w:val="51"/>
              <w:spacing w:beforeAutospacing="0" w:afterAutospacing="0"/>
              <w:rPr>
                <w:rFonts w:ascii="仿宋_GB2312" w:hAnsi="宋体" w:eastAsia="仿宋_GB2312" w:cs="仿宋_GB2312"/>
                <w:b/>
                <w:bCs/>
                <w:sz w:val="21"/>
                <w:szCs w:val="21"/>
              </w:rPr>
            </w:pPr>
            <w:r>
              <w:rPr>
                <w:rFonts w:ascii="仿宋_GB2312" w:eastAsia="仿宋_GB2312"/>
                <w:b/>
                <w:bCs/>
                <w:sz w:val="21"/>
                <w:szCs w:val="21"/>
              </w:rPr>
              <w:t>2、桌面运维服务内容及要求</w:t>
            </w:r>
          </w:p>
          <w:p w14:paraId="60EFBDF9">
            <w:pPr>
              <w:pStyle w:val="5"/>
              <w:pageBreakBefore/>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（1）日常保养维护</w:t>
            </w:r>
          </w:p>
          <w:p w14:paraId="490572A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对桌面设备进行巡检、保养，以保障设备运行正常；</w:t>
            </w:r>
          </w:p>
          <w:p w14:paraId="4C2760C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软硬件的升级、设备的搬迁调整</w:t>
            </w:r>
          </w:p>
          <w:p w14:paraId="7DAEACBE">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进行桌面设备普查工作，建设可实现动态维护的硬件设备档案库；</w:t>
            </w:r>
          </w:p>
          <w:p w14:paraId="0717003D">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服务中配合检查硬件实际配置与设备登记表是否相符。</w:t>
            </w:r>
          </w:p>
          <w:p w14:paraId="414E8DB4">
            <w:pPr>
              <w:pStyle w:val="5"/>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（2）设备故障处理</w:t>
            </w:r>
          </w:p>
          <w:p w14:paraId="3803E76B">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对故障原因进行排查，定位；</w:t>
            </w:r>
          </w:p>
          <w:p w14:paraId="256101C2">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在规定响应时限内恢复故障；</w:t>
            </w:r>
          </w:p>
          <w:p w14:paraId="7D5FC1DA">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及时汇报故障处理情况，做好处理工单记录；</w:t>
            </w:r>
          </w:p>
          <w:p w14:paraId="306865FB">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每月提供工单统计报表；</w:t>
            </w:r>
          </w:p>
          <w:p w14:paraId="54AC2141">
            <w:pPr>
              <w:pStyle w:val="5"/>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（3）故障设备的维修</w:t>
            </w:r>
          </w:p>
          <w:p w14:paraId="2B29D2C3">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在响应时间内完成故障设备的故障处理；</w:t>
            </w:r>
          </w:p>
          <w:p w14:paraId="5A9A1C5E">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对关键重点岗位及紧急的故障及时响应并及时汇报；</w:t>
            </w:r>
          </w:p>
          <w:p w14:paraId="45928DCC">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协助用户单位对故障设备送外维修或更换零配件提供人工服务（不包含办公设备外送维修费用、零配件更换费用及耗材费用）。</w:t>
            </w:r>
          </w:p>
          <w:p w14:paraId="5C4B080B">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桌面端设备故障排查所需的软、硬件工具及配件由服务方自行提供（包括测试用的CPU、内存、主板、显卡、声卡、网卡、测线器、螺丝刀等等）。</w:t>
            </w:r>
          </w:p>
          <w:p w14:paraId="3E4BF504">
            <w:pPr>
              <w:pStyle w:val="5"/>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（4）数据维护</w:t>
            </w:r>
          </w:p>
          <w:p w14:paraId="2187F655">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根据具体用户的实际需要，提供定期对有需要的客户端的系统优化和数据整理服务；</w:t>
            </w:r>
          </w:p>
          <w:p w14:paraId="74B969BE">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根据具体用户的实际需要，对于需送专业维修点检测的设备，协助对于敏感或重要的数据进行相应安全保密处理；</w:t>
            </w:r>
          </w:p>
          <w:p w14:paraId="3180081D">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根据的要求备份指定数据，协助拟制桌面设备最新维护、优化、管理信息。</w:t>
            </w:r>
          </w:p>
          <w:p w14:paraId="670B1B79">
            <w:pPr>
              <w:pStyle w:val="5"/>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（5）终端软件维护</w:t>
            </w:r>
          </w:p>
          <w:p w14:paraId="4B112007">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操作系统的安装、调试及升级；</w:t>
            </w:r>
          </w:p>
          <w:p w14:paraId="14394C96">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外设（打印机、扫描仪等设备）的相关驱动程序及软件的安装调试；</w:t>
            </w:r>
          </w:p>
          <w:p w14:paraId="37FB825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经授权进行软件安装、升级并排除软件使用过程中的故障；</w:t>
            </w:r>
          </w:p>
          <w:p w14:paraId="3D092E6E">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解决软件冲突造成的系统故障；</w:t>
            </w:r>
          </w:p>
          <w:p w14:paraId="75ED5523">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计算机标配的软件备份，包括随机恢复光盘，附带赠送软件、驱动程序等；</w:t>
            </w:r>
          </w:p>
          <w:p w14:paraId="326CB994">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计算机外设的软件备份。</w:t>
            </w:r>
          </w:p>
          <w:p w14:paraId="1A55273F">
            <w:pPr>
              <w:pStyle w:val="5"/>
              <w:spacing w:line="240" w:lineRule="auto"/>
              <w:ind w:firstLine="420" w:firstLineChars="200"/>
              <w:jc w:val="both"/>
              <w:rPr>
                <w:rFonts w:hint="eastAsia" w:ascii="仿宋_GB2312" w:eastAsia="仿宋_GB2312"/>
                <w:b/>
                <w:bCs w:val="0"/>
                <w:sz w:val="21"/>
                <w:szCs w:val="21"/>
              </w:rPr>
            </w:pPr>
            <w:r>
              <w:rPr>
                <w:rFonts w:hint="eastAsia" w:ascii="仿宋_GB2312" w:eastAsia="仿宋_GB2312"/>
                <w:b/>
                <w:bCs w:val="0"/>
                <w:sz w:val="21"/>
                <w:szCs w:val="21"/>
              </w:rPr>
              <w:t>（6）优化改善服务</w:t>
            </w:r>
          </w:p>
          <w:p w14:paraId="143DCDA8">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根据具体用户的实际需要，对有需要的客户端的系统优化和磁盘数据整理服务；</w:t>
            </w:r>
          </w:p>
          <w:p w14:paraId="29EDB55B">
            <w:pPr>
              <w:pStyle w:val="50"/>
              <w:numPr>
                <w:ilvl w:val="0"/>
                <w:numId w:val="1"/>
              </w:numPr>
              <w:ind w:right="105" w:rightChars="50"/>
              <w:rPr>
                <w:rFonts w:hint="eastAsia" w:ascii="仿宋_GB2312" w:hAnsi="仿宋" w:eastAsia="仿宋_GB2312" w:cs="宋体"/>
                <w:kern w:val="0"/>
                <w:szCs w:val="21"/>
              </w:rPr>
            </w:pPr>
            <w:r>
              <w:rPr>
                <w:rFonts w:hint="eastAsia" w:ascii="仿宋_GB2312" w:hAnsi="仿宋" w:eastAsia="仿宋_GB2312" w:cs="宋体"/>
                <w:kern w:val="0"/>
                <w:szCs w:val="21"/>
              </w:rPr>
              <w:t>根据用户操作习惯，优化系统启动服务、系统配置、注册等。</w:t>
            </w:r>
          </w:p>
          <w:p w14:paraId="19CCA8D5">
            <w:pPr>
              <w:pStyle w:val="51"/>
              <w:spacing w:beforeAutospacing="0" w:afterAutospacing="0"/>
              <w:ind w:firstLine="482"/>
              <w:rPr>
                <w:rFonts w:ascii="仿宋_GB2312" w:hAnsi="宋体" w:eastAsia="仿宋_GB2312" w:cs="仿宋_GB2312"/>
                <w:b/>
                <w:bCs/>
                <w:sz w:val="21"/>
                <w:szCs w:val="21"/>
              </w:rPr>
            </w:pPr>
            <w:bookmarkStart w:id="16" w:name="_Toc18957"/>
          </w:p>
          <w:p w14:paraId="223B803A">
            <w:pPr>
              <w:pStyle w:val="51"/>
              <w:spacing w:beforeAutospacing="0" w:afterAutospacing="0"/>
              <w:rPr>
                <w:rFonts w:ascii="仿宋_GB2312" w:hAnsi="宋体" w:eastAsia="仿宋_GB2312" w:cs="仿宋_GB2312"/>
                <w:b/>
                <w:bCs/>
                <w:sz w:val="21"/>
                <w:szCs w:val="21"/>
              </w:rPr>
            </w:pPr>
            <w:r>
              <w:rPr>
                <w:rFonts w:ascii="仿宋_GB2312" w:hAnsi="宋体" w:eastAsia="仿宋_GB2312" w:cs="仿宋_GB2312"/>
                <w:b/>
                <w:bCs/>
                <w:sz w:val="21"/>
                <w:szCs w:val="21"/>
              </w:rPr>
              <w:t>（二）信息化基础架构运维服务</w:t>
            </w:r>
            <w:bookmarkEnd w:id="16"/>
          </w:p>
          <w:p w14:paraId="10629AA1">
            <w:pPr>
              <w:pStyle w:val="51"/>
              <w:spacing w:beforeAutospacing="0" w:afterAutospacing="0"/>
              <w:ind w:firstLine="420" w:firstLineChars="200"/>
              <w:jc w:val="both"/>
              <w:rPr>
                <w:rFonts w:ascii="仿宋_GB2312" w:hAnsi="宋体" w:eastAsia="仿宋_GB2312" w:cs="仿宋_GB2312"/>
                <w:sz w:val="21"/>
                <w:szCs w:val="21"/>
              </w:rPr>
            </w:pPr>
            <w:r>
              <w:rPr>
                <w:rFonts w:ascii="仿宋_GB2312" w:hAnsi="宋体" w:eastAsia="仿宋_GB2312" w:cs="仿宋_GB2312"/>
                <w:sz w:val="21"/>
                <w:szCs w:val="21"/>
              </w:rPr>
              <w:t>对</w:t>
            </w:r>
            <w:r>
              <w:rPr>
                <w:rFonts w:ascii="仿宋_GB2312" w:eastAsia="仿宋_GB2312"/>
                <w:sz w:val="21"/>
                <w:szCs w:val="21"/>
              </w:rPr>
              <w:fldChar w:fldCharType="begin"/>
            </w:r>
            <w:r>
              <w:rPr>
                <w:rFonts w:ascii="仿宋_GB2312" w:eastAsia="仿宋_GB2312"/>
                <w:sz w:val="21"/>
                <w:szCs w:val="21"/>
              </w:rPr>
              <w:instrText xml:space="preserve">REF 单位名称 \h  \* MERGEFORMAT </w:instrText>
            </w:r>
            <w:r>
              <w:rPr>
                <w:rFonts w:ascii="仿宋_GB2312" w:eastAsia="仿宋_GB2312"/>
                <w:sz w:val="21"/>
                <w:szCs w:val="21"/>
              </w:rPr>
              <w:fldChar w:fldCharType="separate"/>
            </w:r>
            <w:r>
              <w:rPr>
                <w:rFonts w:ascii="仿宋_GB2312" w:hAnsi="宋体" w:eastAsia="仿宋_GB2312" w:cs="仿宋_GB2312"/>
                <w:sz w:val="21"/>
                <w:szCs w:val="21"/>
              </w:rPr>
              <w:t>广州市红十字会医院</w:t>
            </w:r>
            <w:r>
              <w:rPr>
                <w:rFonts w:ascii="仿宋_GB2312" w:eastAsia="仿宋_GB2312"/>
                <w:sz w:val="21"/>
                <w:szCs w:val="21"/>
              </w:rPr>
              <w:fldChar w:fldCharType="end"/>
            </w:r>
            <w:r>
              <w:rPr>
                <w:rFonts w:ascii="仿宋_GB2312" w:hAnsi="宋体" w:eastAsia="仿宋_GB2312" w:cs="仿宋_GB2312"/>
                <w:sz w:val="21"/>
                <w:szCs w:val="21"/>
              </w:rPr>
              <w:t>一院三区的信息化基础设施进行运行维护，包括机房、服务器及存储系统、网络系统、网络安全设备基础运维。</w:t>
            </w:r>
          </w:p>
          <w:p w14:paraId="51D1316C">
            <w:pPr>
              <w:pStyle w:val="51"/>
              <w:spacing w:beforeAutospacing="0" w:afterAutospacing="0"/>
              <w:jc w:val="both"/>
              <w:rPr>
                <w:rFonts w:ascii="仿宋_GB2312" w:eastAsia="仿宋_GB2312"/>
                <w:b/>
                <w:bCs/>
                <w:sz w:val="21"/>
                <w:szCs w:val="21"/>
              </w:rPr>
            </w:pPr>
            <w:r>
              <w:rPr>
                <w:rFonts w:ascii="仿宋_GB2312" w:eastAsia="仿宋_GB2312"/>
                <w:b/>
                <w:bCs/>
                <w:sz w:val="21"/>
                <w:szCs w:val="21"/>
              </w:rPr>
              <w:t>1、服务器及存储系统清单</w:t>
            </w:r>
          </w:p>
          <w:tbl>
            <w:tblPr>
              <w:tblStyle w:val="22"/>
              <w:tblW w:w="4981" w:type="pct"/>
              <w:tblInd w:w="0" w:type="dxa"/>
              <w:tblLayout w:type="fixed"/>
              <w:tblCellMar>
                <w:top w:w="0" w:type="dxa"/>
                <w:left w:w="108" w:type="dxa"/>
                <w:bottom w:w="0" w:type="dxa"/>
                <w:right w:w="108" w:type="dxa"/>
              </w:tblCellMar>
            </w:tblPr>
            <w:tblGrid>
              <w:gridCol w:w="766"/>
              <w:gridCol w:w="1653"/>
              <w:gridCol w:w="1665"/>
              <w:gridCol w:w="2945"/>
              <w:gridCol w:w="1246"/>
            </w:tblGrid>
            <w:tr w14:paraId="45A7814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47AD9F9">
                  <w:pPr>
                    <w:widowControl/>
                    <w:jc w:val="center"/>
                    <w:textAlignment w:val="center"/>
                    <w:rPr>
                      <w:rFonts w:hint="eastAsia" w:ascii="仿宋_GB2312" w:hAnsi="宋体" w:eastAsia="仿宋_GB2312" w:cs="仿宋_GB2312"/>
                      <w:color w:val="auto"/>
                      <w:kern w:val="0"/>
                      <w:sz w:val="21"/>
                      <w:szCs w:val="21"/>
                      <w:lang w:val="en-US" w:eastAsia="zh-CN" w:bidi="ar-SA"/>
                    </w:rPr>
                  </w:pPr>
                  <w:bookmarkStart w:id="17" w:name="_Toc44844620"/>
                  <w:bookmarkStart w:id="18" w:name="_Toc245290504"/>
                  <w:bookmarkStart w:id="19" w:name="_Toc146611528"/>
                  <w:bookmarkStart w:id="20" w:name="_Toc84236787"/>
                  <w:bookmarkStart w:id="21" w:name="_Toc214182241"/>
                  <w:bookmarkStart w:id="22" w:name="_Toc83802579"/>
                  <w:r>
                    <w:rPr>
                      <w:rFonts w:hint="eastAsia" w:ascii="仿宋_GB2312" w:hAnsi="宋体" w:eastAsia="仿宋_GB2312" w:cs="仿宋_GB2312"/>
                      <w:color w:val="auto"/>
                      <w:kern w:val="0"/>
                      <w:sz w:val="21"/>
                      <w:szCs w:val="21"/>
                      <w:lang w:val="en-US" w:eastAsia="zh-CN" w:bidi="ar-SA"/>
                    </w:rPr>
                    <w:t>序号</w:t>
                  </w:r>
                </w:p>
              </w:tc>
              <w:tc>
                <w:tcPr>
                  <w:tcW w:w="998" w:type="pct"/>
                  <w:tcBorders>
                    <w:top w:val="single" w:color="000000" w:sz="4" w:space="0"/>
                    <w:left w:val="single" w:color="000000" w:sz="4" w:space="0"/>
                    <w:bottom w:val="single" w:color="000000" w:sz="4" w:space="0"/>
                    <w:right w:val="single" w:color="000000" w:sz="4" w:space="0"/>
                  </w:tcBorders>
                  <w:vAlign w:val="center"/>
                </w:tcPr>
                <w:p w14:paraId="4BDF6A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资产名称</w:t>
                  </w:r>
                </w:p>
              </w:tc>
              <w:tc>
                <w:tcPr>
                  <w:tcW w:w="1005" w:type="pct"/>
                  <w:tcBorders>
                    <w:top w:val="single" w:color="000000" w:sz="4" w:space="0"/>
                    <w:left w:val="single" w:color="000000" w:sz="4" w:space="0"/>
                    <w:bottom w:val="single" w:color="000000" w:sz="4" w:space="0"/>
                    <w:right w:val="single" w:color="000000" w:sz="4" w:space="0"/>
                  </w:tcBorders>
                  <w:vAlign w:val="center"/>
                </w:tcPr>
                <w:p w14:paraId="080911D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品牌</w:t>
                  </w:r>
                </w:p>
              </w:tc>
              <w:tc>
                <w:tcPr>
                  <w:tcW w:w="1779" w:type="pct"/>
                  <w:tcBorders>
                    <w:top w:val="single" w:color="000000" w:sz="4" w:space="0"/>
                    <w:left w:val="single" w:color="000000" w:sz="4" w:space="0"/>
                    <w:bottom w:val="single" w:color="000000" w:sz="4" w:space="0"/>
                    <w:right w:val="single" w:color="000000" w:sz="4" w:space="0"/>
                  </w:tcBorders>
                  <w:vAlign w:val="center"/>
                </w:tcPr>
                <w:p w14:paraId="1240AC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规格型号</w:t>
                  </w:r>
                </w:p>
              </w:tc>
              <w:tc>
                <w:tcPr>
                  <w:tcW w:w="752" w:type="pct"/>
                  <w:tcBorders>
                    <w:top w:val="single" w:color="000000" w:sz="4" w:space="0"/>
                    <w:left w:val="single" w:color="000000" w:sz="4" w:space="0"/>
                    <w:bottom w:val="single" w:color="000000" w:sz="4" w:space="0"/>
                    <w:right w:val="single" w:color="000000" w:sz="4" w:space="0"/>
                  </w:tcBorders>
                  <w:vAlign w:val="center"/>
                </w:tcPr>
                <w:p w14:paraId="1E5AEF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实有数量</w:t>
                  </w:r>
                </w:p>
              </w:tc>
            </w:tr>
            <w:tr w14:paraId="09AD2DD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90B167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c>
                <w:tcPr>
                  <w:tcW w:w="998" w:type="pct"/>
                  <w:vMerge w:val="restart"/>
                  <w:tcBorders>
                    <w:top w:val="single" w:color="000000" w:sz="4" w:space="0"/>
                    <w:left w:val="single" w:color="000000" w:sz="4" w:space="0"/>
                    <w:bottom w:val="single" w:color="000000" w:sz="4" w:space="0"/>
                    <w:right w:val="single" w:color="000000" w:sz="4" w:space="0"/>
                  </w:tcBorders>
                  <w:noWrap/>
                  <w:vAlign w:val="center"/>
                </w:tcPr>
                <w:p w14:paraId="5F9EBF3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存储交换机</w:t>
                  </w: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C1522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71D192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SNS2224</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ED0D1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C5D026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DD83A4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8213C1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7C5682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博科</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44DDED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SAN SWITCH 200E</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C65955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890009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6CA98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CB81AE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76B096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博科</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DCC7A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SAN SWITCH 200E</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BE0A6C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113F8B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FAAF0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B87427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A645C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博科</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ED1496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SAN SWITCH 5100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B5189B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3A1550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064D53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C4C3BC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BFCF14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EMC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9ED9F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DS-300B</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593549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8D74C1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29F0F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w:t>
                  </w:r>
                </w:p>
              </w:tc>
              <w:tc>
                <w:tcPr>
                  <w:tcW w:w="998" w:type="pct"/>
                  <w:vMerge w:val="restart"/>
                  <w:tcBorders>
                    <w:top w:val="single" w:color="000000" w:sz="4" w:space="0"/>
                    <w:left w:val="single" w:color="000000" w:sz="4" w:space="0"/>
                    <w:bottom w:val="single" w:color="000000" w:sz="4" w:space="0"/>
                    <w:right w:val="single" w:color="000000" w:sz="4" w:space="0"/>
                  </w:tcBorders>
                  <w:noWrap/>
                  <w:vAlign w:val="center"/>
                </w:tcPr>
                <w:p w14:paraId="73D3E7E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存储阵列</w:t>
                  </w: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9386EC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3F2D73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5110V5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12BEC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0018E2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341796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E9B3DC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43F144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A0A4A0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PowerVault MD1200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8D724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EB335F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45BEF5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52A16C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79B48C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3A7FD4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SNS2224</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890B6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01F783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B698BD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DE323F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ECA974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0A949D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5500V3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E5839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539ED5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4337E9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96328D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D35DE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1B7CF2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VIS6600T</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3FD1F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159BFB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237B8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D83105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EE07A0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EFE772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CF5020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1906C4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BD3C19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E74FCE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DEFC75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7416B9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17BE01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CB7036G3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24C2F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C37CA1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C79A5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AFD2CB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57B341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5BE7B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CF5020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AA1A3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CA7EFD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AAB95A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5182EE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E7B1FA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66135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TIGLER SC8200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7725D3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F68C01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D77032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B7F676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7446F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EqualLogic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20FD0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S4100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73FA8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93BA0F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51124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020923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D3DA3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EqualLogic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FECA5E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S4100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584B67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72709C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85CD01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4ADB11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1E7D9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NetStor</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03B067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NetStor Storage</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C5C0F0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7EEBD7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F2483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B8F701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5C41E5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力特</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37141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力特外置USB磁盘盒</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7593BC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673777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91BD8B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509BFF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8CBDD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ED592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PowerVault ME4012</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CC3D90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572D63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A6F008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7CEFDB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61900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C6D99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Compellent SC4020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6EBD8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51DA14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46FEF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D61A91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B98DC4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33DBA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Compellent SC4020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CCDBA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74F945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BEDE4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E43AED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050E8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EMC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5FF28A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CX4-240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1C7DE0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6EFF0A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28CDC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F11360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E91EA8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EMC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FBC2C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VNX5300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808B28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C02EBF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1EEDE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0B95D6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1AD35C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9092BE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5500F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E0C85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E64F43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B269C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DEF696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A7ACDA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F1369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5500F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3E6E3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5BA878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48561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25486F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7150C5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EMC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781DC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Unity 380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75FF16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C6C8A2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DBE32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E90826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A708DC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2EC824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OceanStor 5510 V6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C27501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2CFA79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F62A5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BD6BEE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34417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IBM</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1F824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TS4300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BF8A38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3CC62D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E6D7FE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477EA2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C295F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鼎甲</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DC059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备份一体机</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DA76AE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A01989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FFD401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38631A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1E179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EMC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BB78DF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CX4-240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AA3388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7C5202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CFA4C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AA4C2A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570AA3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8CD54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OceanSpace HDP3500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3BBF3C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2AAB23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9B7A5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32</w:t>
                  </w:r>
                </w:p>
              </w:tc>
              <w:tc>
                <w:tcPr>
                  <w:tcW w:w="998" w:type="pct"/>
                  <w:vMerge w:val="restart"/>
                  <w:tcBorders>
                    <w:top w:val="single" w:color="000000" w:sz="4" w:space="0"/>
                    <w:left w:val="single" w:color="000000" w:sz="4" w:space="0"/>
                    <w:bottom w:val="single" w:color="000000" w:sz="4" w:space="0"/>
                    <w:right w:val="single" w:color="000000" w:sz="4" w:space="0"/>
                  </w:tcBorders>
                  <w:noWrap/>
                  <w:vAlign w:val="center"/>
                </w:tcPr>
                <w:p w14:paraId="7721DF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机架式服务器</w:t>
                  </w: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B80BF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62A99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NF5280M6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B1B402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A30C2B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41CD7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DAE419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824B8A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7847A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2288X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40BE6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AA378F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00291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AD5C5C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4A375B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7E5B2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VP9850A</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EB7AC3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8B3484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B617D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D553B0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ADA7A4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9EAAA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7C0770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E78F64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2CD23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7D342D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61E0F2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512BA9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76BB5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A5E316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6E7D3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EF6178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26545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B103E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2FAFF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B39A94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B20973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89D4EC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5D5842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4D3FC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03A464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CD9632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83C9D7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451209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9B03E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C16593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6D5213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9A0D77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430EE0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FD0634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CED8D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0BC2B3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15483A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0ED659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0328DF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1E677B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B7069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17D2E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891822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FF5265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76183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63D4E3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FDA56F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E9ECB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98D62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262192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7949BB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3279EA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340A67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5A4ED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R540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B6F90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F449B4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A6B254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99F6FD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12E05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BA45B8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R540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B32C9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C01719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C42CF6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43AABF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84A921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BE007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R540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502FC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F40892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5DCB56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794EB5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26EBD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FEF72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91AA3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098E5E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A32C55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351776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5D9F2C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52DC9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47364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0C10D1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238FAF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ABE66A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45263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22EB1C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3740D9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1DCCFB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2BC0F7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47EE83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35168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6BE1D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FA846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D3DC37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6A7A2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F2F041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34E044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1A70D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22857A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C84EE1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EA3EA5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8D5AB7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7999A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7B048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R240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D87A2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7E795B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8C381F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4054FD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C510B8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6DDDA9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NF5280M6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DD0DA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8010FA2">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52CEA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A45506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59DFC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333E08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669D0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BF842C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56C0A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D64D42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4377AC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8AE62B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67C0A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7AAF92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47053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0F23D4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356B4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48CEC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A82BB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DA456B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0932E4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4F4886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7EAF7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2B068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MF5270M6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ACF04B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A3EB72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072EB4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6176B3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D0E81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B2BADE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MF5270M6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7F1A2A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217763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19C814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B0B647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73FB78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7825BF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34CFB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2094D0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02793D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5C4A21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65E23A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1651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9B697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0F1107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FB001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4001CD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17975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A68F0E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F0FC6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E29590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A058F1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445983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5C67B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F6A932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753E3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5D4826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76DCAC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81D945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D5CBD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F9EA78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F278B6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F113EF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BE48A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E057C1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B99E1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B01B6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MF5280M6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919B4A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D43A0B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DD6378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52D080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3A397A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广电五舟</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64CD3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S627K2</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EDFF3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AC990B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CC3BF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0933E8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8B31F3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6E379D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DL580G7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73E82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EF0294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2FDCBD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4B91E1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883B57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05B61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DL580G7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660DF6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CFB134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76945D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7A1EAC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8C4F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3CF73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DL160G9</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E4E6B9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20FCD4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4FCB7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407FD2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61DB5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43750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2A429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B353BA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F6C2D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9445B1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6BA24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E85E3D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EBC4C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3FFDDC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523AA8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ABBA46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1FD7F5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801878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D8D4E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19CBED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5AF41E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BF546B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2BCC4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IBM</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C60F32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X3650M3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87060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3502CC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5DA43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7DAF6E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D2566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2D7DE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DL160G5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446AB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FEEF2B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2F265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731224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0C7CE6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IBM</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59B0CA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X3650M3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D9A23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732744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861AD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F452DD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E27B09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7420E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179CD7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90C560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881A32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C2708C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B33EF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207D93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R430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54851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B835B0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0A7927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5CCA6E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C044E2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A730E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R230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607AE1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299CA1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153A44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DFF6E6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377A5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969BA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77F58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B1CF09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02A76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92F1C8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A11E75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B0B9C6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R430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9F53E9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B4A08A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9B82E5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6E8D06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77A51D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联想</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94FD7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ThinkSystem SR550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5DFC1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77632B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C727B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B714F8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CDBC71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联想</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6F2285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ThinkServer SR658H-D1</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74E18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19CA1C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712892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3202E4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67070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德卡</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9F8BCD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智能终端机S300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775A3C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7A0015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8EC19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0079EF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61BF5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B4E77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94F548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74D41F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CE0A78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430206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ABD495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B9052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09FBC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DCBE13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1B215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372750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3D228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30894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RH2885HV3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B0764B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849AD5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DAD91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23D137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AA800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1C3B2C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RH2885HV3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91345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56EA17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D42F3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661002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5BD20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0394A5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AFF9E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96604C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1521F1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03E6C8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4FB02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6C822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82F294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C82C9C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786BA9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943F1D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3C167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123F9B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AB8CC7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72125B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02B93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54828F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AC7C17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5414E7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98D7B8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4AE6FD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0D534D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D35F29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F3D65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228F4F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411673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3FE8AA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562CB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889707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D3E8C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7986F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33BDD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56E21C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9558E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E48CE8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A078A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1FD75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E1D829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C8DFD4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1D7992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16215F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205C5F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B0C5B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0111F9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F33F0B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46DFA4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30C9C9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EB098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8171F2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58ABB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59F5B0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5532F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EE8C3B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9A3402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A29D4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FFE230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B1046E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1D08E5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FDD147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E406AD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9F9A1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5B9BE5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A24DBA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26D1F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BFCBA1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DF6065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BF70C6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BBB247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E71572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1F090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496104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00BAD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8FAFD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B9C41A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0E8406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FB533E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2C53CE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0508C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联想</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1B4AF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ThinkSystem SR658</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B2562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5D8273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CB5345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B5CFC8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AC6C1D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CC733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F7C0D3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4D4DF2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6E938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511BD0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AE238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0A84B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R750XS</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80EF7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89B835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FC54F8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C443D4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ABC01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6ADA74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4CA94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F28F9D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388A19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A0CE1B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1E6D90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5A90E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DL380G9</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8F4A9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59DAFC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70F36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9AC017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D2D2C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955DF5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DL380G9</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129D3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FAD06B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7C8A4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7163D3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40656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1B7ED3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081DD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F45CE0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417D50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88E560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96B127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8AF65A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R710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9B7BA0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39EFD88">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24D5B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D5153D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8B741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九鼎</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41CB6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九鼎打印服务器</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56B9B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FCDA31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F9C73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39C6BA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B2B13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92E2B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T110 II</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583EEE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3EC1EA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342A4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27F946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55AA87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数腾</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32E69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8S-1340-H3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3D546B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494C3E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4A121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5298B8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B0F6A7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数腾</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A3C3B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8S-1340-H3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A6DEC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9F215C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70E301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8E987A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20F4DB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4AB3D1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EC6AF0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A2FB1E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F0EE15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54F0D7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83CED6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19A876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73F96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0F1894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DD2FE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C4A69E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0B9EF1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B8526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299A1E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D1B16F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B8BD9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1170B3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69561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F624B5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6C33DF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EF52AF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85A222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81C9B2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56543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D2C62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DC6AD1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733199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5A20F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A4CC3C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8685E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B3C36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669EB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E3D1B6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66EE6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AFD97C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469FBA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AB5A0E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9D7A3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459761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B6847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744571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5E160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1CFE3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AB36E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D16BCF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BE9BA3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55163B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973E7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362EC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652587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BE7148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11C0B4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BAD6E0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6D162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DAEA1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852879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6DC84F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DC607D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11E46DE">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F5AB6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65E70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8EEF3A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F98B9F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6B79C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5C402B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BA7EFB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039437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R940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76FF1D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D3DD71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1ED05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45DC64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E42685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C2850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A51DA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2AC680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0885E5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692B40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DEDCC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416A01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R750XS</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C967C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A2FEE6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DE2E4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EF28C9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8F86B9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49B2F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74424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EEBB02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24FA2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97CCA8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3EC5E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FD2743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8094E6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B9551E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D34419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060EAB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E93174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0A573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6CC61E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5E3C0D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BD3EA6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11058C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9497FA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E46FF1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9FAF3F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C148A9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CA1FAB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CAA234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2D961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72F778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8B06D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C5E9B0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D9025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45398E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8B7DE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D23C4E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M1000E</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821F7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9A4B68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8A1AC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E6EA29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C37E45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78B4EC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FB2F7A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C51E2C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297BA5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2348DD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C4E15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C8D3C0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5933CB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B9D02A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967E4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BAA731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1B012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8E37FD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41E06B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C07E91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296F3B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B1F9DF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4A7947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54A9E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44EC41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4E9DCD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53CE9D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A8E393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037683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F81698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68C252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6F3626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AD3A8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09665F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9C9B4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数腾</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E3DA40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8S-1340-H3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34E6A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3D7C27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4E825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77CEDA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7E5606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5EB5B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3AB176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51953C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416EB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2F8A69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09939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17614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BE6195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4B21D7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C11E2C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DC8122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9EFF74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86B122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BCA6D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F19154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77AE9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BCB509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C91F1B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675C6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FADD8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E7F2F4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D1D63A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E6C723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F4966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联想</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01379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ThinkServer RD450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3AD84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9F32BC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C5B20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4080C7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740F5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3AEC01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ML370G3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805201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6F0BA2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0DBE0A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AC3ED2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25479F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华硕</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BAA459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PC Server 皮肤科专用</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83B784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62DA3E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002A8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34F1E5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597C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D5B2A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84DF0B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4938B5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37B71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DA954EC">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2165A9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8E2496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165705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D45518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2DB1B70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6E2141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7070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EA4877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DL580G7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E03FF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7204C3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00F4C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FF3E5A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7A2F09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1746BC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DL580G7</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521312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42A1BD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4FDA01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D5BFF1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36C67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B117F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1A88B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3FA726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F77DB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5DB9BD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16F4EF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1D29F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F8226C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373054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33C1D4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EC7014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DC87B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13B962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D2D3F1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B718E6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3DF10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3E5783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351A2C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A6E74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FC00AD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A193DD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3C3A7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A023D7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C90E8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C1AA0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D2E03F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133880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90B75A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E35E28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50FFB9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48FF1A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DL380G6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D83D1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2FD4EF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1BDFED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0856CD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2B4CE6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浪潮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C43887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英信SA5212M5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98202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A312C4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B896A4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0CBB0D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B694B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E4C76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A262FD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06D644B">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F3FB7D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95FCF90">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40B3CF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64C28E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1EC878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D05274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7439F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02B46C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B9B92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AEEA11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R940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B8314C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AC1A2E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143FDD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FB0FB4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C4D903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42AB3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72520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47565A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30F741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869D63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34A97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惠普</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E47B4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ProLiant DL580G4</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60D95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4D95C64">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49627E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D5A2D39">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CE8E65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E8285D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E3F2E7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D0E4D3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90C26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048D78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480FD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F24FE9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R910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70B9D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072AE9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5D05DF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DA485E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45C99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11352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R910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DC417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42018EF">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220BD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AF8D74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2ADFDE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2FED0F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2488H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10E71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A18A22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DFC206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24067E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04C1CE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979DF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2488H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D4476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AA4BB8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8DCC4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00D205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8E2EC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E7449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2488H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CC596E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2915E6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875F5A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5CD00C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587165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6C8C7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2488H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431351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D45E687">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4B7E19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BE07B1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53EE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FDBAF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V5</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FA30A2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541650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3C7E2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1D7DCE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40A97B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64907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FBFBB2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B4F76F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8F49AA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DDBB43D">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899CF5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E1926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5960BA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D0E1EE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9F224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56D035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7A85F82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1D5E6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047D84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2495F5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1B2646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A3E0DE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2A7D1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24AE7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D6FD5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BE2738A">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220689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B8C4C52">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C56CD2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810C2F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3749DE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EF222F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081D7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CA9E55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0E2D33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6E6140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4B97655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87A3DBB">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5515D4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408E48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79F602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4BAB8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3499C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20BE9F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927C3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C9417F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48A17D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C94E6B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5D648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9DAB2D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3B6F5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77E8E7B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03621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F10248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091FAF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EB5DA1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127CF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F0E915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B0EAB0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AE5AA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52D50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DCEADE9">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8D92F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DFFBAB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097601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B21C26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7EEF1CA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CFB88CE">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C40E1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1CCACAA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FBD14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F7C28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5E13C6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B2D6726">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5C33FD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B23E0E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4B88F71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57A1BA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270113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BBC1C5D">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8BC70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CB2CE1F">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629E7C0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128870D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C6D1DC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52892A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6628C1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41ED716">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658873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A4807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D88CF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5D4C4D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43873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184</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EB8ECC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098AC87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64E557F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33FB2E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94A01C8">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35DA1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185</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42735FCB">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6120C6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EBE25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AD6C5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A649623">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3D4ABFC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186</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94B3B77">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71DCC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87733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R740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49BB67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293F13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6E9E996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187</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5ACEF1B8">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A801B0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72BFA6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78B83F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42BF191">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9D95DE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188</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6C2834A">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62082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AE807C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R6900G6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80A6A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03B4EE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A40585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189</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947E87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2076A5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51732C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R6900G6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23BFE48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394F3CC">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7705A9C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190</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0CCCEAE5">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7197E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4E7F82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UniServer R4900G3</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6C2B114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AA740C2">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4CDF05F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191</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6ABC3913">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3B8ED6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21A6F2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FusionServer 2288H V6</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F1758B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F388BF0">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554EF4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192</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331B8681">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19B0E93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35EAF61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R730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1DA7609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CF6C925">
              <w:tblPrEx>
                <w:tblCellMar>
                  <w:top w:w="0" w:type="dxa"/>
                  <w:left w:w="108" w:type="dxa"/>
                  <w:bottom w:w="0" w:type="dxa"/>
                  <w:right w:w="108" w:type="dxa"/>
                </w:tblCellMar>
              </w:tblPrEx>
              <w:trPr>
                <w:trHeight w:val="270" w:hRule="atLeast"/>
              </w:trPr>
              <w:tc>
                <w:tcPr>
                  <w:tcW w:w="462" w:type="pct"/>
                  <w:tcBorders>
                    <w:top w:val="single" w:color="000000" w:sz="4" w:space="0"/>
                    <w:left w:val="single" w:color="000000" w:sz="4" w:space="0"/>
                    <w:bottom w:val="single" w:color="000000" w:sz="4" w:space="0"/>
                    <w:right w:val="single" w:color="000000" w:sz="4" w:space="0"/>
                  </w:tcBorders>
                  <w:noWrap/>
                  <w:vAlign w:val="center"/>
                </w:tcPr>
                <w:p w14:paraId="04A58B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193</w:t>
                  </w:r>
                </w:p>
              </w:tc>
              <w:tc>
                <w:tcPr>
                  <w:tcW w:w="998" w:type="pct"/>
                  <w:vMerge w:val="continue"/>
                  <w:tcBorders>
                    <w:top w:val="single" w:color="000000" w:sz="4" w:space="0"/>
                    <w:left w:val="single" w:color="000000" w:sz="4" w:space="0"/>
                    <w:bottom w:val="single" w:color="000000" w:sz="4" w:space="0"/>
                    <w:right w:val="single" w:color="000000" w:sz="4" w:space="0"/>
                  </w:tcBorders>
                  <w:noWrap/>
                  <w:vAlign w:val="center"/>
                </w:tcPr>
                <w:p w14:paraId="236F6B64">
                  <w:pPr>
                    <w:widowControl/>
                    <w:jc w:val="center"/>
                    <w:textAlignment w:val="center"/>
                    <w:rPr>
                      <w:rFonts w:hint="eastAsia" w:ascii="仿宋_GB2312" w:hAnsi="宋体" w:eastAsia="仿宋_GB2312" w:cs="仿宋_GB2312"/>
                      <w:color w:val="auto"/>
                      <w:kern w:val="0"/>
                      <w:sz w:val="21"/>
                      <w:szCs w:val="21"/>
                      <w:lang w:val="en-US" w:eastAsia="zh-CN" w:bidi="ar-SA"/>
                    </w:rPr>
                  </w:pPr>
                </w:p>
              </w:tc>
              <w:tc>
                <w:tcPr>
                  <w:tcW w:w="1005" w:type="pct"/>
                  <w:tcBorders>
                    <w:top w:val="single" w:color="000000" w:sz="4" w:space="0"/>
                    <w:left w:val="single" w:color="000000" w:sz="4" w:space="0"/>
                    <w:bottom w:val="single" w:color="000000" w:sz="4" w:space="0"/>
                    <w:right w:val="single" w:color="000000" w:sz="4" w:space="0"/>
                  </w:tcBorders>
                  <w:noWrap/>
                  <w:vAlign w:val="center"/>
                </w:tcPr>
                <w:p w14:paraId="5B1279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戴尔</w:t>
                  </w:r>
                </w:p>
              </w:tc>
              <w:tc>
                <w:tcPr>
                  <w:tcW w:w="1779" w:type="pct"/>
                  <w:tcBorders>
                    <w:top w:val="single" w:color="000000" w:sz="4" w:space="0"/>
                    <w:left w:val="single" w:color="000000" w:sz="4" w:space="0"/>
                    <w:bottom w:val="single" w:color="000000" w:sz="4" w:space="0"/>
                    <w:right w:val="single" w:color="000000" w:sz="4" w:space="0"/>
                  </w:tcBorders>
                  <w:noWrap/>
                  <w:vAlign w:val="center"/>
                </w:tcPr>
                <w:p w14:paraId="0EC7BB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PowerEdge R720</w:t>
                  </w:r>
                </w:p>
              </w:tc>
              <w:tc>
                <w:tcPr>
                  <w:tcW w:w="752" w:type="pct"/>
                  <w:tcBorders>
                    <w:top w:val="single" w:color="000000" w:sz="4" w:space="0"/>
                    <w:left w:val="single" w:color="000000" w:sz="4" w:space="0"/>
                    <w:bottom w:val="single" w:color="000000" w:sz="4" w:space="0"/>
                    <w:right w:val="single" w:color="000000" w:sz="4" w:space="0"/>
                  </w:tcBorders>
                  <w:noWrap/>
                  <w:vAlign w:val="center"/>
                </w:tcPr>
                <w:p w14:paraId="57B6FAB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bl>
          <w:p w14:paraId="00419B97"/>
          <w:p w14:paraId="0A23C07C">
            <w:pPr>
              <w:pStyle w:val="5"/>
              <w:spacing w:line="240" w:lineRule="auto"/>
              <w:rPr>
                <w:rFonts w:hint="eastAsia" w:ascii="仿宋_GB2312" w:eastAsia="仿宋_GB2312"/>
                <w:b/>
                <w:bCs w:val="0"/>
                <w:sz w:val="21"/>
                <w:szCs w:val="21"/>
              </w:rPr>
            </w:pPr>
            <w:r>
              <w:rPr>
                <w:rFonts w:hint="eastAsia" w:ascii="仿宋_GB2312" w:eastAsia="仿宋_GB2312"/>
                <w:b/>
                <w:bCs w:val="0"/>
                <w:sz w:val="21"/>
                <w:szCs w:val="21"/>
              </w:rPr>
              <w:t>2、服务器维护内容</w:t>
            </w:r>
            <w:bookmarkEnd w:id="17"/>
            <w:bookmarkEnd w:id="18"/>
            <w:bookmarkEnd w:id="19"/>
            <w:bookmarkEnd w:id="20"/>
            <w:bookmarkEnd w:id="21"/>
            <w:bookmarkEnd w:id="22"/>
            <w:r>
              <w:rPr>
                <w:rFonts w:hint="eastAsia" w:ascii="仿宋_GB2312" w:eastAsia="仿宋_GB2312"/>
                <w:b/>
                <w:bCs w:val="0"/>
                <w:sz w:val="21"/>
                <w:szCs w:val="21"/>
              </w:rPr>
              <w:t>及要求</w:t>
            </w:r>
          </w:p>
          <w:p w14:paraId="57D6A7DF">
            <w:pPr>
              <w:ind w:firstLine="480"/>
              <w:rPr>
                <w:rFonts w:hint="eastAsia" w:ascii="仿宋_GB2312" w:hAnsi="宋体" w:eastAsia="仿宋_GB2312" w:cs="Arial"/>
                <w:bCs/>
                <w:szCs w:val="21"/>
              </w:rPr>
            </w:pPr>
            <w:r>
              <w:rPr>
                <w:rFonts w:hint="eastAsia" w:ascii="仿宋_GB2312" w:hAnsi="宋体" w:eastAsia="仿宋_GB2312" w:cs="Arial"/>
                <w:bCs/>
                <w:szCs w:val="21"/>
              </w:rPr>
              <w:t>通过严格的日常维护，保证整个系统的高性能运行，通过及时的紧急应急措施，保障系统7×24小时不间断地运行；如系统出现故障，应保障系统在规定时内排除或减缓故障，使系统恢复正常工作，具体维护内容如下：</w:t>
            </w:r>
          </w:p>
          <w:p w14:paraId="2D795C5B">
            <w:pPr>
              <w:pageBreakBefore/>
              <w:numPr>
                <w:ilvl w:val="0"/>
                <w:numId w:val="2"/>
              </w:numPr>
              <w:rPr>
                <w:rFonts w:hint="eastAsia" w:ascii="仿宋_GB2312" w:hAnsi="宋体" w:eastAsia="仿宋_GB2312" w:cs="Arial"/>
                <w:b/>
                <w:szCs w:val="21"/>
              </w:rPr>
            </w:pPr>
            <w:r>
              <w:rPr>
                <w:rFonts w:hint="eastAsia" w:ascii="仿宋_GB2312" w:hAnsi="宋体" w:eastAsia="仿宋_GB2312" w:cs="Arial"/>
                <w:b/>
                <w:szCs w:val="21"/>
              </w:rPr>
              <w:t>、服务器及存储设备维护要求</w:t>
            </w:r>
          </w:p>
          <w:tbl>
            <w:tblPr>
              <w:tblStyle w:val="2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4"/>
              <w:gridCol w:w="579"/>
              <w:gridCol w:w="1379"/>
              <w:gridCol w:w="3906"/>
              <w:gridCol w:w="1669"/>
            </w:tblGrid>
            <w:tr w14:paraId="3C28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blHeader/>
              </w:trPr>
              <w:tc>
                <w:tcPr>
                  <w:tcW w:w="460" w:type="pct"/>
                  <w:shd w:val="clear" w:color="auto" w:fill="FFFFFF" w:themeFill="background1"/>
                  <w:vAlign w:val="center"/>
                </w:tcPr>
                <w:p w14:paraId="00D5C3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名称</w:t>
                  </w:r>
                </w:p>
              </w:tc>
              <w:tc>
                <w:tcPr>
                  <w:tcW w:w="349" w:type="pct"/>
                  <w:shd w:val="clear" w:color="auto" w:fill="FFFFFF" w:themeFill="background1"/>
                  <w:vAlign w:val="center"/>
                </w:tcPr>
                <w:p w14:paraId="3B9E516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831" w:type="pct"/>
                  <w:shd w:val="clear" w:color="auto" w:fill="FFFFFF" w:themeFill="background1"/>
                  <w:vAlign w:val="center"/>
                </w:tcPr>
                <w:p w14:paraId="5B40CCA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相关内容</w:t>
                  </w:r>
                </w:p>
              </w:tc>
              <w:tc>
                <w:tcPr>
                  <w:tcW w:w="2353" w:type="pct"/>
                  <w:shd w:val="clear" w:color="auto" w:fill="FFFFFF" w:themeFill="background1"/>
                  <w:vAlign w:val="center"/>
                </w:tcPr>
                <w:p w14:paraId="7E47799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维护要求</w:t>
                  </w:r>
                </w:p>
              </w:tc>
              <w:tc>
                <w:tcPr>
                  <w:tcW w:w="1005" w:type="pct"/>
                  <w:shd w:val="clear" w:color="auto" w:fill="FFFFFF" w:themeFill="background1"/>
                  <w:vAlign w:val="center"/>
                </w:tcPr>
                <w:p w14:paraId="692B7F1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备注说明</w:t>
                  </w:r>
                </w:p>
              </w:tc>
            </w:tr>
            <w:tr w14:paraId="78FB6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0" w:type="pct"/>
                  <w:vMerge w:val="restart"/>
                  <w:vAlign w:val="center"/>
                </w:tcPr>
                <w:p w14:paraId="3DA5A04A">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服务器及存储系统</w:t>
                  </w:r>
                </w:p>
              </w:tc>
              <w:tc>
                <w:tcPr>
                  <w:tcW w:w="349" w:type="pct"/>
                  <w:vAlign w:val="center"/>
                </w:tcPr>
                <w:p w14:paraId="28117FE8">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w:t>
                  </w:r>
                </w:p>
              </w:tc>
              <w:tc>
                <w:tcPr>
                  <w:tcW w:w="831" w:type="pct"/>
                  <w:vAlign w:val="center"/>
                </w:tcPr>
                <w:p w14:paraId="39CCFE9C">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设备主机、环境保养</w:t>
                  </w:r>
                </w:p>
              </w:tc>
              <w:tc>
                <w:tcPr>
                  <w:tcW w:w="2353" w:type="pct"/>
                  <w:vAlign w:val="center"/>
                </w:tcPr>
                <w:p w14:paraId="42213CD1">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制定年度预防性维护计划，提供预防性维护，对服务器的运行状况、安全性等进行健康检查。包括硬件设备的检查、调整和坏件更换，运行环境、网络环境、硬件配置的检查，以及对操作系统日志的检查与分析，根据系统的报错信息，发现系统潜在问题，尽早采取措施，排除故障隐患。要求维护后提交完整的报告。</w:t>
                  </w:r>
                </w:p>
              </w:tc>
              <w:tc>
                <w:tcPr>
                  <w:tcW w:w="1005" w:type="pct"/>
                  <w:vAlign w:val="center"/>
                </w:tcPr>
                <w:p w14:paraId="08397CCD">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服务器及存储保养、给配电等环境保养</w:t>
                  </w:r>
                </w:p>
              </w:tc>
            </w:tr>
            <w:tr w14:paraId="70565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460" w:type="pct"/>
                  <w:vMerge w:val="continue"/>
                  <w:vAlign w:val="center"/>
                </w:tcPr>
                <w:p w14:paraId="355D0B20">
                  <w:pPr>
                    <w:widowControl/>
                    <w:ind w:left="-105" w:leftChars="-50" w:right="-105" w:rightChars="-50"/>
                    <w:jc w:val="center"/>
                    <w:rPr>
                      <w:rFonts w:hint="eastAsia" w:ascii="仿宋_GB2312" w:hAnsi="仿宋_GB2312" w:eastAsia="仿宋_GB2312" w:cs="仿宋_GB2312"/>
                      <w:color w:val="auto"/>
                      <w:szCs w:val="21"/>
                    </w:rPr>
                  </w:pPr>
                </w:p>
              </w:tc>
              <w:tc>
                <w:tcPr>
                  <w:tcW w:w="349" w:type="pct"/>
                  <w:vAlign w:val="center"/>
                </w:tcPr>
                <w:p w14:paraId="7B15232F">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w:t>
                  </w:r>
                </w:p>
              </w:tc>
              <w:tc>
                <w:tcPr>
                  <w:tcW w:w="831" w:type="pct"/>
                  <w:vAlign w:val="center"/>
                </w:tcPr>
                <w:p w14:paraId="38A853E6">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操作系统维护</w:t>
                  </w:r>
                </w:p>
              </w:tc>
              <w:tc>
                <w:tcPr>
                  <w:tcW w:w="2353" w:type="pct"/>
                  <w:vAlign w:val="center"/>
                </w:tcPr>
                <w:p w14:paraId="6BB64E41">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用户数扩容、故障修复，对服务器及存储提供每季度一次的性能测试和调优服务，系统性能扩充和使用建议（如有），以便保证系统性能不断改进并运行在最佳状态。及时通知更新服务器及存储操作系统的补丁，并提出具体建议，保证系统性能得到不断的改善。</w:t>
                  </w:r>
                </w:p>
              </w:tc>
              <w:tc>
                <w:tcPr>
                  <w:tcW w:w="1005" w:type="pct"/>
                  <w:vAlign w:val="center"/>
                </w:tcPr>
                <w:p w14:paraId="3F3D63A4">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监控服务器及存储CPU、内存、文件系统、卷等资源使用情况及其它异常情况。服务器及存储升级建议、日志检查</w:t>
                  </w:r>
                </w:p>
              </w:tc>
            </w:tr>
            <w:tr w14:paraId="3EFAB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60" w:type="pct"/>
                  <w:vMerge w:val="continue"/>
                  <w:vAlign w:val="center"/>
                </w:tcPr>
                <w:p w14:paraId="2CB90390">
                  <w:pPr>
                    <w:widowControl/>
                    <w:ind w:left="-105" w:leftChars="-50" w:right="-105" w:rightChars="-50"/>
                    <w:jc w:val="center"/>
                    <w:rPr>
                      <w:rFonts w:hint="eastAsia" w:ascii="仿宋_GB2312" w:hAnsi="仿宋_GB2312" w:eastAsia="仿宋_GB2312" w:cs="仿宋_GB2312"/>
                      <w:color w:val="auto"/>
                      <w:szCs w:val="21"/>
                    </w:rPr>
                  </w:pPr>
                </w:p>
              </w:tc>
              <w:tc>
                <w:tcPr>
                  <w:tcW w:w="349" w:type="pct"/>
                  <w:vAlign w:val="center"/>
                </w:tcPr>
                <w:p w14:paraId="4C060AC7">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w:t>
                  </w:r>
                </w:p>
              </w:tc>
              <w:tc>
                <w:tcPr>
                  <w:tcW w:w="831" w:type="pct"/>
                  <w:vAlign w:val="center"/>
                </w:tcPr>
                <w:p w14:paraId="68D34EC2">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服务器及存储系统故障检测及排除</w:t>
                  </w:r>
                </w:p>
              </w:tc>
              <w:tc>
                <w:tcPr>
                  <w:tcW w:w="2353" w:type="pct"/>
                  <w:vAlign w:val="center"/>
                </w:tcPr>
                <w:p w14:paraId="713C0660">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在服务期内提供周一至周日7×24小时的电话支持和现场响应服务，解决建设单位主机系统的所有问题。</w:t>
                  </w:r>
                </w:p>
              </w:tc>
              <w:tc>
                <w:tcPr>
                  <w:tcW w:w="1005" w:type="pct"/>
                  <w:vAlign w:val="center"/>
                </w:tcPr>
                <w:p w14:paraId="47512AB3">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当系统出现问题时，服务方必须及时对问题进行诊断、分析，并解决问题。如果是紧急故障，导致系统无法工作，业务停止运行的情况下，要求技术人员在10分钟内到故障现场进行。</w:t>
                  </w:r>
                </w:p>
              </w:tc>
            </w:tr>
            <w:tr w14:paraId="266D6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60" w:type="pct"/>
                  <w:vMerge w:val="continue"/>
                  <w:vAlign w:val="center"/>
                </w:tcPr>
                <w:p w14:paraId="08C75DCF">
                  <w:pPr>
                    <w:widowControl/>
                    <w:ind w:left="-105" w:leftChars="-50" w:right="-105" w:rightChars="-50"/>
                    <w:jc w:val="center"/>
                    <w:rPr>
                      <w:rFonts w:hint="eastAsia" w:ascii="仿宋_GB2312" w:hAnsi="仿宋_GB2312" w:eastAsia="仿宋_GB2312" w:cs="仿宋_GB2312"/>
                      <w:color w:val="auto"/>
                      <w:szCs w:val="21"/>
                    </w:rPr>
                  </w:pPr>
                </w:p>
              </w:tc>
              <w:tc>
                <w:tcPr>
                  <w:tcW w:w="349" w:type="pct"/>
                  <w:vAlign w:val="center"/>
                </w:tcPr>
                <w:p w14:paraId="798F91CE">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w:t>
                  </w:r>
                </w:p>
              </w:tc>
              <w:tc>
                <w:tcPr>
                  <w:tcW w:w="831" w:type="pct"/>
                  <w:vAlign w:val="center"/>
                </w:tcPr>
                <w:p w14:paraId="384D4479">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操作系统重部署及调试</w:t>
                  </w:r>
                </w:p>
              </w:tc>
              <w:tc>
                <w:tcPr>
                  <w:tcW w:w="2353" w:type="pct"/>
                  <w:vAlign w:val="center"/>
                </w:tcPr>
                <w:p w14:paraId="61976EBD">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在需要现场技术支持服务时，应在交通条件允许的情况下，在最短的时间内到达设备使用现场解决问题。并提供对所有技术支持、服务请求、故障报修、技术咨询的单点专员联系，对所有问题的记录、分派、跟踪和管理、分析和报告。</w:t>
                  </w:r>
                </w:p>
              </w:tc>
              <w:tc>
                <w:tcPr>
                  <w:tcW w:w="1005" w:type="pct"/>
                  <w:vAlign w:val="center"/>
                </w:tcPr>
                <w:p w14:paraId="6C832173">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对服务器及存储提供性能测试和调优服务，提供性能测试报告及系统性能扩充和使用建议，以便保证系统性能不断改进并运行在最佳状态。系统发生故障后， 要求在尽短时间内恢复系统，并承诺高达99%的系统可用性。</w:t>
                  </w:r>
                </w:p>
              </w:tc>
            </w:tr>
            <w:tr w14:paraId="21995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460" w:type="pct"/>
                  <w:vMerge w:val="continue"/>
                  <w:vAlign w:val="center"/>
                </w:tcPr>
                <w:p w14:paraId="52934337">
                  <w:pPr>
                    <w:widowControl/>
                    <w:ind w:left="-105" w:leftChars="-50" w:right="-105" w:rightChars="-50"/>
                    <w:jc w:val="center"/>
                    <w:rPr>
                      <w:rFonts w:hint="eastAsia" w:ascii="仿宋_GB2312" w:hAnsi="仿宋_GB2312" w:eastAsia="仿宋_GB2312" w:cs="仿宋_GB2312"/>
                      <w:color w:val="auto"/>
                      <w:szCs w:val="21"/>
                    </w:rPr>
                  </w:pPr>
                </w:p>
              </w:tc>
              <w:tc>
                <w:tcPr>
                  <w:tcW w:w="349" w:type="pct"/>
                  <w:vAlign w:val="center"/>
                </w:tcPr>
                <w:p w14:paraId="50619087">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6</w:t>
                  </w:r>
                </w:p>
              </w:tc>
              <w:tc>
                <w:tcPr>
                  <w:tcW w:w="831" w:type="pct"/>
                  <w:vAlign w:val="center"/>
                </w:tcPr>
                <w:p w14:paraId="3ACBABFF">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服务器及存储维修及备件提供</w:t>
                  </w:r>
                </w:p>
              </w:tc>
              <w:tc>
                <w:tcPr>
                  <w:tcW w:w="2353" w:type="pct"/>
                  <w:vAlign w:val="center"/>
                </w:tcPr>
                <w:p w14:paraId="02EBC1B4">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服务器及存储设备故障需要进行备件更换时，备件备机费用包含在本项目总费用中，用户无需额外付费。服务供应方自身技术力量无法维护某些设备、软件或无法解决故障，需第三方支持或外包给第三方时，由服务方负责。</w:t>
                  </w:r>
                </w:p>
              </w:tc>
              <w:tc>
                <w:tcPr>
                  <w:tcW w:w="1005" w:type="pct"/>
                  <w:vAlign w:val="center"/>
                </w:tcPr>
                <w:p w14:paraId="4EF55A58">
                  <w:pPr>
                    <w:widowControl/>
                    <w:ind w:left="-105" w:leftChars="-50" w:right="-105" w:rightChars="-5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　当设备或系统出现故障时，服务方应及时进行检查、维修或更换故障部件。如果硬件设备故障，保证在4小时内提供不低于故障设备规格型号档次的备用设备替代使用，直至故障设备修复为止，以最大限度保证业务系统不间断地正常运行。若需要更换部件，其更换的部件与原有部件具备同等的质量。维修及更换设备配件的费用全部由运维商承担。</w:t>
                  </w:r>
                </w:p>
              </w:tc>
            </w:tr>
          </w:tbl>
          <w:p w14:paraId="022230BF">
            <w:pPr>
              <w:rPr>
                <w:rFonts w:ascii="仿宋_GB2312" w:eastAsia="仿宋_GB2312"/>
                <w:szCs w:val="21"/>
              </w:rPr>
            </w:pPr>
          </w:p>
          <w:p w14:paraId="517E9C33">
            <w:pPr>
              <w:pStyle w:val="5"/>
              <w:spacing w:line="240" w:lineRule="auto"/>
              <w:rPr>
                <w:rFonts w:hint="eastAsia" w:ascii="仿宋_GB2312" w:eastAsia="仿宋_GB2312"/>
                <w:b/>
                <w:bCs w:val="0"/>
                <w:sz w:val="21"/>
                <w:szCs w:val="21"/>
              </w:rPr>
            </w:pPr>
            <w:r>
              <w:rPr>
                <w:rFonts w:hint="eastAsia" w:ascii="仿宋_GB2312" w:eastAsia="仿宋_GB2312"/>
                <w:b/>
                <w:bCs w:val="0"/>
                <w:sz w:val="21"/>
                <w:szCs w:val="21"/>
              </w:rPr>
              <w:t>3、网络系统维护内容及要求</w:t>
            </w:r>
          </w:p>
          <w:p w14:paraId="0AF4AF75">
            <w:pPr>
              <w:rPr>
                <w:rFonts w:hint="eastAsia" w:ascii="仿宋_GB2312" w:hAnsi="宋体" w:eastAsia="仿宋_GB2312"/>
                <w:b/>
                <w:kern w:val="0"/>
                <w:szCs w:val="21"/>
              </w:rPr>
            </w:pPr>
            <w:r>
              <w:rPr>
                <w:rFonts w:hint="eastAsia" w:ascii="仿宋_GB2312" w:hAnsi="宋体" w:eastAsia="仿宋_GB2312"/>
                <w:b/>
                <w:kern w:val="0"/>
                <w:szCs w:val="21"/>
              </w:rPr>
              <w:t>（1）、网络设备清单</w:t>
            </w:r>
          </w:p>
          <w:tbl>
            <w:tblPr>
              <w:tblStyle w:val="22"/>
              <w:tblW w:w="4998" w:type="pct"/>
              <w:tblInd w:w="0" w:type="dxa"/>
              <w:tblLayout w:type="fixed"/>
              <w:tblCellMar>
                <w:top w:w="0" w:type="dxa"/>
                <w:left w:w="108" w:type="dxa"/>
                <w:bottom w:w="0" w:type="dxa"/>
                <w:right w:w="108" w:type="dxa"/>
              </w:tblCellMar>
            </w:tblPr>
            <w:tblGrid>
              <w:gridCol w:w="825"/>
              <w:gridCol w:w="2420"/>
              <w:gridCol w:w="1240"/>
              <w:gridCol w:w="2993"/>
              <w:gridCol w:w="826"/>
            </w:tblGrid>
            <w:tr w14:paraId="589BE8C3">
              <w:tblPrEx>
                <w:tblCellMar>
                  <w:top w:w="0" w:type="dxa"/>
                  <w:left w:w="108" w:type="dxa"/>
                  <w:bottom w:w="0" w:type="dxa"/>
                  <w:right w:w="108" w:type="dxa"/>
                </w:tblCellMar>
              </w:tblPrEx>
              <w:trPr>
                <w:trHeight w:val="270"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75B13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1456" w:type="pct"/>
                  <w:tcBorders>
                    <w:top w:val="single" w:color="000000" w:sz="4" w:space="0"/>
                    <w:left w:val="single" w:color="000000" w:sz="4" w:space="0"/>
                    <w:bottom w:val="single" w:color="000000" w:sz="4" w:space="0"/>
                    <w:right w:val="single" w:color="000000" w:sz="4" w:space="0"/>
                  </w:tcBorders>
                  <w:vAlign w:val="center"/>
                </w:tcPr>
                <w:p w14:paraId="3EA84A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资产名称</w:t>
                  </w:r>
                </w:p>
              </w:tc>
              <w:tc>
                <w:tcPr>
                  <w:tcW w:w="746" w:type="pct"/>
                  <w:tcBorders>
                    <w:top w:val="single" w:color="000000" w:sz="4" w:space="0"/>
                    <w:left w:val="single" w:color="000000" w:sz="4" w:space="0"/>
                    <w:bottom w:val="single" w:color="000000" w:sz="4" w:space="0"/>
                    <w:right w:val="single" w:color="000000" w:sz="4" w:space="0"/>
                  </w:tcBorders>
                  <w:vAlign w:val="center"/>
                </w:tcPr>
                <w:p w14:paraId="08217AB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品牌</w:t>
                  </w:r>
                </w:p>
              </w:tc>
              <w:tc>
                <w:tcPr>
                  <w:tcW w:w="1801" w:type="pct"/>
                  <w:tcBorders>
                    <w:top w:val="single" w:color="000000" w:sz="4" w:space="0"/>
                    <w:left w:val="single" w:color="000000" w:sz="4" w:space="0"/>
                    <w:bottom w:val="single" w:color="000000" w:sz="4" w:space="0"/>
                    <w:right w:val="single" w:color="000000" w:sz="4" w:space="0"/>
                  </w:tcBorders>
                  <w:vAlign w:val="center"/>
                </w:tcPr>
                <w:p w14:paraId="74CDF7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规格型号</w:t>
                  </w:r>
                </w:p>
              </w:tc>
              <w:tc>
                <w:tcPr>
                  <w:tcW w:w="497" w:type="pct"/>
                  <w:tcBorders>
                    <w:top w:val="single" w:color="000000" w:sz="4" w:space="0"/>
                    <w:left w:val="single" w:color="000000" w:sz="4" w:space="0"/>
                    <w:bottom w:val="single" w:color="000000" w:sz="4" w:space="0"/>
                    <w:right w:val="single" w:color="000000" w:sz="4" w:space="0"/>
                  </w:tcBorders>
                  <w:vAlign w:val="center"/>
                </w:tcPr>
                <w:p w14:paraId="281F92B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实有数量</w:t>
                  </w:r>
                </w:p>
              </w:tc>
            </w:tr>
            <w:tr w14:paraId="18B711EB">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A441BC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0342CE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91F68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B3BF9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S7503</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28D5D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27334CCA">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B8EF8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6801C0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3CE841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044F2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S5130S-28P-HPWR-EI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EE94B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w:t>
                  </w:r>
                </w:p>
              </w:tc>
            </w:tr>
            <w:tr w14:paraId="58977519">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26CBB0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7B1A3C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核心交换机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01CD5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99027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S12700E-8</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CF6D4A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0D6A0269">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B29F75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84BD7B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1B6CE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135307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CE6850-48S4Q-EI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B5623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6EABA09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82D7B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3D937B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5F2CCC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7C2C19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S5500V2-30F-EI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96C292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60A3EAA0">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88BE4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7AC88F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C27194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850E35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S9500E-CMW520-R1238P08</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B67752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59F4432">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42AA18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EB0FC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C367D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340A2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S3110-52TP-SI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38C48D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6C367717">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EB912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861DC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6B274E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914C0F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S5024PV5-EI-PWR</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DF4AE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4CA8880F">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871C79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34C577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56C8AB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C3EAB2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S5500V2-52C-EI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3A4272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5D9DBEB">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5B4AB1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5D0F8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98532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AA982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S1730S-S48T4S-A1</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775D9F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w:t>
                  </w:r>
                </w:p>
              </w:tc>
            </w:tr>
            <w:tr w14:paraId="01947BB3">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CF501A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BD1A1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910D1F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E510F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3340DC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w:t>
                  </w:r>
                </w:p>
              </w:tc>
            </w:tr>
            <w:tr w14:paraId="4006969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DB0C8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8EC11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3B1AC5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B69D67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6857E-48S6CQ</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235CF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280D2A7">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EC94E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5C0EDAB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4E9F3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A5A279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CE5855-48T4S2Q-EI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B6FE0C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r>
            <w:tr w14:paraId="3248C3CA">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DBD189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953C8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F41C7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01E98E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CE6851-48S6Q-HI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963DE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4A1F0756">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9699E6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AFC2F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46BC8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33E61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 S1850-10p</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67DD3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3B0105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EB5B9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699EA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AF1D9D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锐捷</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98FDD2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RG-S1920-24GT4SFP/2GT</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46E561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r>
            <w:tr w14:paraId="2A4A5EF2">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09816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1DE193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EB258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锐捷</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70C387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RG-S2906-24GT4MS-P-L</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98AF53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9AE6BF2">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D814B6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A0EE21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B7D2CF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锐捷</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4BEFFD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RG-S2910-24GT4XS-E</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ABE9B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236D72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52720F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F12592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034A33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70B799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RS3320-12M-PWR-LI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691112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r>
            <w:tr w14:paraId="12DBA32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4B9C6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6371F3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B1CC9C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58D88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RS3320-28M-PWR-LI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3083C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20</w:t>
                  </w:r>
                </w:p>
              </w:tc>
            </w:tr>
            <w:tr w14:paraId="7752F5F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71AFD0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9B1EC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99A785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4850C3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RS5300-28X-PWR-SI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8BD38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13</w:t>
                  </w:r>
                </w:p>
              </w:tc>
            </w:tr>
            <w:tr w14:paraId="76DAA80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5A6AF2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E9D344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35185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97B9D9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RS5300-28X-SI-24S</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D1EEC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D27D76D">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2E9E1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1ABC9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551540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EA5AB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RS5300-52X-SI-48S</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52F3A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71C6BD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FDB53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6B9A25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EBBDEB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443729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S1048</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F8F9F4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49DEE98D">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02609F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46DDD6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8B63CD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E8534B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s3100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688000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20B1379">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97A05A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4C3958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301850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A53E87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S3110-26TP-SI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ECA61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w:t>
                  </w:r>
                </w:p>
              </w:tc>
            </w:tr>
            <w:tr w14:paraId="614CB762">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DEE4A9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0BB2BC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1F4BC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C5018E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S3600-52P-SI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EBF220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4A68774A">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128995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469B6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76E688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8C95AE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49F29C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7FEB0A1">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D6EC4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59D202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60C22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AD303C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S5110-28</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F314F9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7C72C6E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126C3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4C0D1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9881F7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A6C724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S5110-28P</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3B9043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w:t>
                  </w:r>
                </w:p>
              </w:tc>
            </w:tr>
            <w:tr w14:paraId="7E1C8DBA">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3E013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966898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F20CF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FC4022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S5110-28P-PWR</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EF46C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67DE04D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3AEA4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D9214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715250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8F951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S5110V2-52P</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CC8E5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8CCF45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AB03B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704BAD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8E3D63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69F6BC4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S5110V2-52P-SI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0E15A2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15</w:t>
                  </w:r>
                </w:p>
              </w:tc>
            </w:tr>
            <w:tr w14:paraId="75F44D0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88909C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C4F666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D63D2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56579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94A28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w:t>
                  </w:r>
                </w:p>
              </w:tc>
            </w:tr>
            <w:tr w14:paraId="5D172BC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087CF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8A6AD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45697A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3C2635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S5120-28C-PWR-EI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4A1333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BD9B5B1">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7AF73A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F206F2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D351EE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4F212E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S5120-28P-PWR-SI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A98FA4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1CDE776F">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F14BE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CD545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6902C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6932B0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S5120-28P-SI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1C7A8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w:t>
                  </w:r>
                </w:p>
              </w:tc>
            </w:tr>
            <w:tr w14:paraId="3298F01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11683E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936B1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A8BEA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EE42A0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 xml:space="preserve">S5120-52C-PWR-EI </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7403CB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8ABBACB">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CB5102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DDEFE5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47A7E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4643AA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S5120-52P-SI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BE8E6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w:t>
                  </w:r>
                </w:p>
              </w:tc>
            </w:tr>
            <w:tr w14:paraId="7786795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FA2A7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DD6D49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705016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030AC8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S5120V3-28P-HPWR-SI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D2AC93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26</w:t>
                  </w:r>
                </w:p>
              </w:tc>
            </w:tr>
            <w:tr w14:paraId="7811A61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4BE711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563C56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267471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1E736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S5120V3-52P-LI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83D826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0F6BC45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BAA076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D4B4D3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5F387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E6E90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S5120V3-54P-PWR-SI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A6719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9</w:t>
                  </w:r>
                </w:p>
              </w:tc>
            </w:tr>
            <w:tr w14:paraId="2CC8DF21">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1A26EE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7A6D8B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093A3C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689EEF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S5130-54C-PWR-HI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4789B8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7C0FF487">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25427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00CC6B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C5F9EB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376D3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S5130S-28P-EI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1B7C13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w:t>
                  </w:r>
                </w:p>
              </w:tc>
            </w:tr>
            <w:tr w14:paraId="460C5E5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F7F6B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EC9A4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2EDCE8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E548C4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S5130S-28S-PWR-HI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89506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w:t>
                  </w:r>
                </w:p>
              </w:tc>
            </w:tr>
            <w:tr w14:paraId="4CB92A80">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0FC84C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C47B0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B238F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6348F7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S5130S-52P-EI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119DBB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11</w:t>
                  </w:r>
                </w:p>
              </w:tc>
            </w:tr>
            <w:tr w14:paraId="30F0F9A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245296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73CFB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68947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B1AC2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S5500V2-28C-EI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E84C1F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11C61707">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CE1AB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9BE6DD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F8E1E6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1F1A61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S5600-50C</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F286EF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BB3CE1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F8EADF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D0ED63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7DF82E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390D4D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FC0EE3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6F90762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F35A1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5F6A7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0EB06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0018F0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S5700-24TP-PWR-SI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FD58F5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156394D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95D36F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031AA3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442044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D0E8B4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S5700-28C-SI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AB7E96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3A5770A2">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08E68F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4E8A8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50181E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3E6AB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S5700-48TP-SI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7E3437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6C6FDA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5B8768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8247EA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33C125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BED560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S5700-48TP-SI-AC</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A8B95C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108CB39">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E7AC62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58F7A77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977D77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D752D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S5700-52C-SI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BFBA9C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0F2A57CD">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9DC1F6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814FA8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4887C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A083DA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S5700S-28P-LI-AC</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622DEA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C6C951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3B6FED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EEC082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5EBF09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046331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S5720-52X-LI-AC</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B7DCFE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17</w:t>
                  </w:r>
                </w:p>
              </w:tc>
            </w:tr>
            <w:tr w14:paraId="2F577D9A">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6CD50F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53A98F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191CD4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BF44B7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S5720-56C-EI-AC</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FA0BE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11390439">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D58379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C6A39A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47E0E99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50B8DB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S57355</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F28E13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C6C249C">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7E14497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59</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D0F618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A36DF5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华为</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FDFC02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S5735S-L48T4S-A</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E1052B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18</w:t>
                  </w:r>
                </w:p>
              </w:tc>
            </w:tr>
            <w:tr w14:paraId="55CDFA6B">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9CE9FB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DE555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AAE94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A87DE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S6520X-54QC-EI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2EBD3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3C63265">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5C7FC3C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6E918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24F310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7BC45F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XS1550U-26P-PWR</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A126EF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51</w:t>
                  </w:r>
                </w:p>
              </w:tc>
            </w:tr>
            <w:tr w14:paraId="74B29CED">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989AA0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2E4707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0EDB6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C4669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S6520X-30HC-EI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74884B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4</w:t>
                  </w:r>
                </w:p>
              </w:tc>
            </w:tr>
            <w:tr w14:paraId="6077630F">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C2C684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AAFEF4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4B1EC2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58B618C">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S6520X-54HC-EI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1A19788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436A1783">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9F0523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17AB80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ADCF07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7E0DC2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NAC-6300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BBF319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2D42727B">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A3C06F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467E50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E65576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8F5A00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WX2520X-LI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97DB98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37C63F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FF054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66</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5EED98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77411E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75FCFE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WX2560X</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DFBB4D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33E1D5A6">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1B499F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67</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312D96C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307ABAD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BA7ACC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WX3510H</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A4EAB4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58FD868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0492B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68</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664C7F8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530020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99FCE7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WX3510X</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6AEFE9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2</w:t>
                  </w:r>
                </w:p>
              </w:tc>
            </w:tr>
            <w:tr w14:paraId="5F836F0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F65BC7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69</w:t>
                  </w:r>
                </w:p>
              </w:tc>
              <w:tc>
                <w:tcPr>
                  <w:tcW w:w="1456" w:type="pct"/>
                  <w:tcBorders>
                    <w:top w:val="single" w:color="000000" w:sz="4" w:space="0"/>
                    <w:left w:val="single" w:color="000000" w:sz="4" w:space="0"/>
                    <w:bottom w:val="single" w:color="000000" w:sz="4" w:space="0"/>
                    <w:right w:val="single" w:color="000000" w:sz="4" w:space="0"/>
                  </w:tcBorders>
                  <w:noWrap/>
                  <w:vAlign w:val="bottom"/>
                </w:tcPr>
                <w:p w14:paraId="1FF17FE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无线AC</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079E5FE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46E0D3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WX5004</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52C503C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6560CC9D">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E58075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70</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24A5D09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无线汇聚交换机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F7084D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C9537E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S5560X-30F-EI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07C211B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024C2FB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4524ED1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71</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70B29C8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1C0FFBE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403F0A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S5130S-28S-PWR-HI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CA3A3F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1205326F">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3138A25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72</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1DFFC4B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2643A6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1E5A6F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SW-5010</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30FB44F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3</w:t>
                  </w:r>
                </w:p>
              </w:tc>
            </w:tr>
            <w:tr w14:paraId="6DE4BD18">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037C614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73</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76B6B2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2334366">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信锐</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97773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SW-5024</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421415D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8</w:t>
                  </w:r>
                </w:p>
              </w:tc>
            </w:tr>
            <w:tr w14:paraId="2F824684">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6A838CD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74</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0D41856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6C558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19EF75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US328-P</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24CD096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r w14:paraId="2C80C3A1">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noWrap/>
                  <w:vAlign w:val="center"/>
                </w:tcPr>
                <w:p w14:paraId="2DC83813">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75</w:t>
                  </w:r>
                </w:p>
              </w:tc>
              <w:tc>
                <w:tcPr>
                  <w:tcW w:w="1456" w:type="pct"/>
                  <w:tcBorders>
                    <w:top w:val="single" w:color="000000" w:sz="4" w:space="0"/>
                    <w:left w:val="single" w:color="000000" w:sz="4" w:space="0"/>
                    <w:bottom w:val="single" w:color="000000" w:sz="4" w:space="0"/>
                    <w:right w:val="single" w:color="000000" w:sz="4" w:space="0"/>
                  </w:tcBorders>
                  <w:noWrap/>
                  <w:vAlign w:val="center"/>
                </w:tcPr>
                <w:p w14:paraId="4C08571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无线接入交换机</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7A0C2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H3C</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69134E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WT1024-X-HI</w:t>
                  </w:r>
                </w:p>
              </w:tc>
              <w:tc>
                <w:tcPr>
                  <w:tcW w:w="497" w:type="pct"/>
                  <w:tcBorders>
                    <w:top w:val="single" w:color="000000" w:sz="4" w:space="0"/>
                    <w:left w:val="single" w:color="000000" w:sz="4" w:space="0"/>
                    <w:bottom w:val="single" w:color="000000" w:sz="4" w:space="0"/>
                    <w:right w:val="single" w:color="000000" w:sz="4" w:space="0"/>
                  </w:tcBorders>
                  <w:noWrap/>
                  <w:vAlign w:val="center"/>
                </w:tcPr>
                <w:p w14:paraId="6178451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14</w:t>
                  </w:r>
                </w:p>
              </w:tc>
            </w:tr>
            <w:tr w14:paraId="10E48CFE">
              <w:tblPrEx>
                <w:tblCellMar>
                  <w:top w:w="0" w:type="dxa"/>
                  <w:left w:w="108" w:type="dxa"/>
                  <w:bottom w:w="0" w:type="dxa"/>
                  <w:right w:w="108" w:type="dxa"/>
                </w:tblCellMar>
              </w:tblPrEx>
              <w:trPr>
                <w:trHeight w:val="352" w:hRule="atLeast"/>
              </w:trPr>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B2DE">
                  <w:pPr>
                    <w:widowControl/>
                    <w:jc w:val="center"/>
                    <w:textAlignment w:val="center"/>
                    <w:rPr>
                      <w:rFonts w:hint="default"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76</w:t>
                  </w:r>
                </w:p>
              </w:tc>
              <w:tc>
                <w:tcPr>
                  <w:tcW w:w="1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DC12">
                  <w:pPr>
                    <w:widowControl/>
                    <w:jc w:val="center"/>
                    <w:textAlignment w:val="center"/>
                    <w:rPr>
                      <w:rFonts w:hint="default"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负载均衡器</w:t>
                  </w:r>
                </w:p>
              </w:tc>
              <w:tc>
                <w:tcPr>
                  <w:tcW w:w="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9EB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深信服</w:t>
                  </w:r>
                </w:p>
              </w:tc>
              <w:tc>
                <w:tcPr>
                  <w:tcW w:w="1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D70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AD-1000 B1800 V7</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122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1</w:t>
                  </w:r>
                </w:p>
              </w:tc>
            </w:tr>
          </w:tbl>
          <w:p w14:paraId="20644B91">
            <w:pPr>
              <w:rPr>
                <w:rFonts w:hint="eastAsia" w:ascii="仿宋_GB2312" w:hAnsi="宋体" w:eastAsia="仿宋_GB2312"/>
                <w:b/>
                <w:kern w:val="0"/>
                <w:szCs w:val="21"/>
              </w:rPr>
            </w:pPr>
          </w:p>
          <w:p w14:paraId="075798A2">
            <w:pPr>
              <w:pStyle w:val="9"/>
              <w:rPr>
                <w:rFonts w:hint="eastAsia" w:ascii="仿宋_GB2312" w:hAnsi="宋体" w:eastAsia="仿宋_GB2312"/>
                <w:b/>
                <w:bCs/>
                <w:sz w:val="21"/>
              </w:rPr>
            </w:pPr>
            <w:r>
              <w:rPr>
                <w:rFonts w:hint="eastAsia" w:ascii="仿宋_GB2312" w:hAnsi="宋体" w:eastAsia="仿宋_GB2312"/>
                <w:b/>
                <w:bCs/>
                <w:sz w:val="21"/>
              </w:rPr>
              <w:t>（2）、网络设备维护要求</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476"/>
              <w:gridCol w:w="1584"/>
              <w:gridCol w:w="2848"/>
              <w:gridCol w:w="3038"/>
            </w:tblGrid>
            <w:tr w14:paraId="2E7B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trPr>
              <w:tc>
                <w:tcPr>
                  <w:tcW w:w="576" w:type="dxa"/>
                  <w:shd w:val="clear" w:color="auto" w:fill="FFFFFF" w:themeFill="background1"/>
                  <w:vAlign w:val="center"/>
                </w:tcPr>
                <w:p w14:paraId="366F6CE2">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名称</w:t>
                  </w:r>
                </w:p>
              </w:tc>
              <w:tc>
                <w:tcPr>
                  <w:tcW w:w="476" w:type="dxa"/>
                  <w:shd w:val="clear" w:color="auto" w:fill="FFFFFF" w:themeFill="background1"/>
                  <w:vAlign w:val="center"/>
                </w:tcPr>
                <w:p w14:paraId="15A0572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1584" w:type="dxa"/>
                  <w:shd w:val="clear" w:color="auto" w:fill="FFFFFF" w:themeFill="background1"/>
                  <w:vAlign w:val="center"/>
                </w:tcPr>
                <w:p w14:paraId="6E8B813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相关内容</w:t>
                  </w:r>
                </w:p>
              </w:tc>
              <w:tc>
                <w:tcPr>
                  <w:tcW w:w="2848" w:type="dxa"/>
                  <w:shd w:val="clear" w:color="auto" w:fill="FFFFFF" w:themeFill="background1"/>
                  <w:vAlign w:val="center"/>
                </w:tcPr>
                <w:p w14:paraId="4EAF2308">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维护要求</w:t>
                  </w:r>
                </w:p>
              </w:tc>
              <w:tc>
                <w:tcPr>
                  <w:tcW w:w="3038" w:type="dxa"/>
                  <w:shd w:val="clear" w:color="auto" w:fill="FFFFFF" w:themeFill="background1"/>
                  <w:vAlign w:val="center"/>
                </w:tcPr>
                <w:p w14:paraId="392E681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备注说明</w:t>
                  </w:r>
                </w:p>
              </w:tc>
            </w:tr>
            <w:tr w14:paraId="1B7C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6" w:type="dxa"/>
                  <w:vMerge w:val="restart"/>
                  <w:vAlign w:val="center"/>
                </w:tcPr>
                <w:p w14:paraId="50764F4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网络及安全设备</w:t>
                  </w:r>
                </w:p>
              </w:tc>
              <w:tc>
                <w:tcPr>
                  <w:tcW w:w="476" w:type="dxa"/>
                  <w:vAlign w:val="center"/>
                </w:tcPr>
                <w:p w14:paraId="2B704DD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c>
                <w:tcPr>
                  <w:tcW w:w="1584" w:type="dxa"/>
                  <w:vAlign w:val="center"/>
                </w:tcPr>
                <w:p w14:paraId="33FE625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涉及到包括交换机等网络设备及客户要求维护的涉及主干专线线路正常运行的相关网络设备的硬件及环境保养，并包含维护期内新增加的网络</w:t>
                  </w:r>
                </w:p>
              </w:tc>
              <w:tc>
                <w:tcPr>
                  <w:tcW w:w="2848" w:type="dxa"/>
                  <w:vAlign w:val="center"/>
                </w:tcPr>
                <w:p w14:paraId="1D64943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对网络设备进行定期巡检。</w:t>
                  </w:r>
                </w:p>
              </w:tc>
              <w:tc>
                <w:tcPr>
                  <w:tcW w:w="3038" w:type="dxa"/>
                  <w:vAlign w:val="center"/>
                </w:tcPr>
                <w:p w14:paraId="3DB75CF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负责协调线路运营商，维护现在项目中的网络线路及相关设备，在规定的时限内排除故障；</w:t>
                  </w:r>
                </w:p>
                <w:p w14:paraId="059DCC7F">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负责对机房内在用的网络设备进行日常设备维护，保护网络及业务系统和数据。</w:t>
                  </w:r>
                </w:p>
              </w:tc>
            </w:tr>
            <w:tr w14:paraId="63B6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6" w:type="dxa"/>
                  <w:vMerge w:val="continue"/>
                  <w:vAlign w:val="center"/>
                </w:tcPr>
                <w:p w14:paraId="019F1FA8">
                  <w:pPr>
                    <w:widowControl/>
                    <w:jc w:val="center"/>
                    <w:rPr>
                      <w:rFonts w:hint="eastAsia" w:ascii="仿宋_GB2312" w:hAnsi="宋体" w:eastAsia="仿宋_GB2312" w:cs="宋体"/>
                      <w:color w:val="auto"/>
                      <w:szCs w:val="21"/>
                    </w:rPr>
                  </w:pPr>
                </w:p>
              </w:tc>
              <w:tc>
                <w:tcPr>
                  <w:tcW w:w="476" w:type="dxa"/>
                  <w:vAlign w:val="center"/>
                </w:tcPr>
                <w:p w14:paraId="38BEDB7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2</w:t>
                  </w:r>
                </w:p>
              </w:tc>
              <w:tc>
                <w:tcPr>
                  <w:tcW w:w="1584" w:type="dxa"/>
                  <w:vAlign w:val="center"/>
                </w:tcPr>
                <w:p w14:paraId="58C08B3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系统性能日常维护</w:t>
                  </w:r>
                </w:p>
              </w:tc>
              <w:tc>
                <w:tcPr>
                  <w:tcW w:w="2848" w:type="dxa"/>
                  <w:vAlign w:val="center"/>
                </w:tcPr>
                <w:p w14:paraId="67902AD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为尽早发现各种隐患，定期进行网络巡检。</w:t>
                  </w:r>
                </w:p>
                <w:p w14:paraId="6A24281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定期检查配线间，整理设备连线，为设备的运行提供良好的环境。</w:t>
                  </w:r>
                </w:p>
              </w:tc>
              <w:tc>
                <w:tcPr>
                  <w:tcW w:w="3038" w:type="dxa"/>
                  <w:vAlign w:val="center"/>
                </w:tcPr>
                <w:p w14:paraId="3D830144">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定期配置备份、升级、日志检查、固件升级</w:t>
                  </w:r>
                </w:p>
              </w:tc>
            </w:tr>
            <w:tr w14:paraId="01F9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76" w:type="dxa"/>
                  <w:vMerge w:val="continue"/>
                  <w:vAlign w:val="center"/>
                </w:tcPr>
                <w:p w14:paraId="0C8C3822">
                  <w:pPr>
                    <w:widowControl/>
                    <w:jc w:val="center"/>
                    <w:rPr>
                      <w:rFonts w:hint="eastAsia" w:ascii="仿宋_GB2312" w:hAnsi="宋体" w:eastAsia="仿宋_GB2312" w:cs="宋体"/>
                      <w:color w:val="auto"/>
                      <w:szCs w:val="21"/>
                    </w:rPr>
                  </w:pPr>
                </w:p>
              </w:tc>
              <w:tc>
                <w:tcPr>
                  <w:tcW w:w="476" w:type="dxa"/>
                  <w:vAlign w:val="center"/>
                </w:tcPr>
                <w:p w14:paraId="3EF1113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w:t>
                  </w:r>
                </w:p>
              </w:tc>
              <w:tc>
                <w:tcPr>
                  <w:tcW w:w="1584" w:type="dxa"/>
                  <w:vAlign w:val="center"/>
                </w:tcPr>
                <w:p w14:paraId="3AD4BE9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系统故障检测及排除</w:t>
                  </w:r>
                </w:p>
              </w:tc>
              <w:tc>
                <w:tcPr>
                  <w:tcW w:w="2848" w:type="dxa"/>
                  <w:vAlign w:val="center"/>
                </w:tcPr>
                <w:p w14:paraId="76897DE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10分钟之内进行响应，在</w:t>
                  </w:r>
                  <w:r>
                    <w:rPr>
                      <w:rFonts w:hint="default" w:ascii="仿宋_GB2312" w:hAnsi="宋体" w:eastAsia="仿宋_GB2312" w:cs="宋体"/>
                      <w:color w:val="auto"/>
                      <w:szCs w:val="21"/>
                    </w:rPr>
                    <w:t>2</w:t>
                  </w:r>
                  <w:r>
                    <w:rPr>
                      <w:rFonts w:hint="eastAsia" w:ascii="仿宋_GB2312" w:hAnsi="宋体" w:eastAsia="仿宋_GB2312" w:cs="宋体"/>
                      <w:color w:val="auto"/>
                      <w:szCs w:val="21"/>
                    </w:rPr>
                    <w:t>小时内修复，如无法修复，则在4小时内采用备品或备件替换使用至修复 为止。</w:t>
                  </w:r>
                </w:p>
              </w:tc>
              <w:tc>
                <w:tcPr>
                  <w:tcW w:w="3038" w:type="dxa"/>
                  <w:vAlign w:val="center"/>
                </w:tcPr>
                <w:p w14:paraId="71638D53">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1、在响应时间内完成上述范围的网络故障的分析和修复；</w:t>
                  </w:r>
                </w:p>
                <w:p w14:paraId="61F33EE4">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2、进行网络设备的网络配置、调试；</w:t>
                  </w:r>
                </w:p>
                <w:p w14:paraId="4DD5D957">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3、负责更换故障网线、调测不稳定端口、优化网络配置和部署；</w:t>
                  </w:r>
                </w:p>
                <w:p w14:paraId="7DFB40D1">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4、定期检查网络健康状况，及时发现和协助解决存在的问题，形成网络维护配置管理手册。</w:t>
                  </w:r>
                </w:p>
                <w:p w14:paraId="2694330E">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5、保证网络及信息安全设备正常运转。</w:t>
                  </w:r>
                </w:p>
              </w:tc>
            </w:tr>
            <w:tr w14:paraId="47F3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76" w:type="dxa"/>
                  <w:vMerge w:val="continue"/>
                  <w:vAlign w:val="center"/>
                </w:tcPr>
                <w:p w14:paraId="2AEA4782">
                  <w:pPr>
                    <w:widowControl/>
                    <w:jc w:val="center"/>
                    <w:rPr>
                      <w:rFonts w:hint="eastAsia" w:ascii="仿宋_GB2312" w:hAnsi="宋体" w:eastAsia="仿宋_GB2312" w:cs="宋体"/>
                      <w:color w:val="auto"/>
                      <w:szCs w:val="21"/>
                    </w:rPr>
                  </w:pPr>
                </w:p>
              </w:tc>
              <w:tc>
                <w:tcPr>
                  <w:tcW w:w="476" w:type="dxa"/>
                  <w:vAlign w:val="center"/>
                </w:tcPr>
                <w:p w14:paraId="4B22C4E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4</w:t>
                  </w:r>
                </w:p>
              </w:tc>
              <w:tc>
                <w:tcPr>
                  <w:tcW w:w="1584" w:type="dxa"/>
                  <w:vAlign w:val="center"/>
                </w:tcPr>
                <w:p w14:paraId="6BCCE43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网络系统重部署及调试</w:t>
                  </w:r>
                </w:p>
              </w:tc>
              <w:tc>
                <w:tcPr>
                  <w:tcW w:w="2848" w:type="dxa"/>
                  <w:vAlign w:val="center"/>
                </w:tcPr>
                <w:p w14:paraId="6B9CF8E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1、维护包括协助网络的新增、改造和网络优化设置。</w:t>
                  </w:r>
                </w:p>
                <w:p w14:paraId="52735EA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2、维护包括对系统资料库资料的完善，把接入、故障处理、定期检查等的记录备案保存。</w:t>
                  </w:r>
                </w:p>
                <w:p w14:paraId="5458D85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3、建立突发事故处理的服务流程，对于网络系统出现的故障，迅速做出反应及时处理，以保障网络的正常运行。</w:t>
                  </w:r>
                </w:p>
              </w:tc>
              <w:tc>
                <w:tcPr>
                  <w:tcW w:w="3038" w:type="dxa"/>
                  <w:vAlign w:val="center"/>
                </w:tcPr>
                <w:p w14:paraId="5788D235">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设备资料归档：对维护的网络设备的基本情况建档，并随时跟踪更新。建档的原则是以单台设备为单位建立。档案资料包括网络拓扑、硬件配置清单及版本、软件系统版本及功能、当前使用状况、网管参数、当前主要配置参数记录等。</w:t>
                  </w:r>
                </w:p>
              </w:tc>
            </w:tr>
            <w:tr w14:paraId="5D61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6" w:type="dxa"/>
                  <w:vMerge w:val="continue"/>
                  <w:vAlign w:val="center"/>
                </w:tcPr>
                <w:p w14:paraId="716C90C1">
                  <w:pPr>
                    <w:widowControl/>
                    <w:jc w:val="center"/>
                    <w:rPr>
                      <w:rFonts w:hint="eastAsia" w:ascii="仿宋_GB2312" w:hAnsi="宋体" w:eastAsia="仿宋_GB2312" w:cs="宋体"/>
                      <w:color w:val="auto"/>
                      <w:szCs w:val="21"/>
                    </w:rPr>
                  </w:pPr>
                </w:p>
              </w:tc>
              <w:tc>
                <w:tcPr>
                  <w:tcW w:w="476" w:type="dxa"/>
                  <w:vAlign w:val="center"/>
                </w:tcPr>
                <w:p w14:paraId="0CF610C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5</w:t>
                  </w:r>
                </w:p>
              </w:tc>
              <w:tc>
                <w:tcPr>
                  <w:tcW w:w="1584" w:type="dxa"/>
                  <w:vAlign w:val="center"/>
                </w:tcPr>
                <w:p w14:paraId="2CD4130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设备主机维修及备件提供</w:t>
                  </w:r>
                </w:p>
              </w:tc>
              <w:tc>
                <w:tcPr>
                  <w:tcW w:w="2848" w:type="dxa"/>
                  <w:vAlign w:val="center"/>
                </w:tcPr>
                <w:p w14:paraId="03938D3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服务内容包括对意外事故的处理等。对网络设备、网络交换设备等提供现场维护。维护过程中发现故障设备损坏时，协助更换损坏件，损坏件送修或重新购买的费用由运维服务提供商承担。损坏件更换完 毕后，协助将有关设备恢复到原来的运行状态。</w:t>
                  </w:r>
                </w:p>
              </w:tc>
              <w:tc>
                <w:tcPr>
                  <w:tcW w:w="3038" w:type="dxa"/>
                  <w:vAlign w:val="center"/>
                </w:tcPr>
                <w:p w14:paraId="0E8C0704">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每次维护均要有记录，年末提供年度汇总报告。</w:t>
                  </w:r>
                </w:p>
              </w:tc>
            </w:tr>
            <w:tr w14:paraId="2F9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6" w:type="dxa"/>
                  <w:vMerge w:val="continue"/>
                  <w:vAlign w:val="center"/>
                </w:tcPr>
                <w:p w14:paraId="4E0B839B">
                  <w:pPr>
                    <w:widowControl/>
                    <w:jc w:val="center"/>
                    <w:rPr>
                      <w:rFonts w:hint="eastAsia" w:ascii="仿宋_GB2312" w:hAnsi="宋体" w:eastAsia="仿宋_GB2312" w:cs="宋体"/>
                      <w:color w:val="auto"/>
                      <w:szCs w:val="21"/>
                    </w:rPr>
                  </w:pPr>
                </w:p>
              </w:tc>
              <w:tc>
                <w:tcPr>
                  <w:tcW w:w="476" w:type="dxa"/>
                  <w:vAlign w:val="center"/>
                </w:tcPr>
                <w:p w14:paraId="6471E17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6</w:t>
                  </w:r>
                </w:p>
              </w:tc>
              <w:tc>
                <w:tcPr>
                  <w:tcW w:w="1584" w:type="dxa"/>
                  <w:vAlign w:val="center"/>
                </w:tcPr>
                <w:p w14:paraId="103094E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主机固件软件版本升级更新</w:t>
                  </w:r>
                </w:p>
              </w:tc>
              <w:tc>
                <w:tcPr>
                  <w:tcW w:w="2848" w:type="dxa"/>
                  <w:vAlign w:val="center"/>
                </w:tcPr>
                <w:p w14:paraId="7156D8B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确保设备固件版本的升级更新，每半年至少检查一遍</w:t>
                  </w:r>
                </w:p>
              </w:tc>
              <w:tc>
                <w:tcPr>
                  <w:tcW w:w="3038" w:type="dxa"/>
                  <w:vAlign w:val="center"/>
                </w:tcPr>
                <w:p w14:paraId="2A46310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　</w:t>
                  </w:r>
                </w:p>
              </w:tc>
            </w:tr>
          </w:tbl>
          <w:p w14:paraId="0E7161D5">
            <w:pPr>
              <w:pStyle w:val="5"/>
              <w:spacing w:line="240" w:lineRule="auto"/>
              <w:rPr>
                <w:rFonts w:hint="eastAsia" w:ascii="仿宋_GB2312" w:eastAsia="仿宋_GB2312"/>
                <w:b/>
                <w:bCs w:val="0"/>
                <w:sz w:val="21"/>
                <w:szCs w:val="21"/>
              </w:rPr>
            </w:pPr>
          </w:p>
          <w:p w14:paraId="4A6749DD">
            <w:pPr>
              <w:pStyle w:val="5"/>
              <w:pageBreakBefore/>
              <w:spacing w:line="240" w:lineRule="auto"/>
              <w:rPr>
                <w:rFonts w:hint="eastAsia" w:ascii="仿宋_GB2312" w:eastAsia="仿宋_GB2312"/>
                <w:b/>
                <w:bCs w:val="0"/>
                <w:sz w:val="21"/>
                <w:szCs w:val="21"/>
              </w:rPr>
            </w:pPr>
            <w:r>
              <w:rPr>
                <w:rFonts w:hint="eastAsia" w:ascii="仿宋_GB2312" w:eastAsia="仿宋_GB2312"/>
                <w:b/>
                <w:bCs w:val="0"/>
                <w:sz w:val="21"/>
                <w:szCs w:val="21"/>
              </w:rPr>
              <w:t>4、机房维护内容及要求</w:t>
            </w:r>
          </w:p>
          <w:p w14:paraId="0112E90E">
            <w:pPr>
              <w:rPr>
                <w:b/>
                <w:bCs/>
              </w:rPr>
            </w:pPr>
            <w:r>
              <w:rPr>
                <w:rFonts w:hint="eastAsia"/>
                <w:b/>
                <w:bCs/>
              </w:rPr>
              <w:t>（1）、</w:t>
            </w:r>
            <w:r>
              <w:rPr>
                <w:b/>
                <w:bCs/>
              </w:rPr>
              <w:t>机房设备</w:t>
            </w:r>
            <w:r>
              <w:rPr>
                <w:rFonts w:hint="eastAsia"/>
                <w:b/>
                <w:bCs/>
              </w:rPr>
              <w:t>清单</w:t>
            </w:r>
          </w:p>
          <w:tbl>
            <w:tblPr>
              <w:tblStyle w:val="22"/>
              <w:tblW w:w="8304" w:type="dxa"/>
              <w:jc w:val="center"/>
              <w:tblLayout w:type="fixed"/>
              <w:tblCellMar>
                <w:top w:w="0" w:type="dxa"/>
                <w:left w:w="108" w:type="dxa"/>
                <w:bottom w:w="0" w:type="dxa"/>
                <w:right w:w="108" w:type="dxa"/>
              </w:tblCellMar>
            </w:tblPr>
            <w:tblGrid>
              <w:gridCol w:w="944"/>
              <w:gridCol w:w="1932"/>
              <w:gridCol w:w="1655"/>
              <w:gridCol w:w="2659"/>
              <w:gridCol w:w="1114"/>
            </w:tblGrid>
            <w:tr w14:paraId="30377F81">
              <w:tblPrEx>
                <w:tblCellMar>
                  <w:top w:w="0" w:type="dxa"/>
                  <w:left w:w="108" w:type="dxa"/>
                  <w:bottom w:w="0" w:type="dxa"/>
                  <w:right w:w="108" w:type="dxa"/>
                </w:tblCellMar>
              </w:tblPrEx>
              <w:trPr>
                <w:trHeight w:val="270"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2B67150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1163" w:type="pct"/>
                  <w:tcBorders>
                    <w:top w:val="single" w:color="000000" w:sz="4" w:space="0"/>
                    <w:left w:val="single" w:color="000000" w:sz="4" w:space="0"/>
                    <w:bottom w:val="single" w:color="000000" w:sz="4" w:space="0"/>
                    <w:right w:val="single" w:color="000000" w:sz="4" w:space="0"/>
                  </w:tcBorders>
                  <w:vAlign w:val="center"/>
                </w:tcPr>
                <w:p w14:paraId="47CD569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资产名称</w:t>
                  </w:r>
                </w:p>
              </w:tc>
              <w:tc>
                <w:tcPr>
                  <w:tcW w:w="996" w:type="pct"/>
                  <w:tcBorders>
                    <w:top w:val="single" w:color="000000" w:sz="4" w:space="0"/>
                    <w:left w:val="single" w:color="000000" w:sz="4" w:space="0"/>
                    <w:bottom w:val="single" w:color="000000" w:sz="4" w:space="0"/>
                    <w:right w:val="single" w:color="000000" w:sz="4" w:space="0"/>
                  </w:tcBorders>
                  <w:vAlign w:val="center"/>
                </w:tcPr>
                <w:p w14:paraId="197048B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品牌</w:t>
                  </w:r>
                </w:p>
              </w:tc>
              <w:tc>
                <w:tcPr>
                  <w:tcW w:w="1601" w:type="pct"/>
                  <w:tcBorders>
                    <w:top w:val="single" w:color="000000" w:sz="4" w:space="0"/>
                    <w:left w:val="single" w:color="000000" w:sz="4" w:space="0"/>
                    <w:bottom w:val="single" w:color="000000" w:sz="4" w:space="0"/>
                    <w:right w:val="single" w:color="000000" w:sz="4" w:space="0"/>
                  </w:tcBorders>
                  <w:vAlign w:val="center"/>
                </w:tcPr>
                <w:p w14:paraId="3D460FD4">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规格型号</w:t>
                  </w:r>
                </w:p>
              </w:tc>
              <w:tc>
                <w:tcPr>
                  <w:tcW w:w="670" w:type="pct"/>
                  <w:tcBorders>
                    <w:top w:val="single" w:color="000000" w:sz="4" w:space="0"/>
                    <w:left w:val="single" w:color="000000" w:sz="4" w:space="0"/>
                    <w:bottom w:val="single" w:color="000000" w:sz="4" w:space="0"/>
                    <w:right w:val="single" w:color="000000" w:sz="4" w:space="0"/>
                  </w:tcBorders>
                  <w:vAlign w:val="center"/>
                </w:tcPr>
                <w:p w14:paraId="62B6804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实有数量</w:t>
                  </w:r>
                </w:p>
              </w:tc>
            </w:tr>
            <w:tr w14:paraId="0FE408F1">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4B4EFFF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587614A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586B6B7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维谛</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6398B04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Liebert 380V-50HZ-EXS</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7CBFE1E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271C437D">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547DD2F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2</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0299D1B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4ECCDFA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艾默生</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02C8E8C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APM150</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0263BF8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05A3011A">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10AE157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068CEF4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精密空调</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706010A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艾默生</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24FF1C5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P2050FARMSIR</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087DE08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2B7A382">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50375D0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4</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1680C6B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精密空调</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5FB5641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艾默生</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727BA4C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P2062DA13FHM12SD</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010D477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E63776B">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1A55130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5</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1174036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6C28BF1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易事特</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013C0D8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EA66200</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2ADD202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309C0F55">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59411AB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6</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7DE2F17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精密空调</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7E1F3DE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科士达</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3336BE7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ST020FAACAOBT</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659E897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0F515870">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2EDB137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7</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74B40AE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精密空调</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5FC1548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科士达</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1150E8E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ST020FAACAOBT</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2AACFE9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5DC0C9F9">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0B20BBD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8</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4AC7890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1941A00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艾默生</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7D0FA17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UL33-0200L</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3A1B955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6CBFF27">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31B1124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9</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31F5F52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1D3DE54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科华</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7CFE5CE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YTR1103L</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401F27D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1D7238D">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16BC138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10</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4F4DD47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精密空调</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2362CEB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艾默生</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15BB8BC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DME07MCP1</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424E5F5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5E7B1CEB">
              <w:tblPrEx>
                <w:tblCellMar>
                  <w:top w:w="0" w:type="dxa"/>
                  <w:left w:w="108" w:type="dxa"/>
                  <w:bottom w:w="0" w:type="dxa"/>
                  <w:right w:w="108" w:type="dxa"/>
                </w:tblCellMar>
              </w:tblPrEx>
              <w:trPr>
                <w:trHeight w:val="315"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1C08224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11</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216CBF0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UPS</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7B045E1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山特</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0E3BF24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ON-LINE 3KVA</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003DDED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561AEE7">
              <w:tblPrEx>
                <w:tblCellMar>
                  <w:top w:w="0" w:type="dxa"/>
                  <w:left w:w="108" w:type="dxa"/>
                  <w:bottom w:w="0" w:type="dxa"/>
                  <w:right w:w="108" w:type="dxa"/>
                </w:tblCellMar>
              </w:tblPrEx>
              <w:trPr>
                <w:trHeight w:val="270" w:hRule="atLeast"/>
                <w:jc w:val="center"/>
              </w:trPr>
              <w:tc>
                <w:tcPr>
                  <w:tcW w:w="568" w:type="pct"/>
                  <w:tcBorders>
                    <w:top w:val="single" w:color="000000" w:sz="4" w:space="0"/>
                    <w:left w:val="single" w:color="000000" w:sz="4" w:space="0"/>
                    <w:bottom w:val="single" w:color="000000" w:sz="4" w:space="0"/>
                    <w:right w:val="single" w:color="000000" w:sz="4" w:space="0"/>
                  </w:tcBorders>
                  <w:noWrap/>
                  <w:vAlign w:val="center"/>
                </w:tcPr>
                <w:p w14:paraId="74D0D1A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12</w:t>
                  </w:r>
                </w:p>
              </w:tc>
              <w:tc>
                <w:tcPr>
                  <w:tcW w:w="1163" w:type="pct"/>
                  <w:tcBorders>
                    <w:top w:val="single" w:color="000000" w:sz="4" w:space="0"/>
                    <w:left w:val="single" w:color="000000" w:sz="4" w:space="0"/>
                    <w:bottom w:val="single" w:color="000000" w:sz="4" w:space="0"/>
                    <w:right w:val="single" w:color="000000" w:sz="4" w:space="0"/>
                  </w:tcBorders>
                  <w:noWrap/>
                  <w:vAlign w:val="center"/>
                </w:tcPr>
                <w:p w14:paraId="2F46120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机柜</w:t>
                  </w:r>
                </w:p>
              </w:tc>
              <w:tc>
                <w:tcPr>
                  <w:tcW w:w="996" w:type="pct"/>
                  <w:tcBorders>
                    <w:top w:val="single" w:color="000000" w:sz="4" w:space="0"/>
                    <w:left w:val="single" w:color="000000" w:sz="4" w:space="0"/>
                    <w:bottom w:val="single" w:color="000000" w:sz="4" w:space="0"/>
                    <w:right w:val="single" w:color="000000" w:sz="4" w:space="0"/>
                  </w:tcBorders>
                  <w:noWrap/>
                  <w:vAlign w:val="center"/>
                </w:tcPr>
                <w:p w14:paraId="4D73053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w:t>
                  </w:r>
                </w:p>
              </w:tc>
              <w:tc>
                <w:tcPr>
                  <w:tcW w:w="1601" w:type="pct"/>
                  <w:tcBorders>
                    <w:top w:val="single" w:color="000000" w:sz="4" w:space="0"/>
                    <w:left w:val="single" w:color="000000" w:sz="4" w:space="0"/>
                    <w:bottom w:val="single" w:color="000000" w:sz="4" w:space="0"/>
                    <w:right w:val="single" w:color="000000" w:sz="4" w:space="0"/>
                  </w:tcBorders>
                  <w:noWrap/>
                  <w:vAlign w:val="center"/>
                </w:tcPr>
                <w:p w14:paraId="09AA8E2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w:t>
                  </w:r>
                </w:p>
              </w:tc>
              <w:tc>
                <w:tcPr>
                  <w:tcW w:w="670" w:type="pct"/>
                  <w:tcBorders>
                    <w:top w:val="single" w:color="000000" w:sz="4" w:space="0"/>
                    <w:left w:val="single" w:color="000000" w:sz="4" w:space="0"/>
                    <w:bottom w:val="single" w:color="000000" w:sz="4" w:space="0"/>
                    <w:right w:val="single" w:color="000000" w:sz="4" w:space="0"/>
                  </w:tcBorders>
                  <w:noWrap/>
                  <w:vAlign w:val="center"/>
                </w:tcPr>
                <w:p w14:paraId="3A8CE1B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36</w:t>
                  </w:r>
                </w:p>
              </w:tc>
            </w:tr>
          </w:tbl>
          <w:p w14:paraId="35DD051C">
            <w:pPr>
              <w:rPr>
                <w:rFonts w:hint="eastAsia" w:ascii="仿宋_GB2312" w:hAnsi="宋体" w:eastAsia="仿宋_GB2312"/>
                <w:szCs w:val="21"/>
              </w:rPr>
            </w:pPr>
          </w:p>
          <w:p w14:paraId="13FAAB09">
            <w:pPr>
              <w:rPr>
                <w:rFonts w:hint="eastAsia" w:ascii="仿宋_GB2312" w:hAnsi="宋体" w:eastAsia="仿宋_GB2312"/>
                <w:b/>
                <w:bCs/>
                <w:szCs w:val="21"/>
              </w:rPr>
            </w:pPr>
            <w:r>
              <w:rPr>
                <w:rFonts w:hint="eastAsia" w:ascii="仿宋_GB2312" w:hAnsi="宋体" w:eastAsia="仿宋_GB2312"/>
                <w:b/>
                <w:bCs/>
                <w:szCs w:val="21"/>
              </w:rPr>
              <w:t>（2）、机房环境维护要求</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317"/>
              <w:gridCol w:w="1766"/>
              <w:gridCol w:w="4436"/>
            </w:tblGrid>
            <w:tr w14:paraId="4E37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blHeader/>
                <w:jc w:val="center"/>
              </w:trPr>
              <w:tc>
                <w:tcPr>
                  <w:tcW w:w="46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30ADA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7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1DCB4E">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相关内容</w:t>
                  </w:r>
                </w:p>
              </w:tc>
              <w:tc>
                <w:tcPr>
                  <w:tcW w:w="1064"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C50C07">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维护要求</w:t>
                  </w:r>
                </w:p>
              </w:tc>
              <w:tc>
                <w:tcPr>
                  <w:tcW w:w="267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4F2F2F">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维护内容说明</w:t>
                  </w:r>
                </w:p>
              </w:tc>
            </w:tr>
            <w:tr w14:paraId="398B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138A73E3">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1</w:t>
                  </w:r>
                </w:p>
              </w:tc>
              <w:tc>
                <w:tcPr>
                  <w:tcW w:w="793" w:type="pct"/>
                  <w:tcBorders>
                    <w:top w:val="single" w:color="auto" w:sz="4" w:space="0"/>
                    <w:left w:val="single" w:color="auto" w:sz="4" w:space="0"/>
                    <w:bottom w:val="single" w:color="auto" w:sz="4" w:space="0"/>
                    <w:right w:val="single" w:color="auto" w:sz="4" w:space="0"/>
                  </w:tcBorders>
                  <w:vAlign w:val="center"/>
                </w:tcPr>
                <w:p w14:paraId="199F7C36">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机房设备及环境保养</w:t>
                  </w:r>
                </w:p>
              </w:tc>
              <w:tc>
                <w:tcPr>
                  <w:tcW w:w="1064" w:type="pct"/>
                  <w:vMerge w:val="restart"/>
                  <w:tcBorders>
                    <w:top w:val="single" w:color="auto" w:sz="4" w:space="0"/>
                    <w:left w:val="single" w:color="auto" w:sz="4" w:space="0"/>
                    <w:bottom w:val="single" w:color="auto" w:sz="4" w:space="0"/>
                    <w:right w:val="single" w:color="auto" w:sz="4" w:space="0"/>
                  </w:tcBorders>
                  <w:vAlign w:val="center"/>
                </w:tcPr>
                <w:p w14:paraId="14CD1495">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维护方安排人员对机房进行管理</w:t>
                  </w:r>
                </w:p>
              </w:tc>
              <w:tc>
                <w:tcPr>
                  <w:tcW w:w="2673" w:type="pct"/>
                  <w:tcBorders>
                    <w:top w:val="single" w:color="auto" w:sz="4" w:space="0"/>
                    <w:left w:val="single" w:color="auto" w:sz="4" w:space="0"/>
                    <w:bottom w:val="single" w:color="auto" w:sz="4" w:space="0"/>
                    <w:right w:val="single" w:color="auto" w:sz="4" w:space="0"/>
                  </w:tcBorders>
                  <w:vAlign w:val="center"/>
                </w:tcPr>
                <w:p w14:paraId="25D3425F">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检查机房内的物理环境清洁以及给配电等环境保养维护，同时定期进行</w:t>
                  </w:r>
                </w:p>
                <w:p w14:paraId="6F0CB704">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巡检之后两个工作日内向客户提供巡检维护报告</w:t>
                  </w:r>
                </w:p>
              </w:tc>
            </w:tr>
            <w:tr w14:paraId="0449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511C4931">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2</w:t>
                  </w:r>
                </w:p>
              </w:tc>
              <w:tc>
                <w:tcPr>
                  <w:tcW w:w="793" w:type="pct"/>
                  <w:tcBorders>
                    <w:top w:val="single" w:color="auto" w:sz="4" w:space="0"/>
                    <w:left w:val="single" w:color="auto" w:sz="4" w:space="0"/>
                    <w:bottom w:val="single" w:color="auto" w:sz="4" w:space="0"/>
                    <w:right w:val="single" w:color="auto" w:sz="4" w:space="0"/>
                  </w:tcBorders>
                  <w:vAlign w:val="center"/>
                </w:tcPr>
                <w:p w14:paraId="71FFFD60">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机房日常维护</w:t>
                  </w:r>
                </w:p>
              </w:tc>
              <w:tc>
                <w:tcPr>
                  <w:tcW w:w="1064" w:type="pct"/>
                  <w:vMerge w:val="continue"/>
                  <w:tcBorders>
                    <w:top w:val="single" w:color="auto" w:sz="4" w:space="0"/>
                    <w:left w:val="single" w:color="auto" w:sz="4" w:space="0"/>
                    <w:bottom w:val="single" w:color="auto" w:sz="4" w:space="0"/>
                    <w:right w:val="single" w:color="auto" w:sz="4" w:space="0"/>
                  </w:tcBorders>
                  <w:vAlign w:val="center"/>
                </w:tcPr>
                <w:p w14:paraId="46B85A14">
                  <w:pPr>
                    <w:widowControl/>
                    <w:jc w:val="center"/>
                    <w:rPr>
                      <w:rFonts w:hint="eastAsia" w:ascii="仿宋_GB2312" w:hAnsi="宋体" w:eastAsia="仿宋_GB2312" w:cs="宋体"/>
                      <w:color w:val="auto"/>
                      <w:sz w:val="21"/>
                      <w:szCs w:val="21"/>
                    </w:rPr>
                  </w:pPr>
                </w:p>
              </w:tc>
              <w:tc>
                <w:tcPr>
                  <w:tcW w:w="2673" w:type="pct"/>
                  <w:tcBorders>
                    <w:top w:val="single" w:color="auto" w:sz="4" w:space="0"/>
                    <w:left w:val="single" w:color="auto" w:sz="4" w:space="0"/>
                    <w:bottom w:val="single" w:color="auto" w:sz="4" w:space="0"/>
                    <w:right w:val="single" w:color="auto" w:sz="4" w:space="0"/>
                  </w:tcBorders>
                  <w:vAlign w:val="center"/>
                </w:tcPr>
                <w:p w14:paraId="6ECB07C2">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检查机房内消防系统、照明系统、供电系统、空调系统以及视频监控系统设备的运行状态，进行必要的物理清洁以及给配电等环境保养维护。</w:t>
                  </w:r>
                </w:p>
                <w:p w14:paraId="107B6955">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UPS及机房空调系统每季度进行一次全面巡检，在每次巡检之后三个工作日内向客户提供机房巡检维护报告</w:t>
                  </w:r>
                </w:p>
              </w:tc>
            </w:tr>
            <w:tr w14:paraId="51D3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14E20B6F">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3</w:t>
                  </w:r>
                </w:p>
              </w:tc>
              <w:tc>
                <w:tcPr>
                  <w:tcW w:w="793" w:type="pct"/>
                  <w:tcBorders>
                    <w:top w:val="single" w:color="auto" w:sz="4" w:space="0"/>
                    <w:left w:val="single" w:color="auto" w:sz="4" w:space="0"/>
                    <w:bottom w:val="single" w:color="auto" w:sz="4" w:space="0"/>
                    <w:right w:val="single" w:color="auto" w:sz="4" w:space="0"/>
                  </w:tcBorders>
                  <w:vAlign w:val="center"/>
                </w:tcPr>
                <w:p w14:paraId="667C4C31">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机房设备安全策略制定和更新</w:t>
                  </w:r>
                </w:p>
              </w:tc>
              <w:tc>
                <w:tcPr>
                  <w:tcW w:w="1064" w:type="pct"/>
                  <w:vMerge w:val="continue"/>
                  <w:tcBorders>
                    <w:top w:val="single" w:color="auto" w:sz="4" w:space="0"/>
                    <w:left w:val="single" w:color="auto" w:sz="4" w:space="0"/>
                    <w:bottom w:val="single" w:color="auto" w:sz="4" w:space="0"/>
                    <w:right w:val="single" w:color="auto" w:sz="4" w:space="0"/>
                  </w:tcBorders>
                  <w:vAlign w:val="center"/>
                </w:tcPr>
                <w:p w14:paraId="610B7BDE">
                  <w:pPr>
                    <w:widowControl/>
                    <w:jc w:val="center"/>
                    <w:rPr>
                      <w:rFonts w:hint="eastAsia" w:ascii="仿宋_GB2312" w:hAnsi="宋体" w:eastAsia="仿宋_GB2312" w:cs="宋体"/>
                      <w:color w:val="auto"/>
                      <w:sz w:val="21"/>
                      <w:szCs w:val="21"/>
                    </w:rPr>
                  </w:pPr>
                </w:p>
              </w:tc>
              <w:tc>
                <w:tcPr>
                  <w:tcW w:w="2673" w:type="pct"/>
                  <w:tcBorders>
                    <w:top w:val="single" w:color="auto" w:sz="4" w:space="0"/>
                    <w:left w:val="single" w:color="auto" w:sz="4" w:space="0"/>
                    <w:bottom w:val="single" w:color="auto" w:sz="4" w:space="0"/>
                    <w:right w:val="single" w:color="auto" w:sz="4" w:space="0"/>
                  </w:tcBorders>
                </w:tcPr>
                <w:p w14:paraId="135131E4">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检查客户机房设备的策略是否满足客户业务系统整体需求，协助客户更新至最佳的策略。</w:t>
                  </w:r>
                </w:p>
                <w:p w14:paraId="5B859978">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在每次检查后2个工作日内向客户提交机房设备策略更新报告。</w:t>
                  </w:r>
                </w:p>
              </w:tc>
            </w:tr>
            <w:tr w14:paraId="73D0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68" w:type="pct"/>
                  <w:vMerge w:val="restart"/>
                  <w:tcBorders>
                    <w:top w:val="single" w:color="auto" w:sz="4" w:space="0"/>
                    <w:left w:val="single" w:color="auto" w:sz="4" w:space="0"/>
                    <w:bottom w:val="single" w:color="auto" w:sz="4" w:space="0"/>
                    <w:right w:val="single" w:color="auto" w:sz="4" w:space="0"/>
                  </w:tcBorders>
                  <w:vAlign w:val="center"/>
                </w:tcPr>
                <w:p w14:paraId="0BC96272">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4</w:t>
                  </w:r>
                </w:p>
              </w:tc>
              <w:tc>
                <w:tcPr>
                  <w:tcW w:w="793" w:type="pct"/>
                  <w:vMerge w:val="restart"/>
                  <w:tcBorders>
                    <w:top w:val="single" w:color="auto" w:sz="4" w:space="0"/>
                    <w:left w:val="single" w:color="auto" w:sz="4" w:space="0"/>
                    <w:bottom w:val="single" w:color="auto" w:sz="4" w:space="0"/>
                    <w:right w:val="single" w:color="auto" w:sz="4" w:space="0"/>
                  </w:tcBorders>
                  <w:vAlign w:val="center"/>
                </w:tcPr>
                <w:p w14:paraId="1156CF22">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机房设备系统故障检测及排除</w:t>
                  </w:r>
                </w:p>
              </w:tc>
              <w:tc>
                <w:tcPr>
                  <w:tcW w:w="1064" w:type="pct"/>
                  <w:tcBorders>
                    <w:top w:val="single" w:color="auto" w:sz="4" w:space="0"/>
                    <w:left w:val="single" w:color="auto" w:sz="4" w:space="0"/>
                    <w:bottom w:val="single" w:color="auto" w:sz="4" w:space="0"/>
                    <w:right w:val="single" w:color="auto" w:sz="4" w:space="0"/>
                  </w:tcBorders>
                  <w:vAlign w:val="center"/>
                </w:tcPr>
                <w:p w14:paraId="4EF81EE2">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维护人员提供7*24小时电话支持服务。</w:t>
                  </w:r>
                </w:p>
              </w:tc>
              <w:tc>
                <w:tcPr>
                  <w:tcW w:w="2673" w:type="pct"/>
                  <w:tcBorders>
                    <w:top w:val="single" w:color="auto" w:sz="4" w:space="0"/>
                    <w:left w:val="single" w:color="auto" w:sz="4" w:space="0"/>
                    <w:bottom w:val="single" w:color="auto" w:sz="4" w:space="0"/>
                    <w:right w:val="single" w:color="auto" w:sz="4" w:space="0"/>
                  </w:tcBorders>
                  <w:vAlign w:val="center"/>
                </w:tcPr>
                <w:p w14:paraId="7E415C82">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达到电话及现场应急处理100%的用户响应度。</w:t>
                  </w:r>
                </w:p>
                <w:p w14:paraId="481699F4">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对于接受服务请求之后，在工作日时间内，维护人员需要在1小时内到达现场。</w:t>
                  </w:r>
                </w:p>
                <w:p w14:paraId="419D95DE">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到达现场后，2个小时内解决问题故障。</w:t>
                  </w:r>
                </w:p>
                <w:p w14:paraId="75942B49">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维护服务用户满意度不低于95%；</w:t>
                  </w:r>
                </w:p>
              </w:tc>
            </w:tr>
            <w:tr w14:paraId="4E8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68" w:type="pct"/>
                  <w:vMerge w:val="continue"/>
                  <w:tcBorders>
                    <w:top w:val="single" w:color="auto" w:sz="4" w:space="0"/>
                    <w:left w:val="single" w:color="auto" w:sz="4" w:space="0"/>
                    <w:bottom w:val="single" w:color="auto" w:sz="4" w:space="0"/>
                    <w:right w:val="single" w:color="auto" w:sz="4" w:space="0"/>
                  </w:tcBorders>
                  <w:vAlign w:val="center"/>
                </w:tcPr>
                <w:p w14:paraId="1150DE38">
                  <w:pPr>
                    <w:widowControl/>
                    <w:jc w:val="center"/>
                    <w:rPr>
                      <w:rFonts w:hint="eastAsia" w:ascii="仿宋_GB2312" w:hAnsi="宋体" w:eastAsia="仿宋_GB2312" w:cs="宋体"/>
                      <w:color w:val="auto"/>
                      <w:sz w:val="21"/>
                      <w:szCs w:val="21"/>
                    </w:rPr>
                  </w:pPr>
                </w:p>
              </w:tc>
              <w:tc>
                <w:tcPr>
                  <w:tcW w:w="793" w:type="pct"/>
                  <w:vMerge w:val="continue"/>
                  <w:tcBorders>
                    <w:top w:val="single" w:color="auto" w:sz="4" w:space="0"/>
                    <w:left w:val="single" w:color="auto" w:sz="4" w:space="0"/>
                    <w:bottom w:val="single" w:color="auto" w:sz="4" w:space="0"/>
                    <w:right w:val="single" w:color="auto" w:sz="4" w:space="0"/>
                  </w:tcBorders>
                  <w:vAlign w:val="center"/>
                </w:tcPr>
                <w:p w14:paraId="621FB72B">
                  <w:pPr>
                    <w:widowControl/>
                    <w:jc w:val="center"/>
                    <w:rPr>
                      <w:rFonts w:hint="eastAsia" w:ascii="仿宋_GB2312" w:hAnsi="宋体" w:eastAsia="仿宋_GB2312" w:cs="宋体"/>
                      <w:color w:val="auto"/>
                      <w:sz w:val="21"/>
                      <w:szCs w:val="21"/>
                    </w:rPr>
                  </w:pPr>
                </w:p>
              </w:tc>
              <w:tc>
                <w:tcPr>
                  <w:tcW w:w="1064" w:type="pct"/>
                  <w:tcBorders>
                    <w:top w:val="single" w:color="auto" w:sz="4" w:space="0"/>
                    <w:left w:val="single" w:color="auto" w:sz="4" w:space="0"/>
                    <w:bottom w:val="single" w:color="auto" w:sz="4" w:space="0"/>
                    <w:right w:val="single" w:color="auto" w:sz="4" w:space="0"/>
                  </w:tcBorders>
                  <w:vAlign w:val="center"/>
                </w:tcPr>
                <w:p w14:paraId="09250B1F">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事故现场技术支持服务。</w:t>
                  </w:r>
                </w:p>
              </w:tc>
              <w:tc>
                <w:tcPr>
                  <w:tcW w:w="2673" w:type="pct"/>
                  <w:tcBorders>
                    <w:top w:val="single" w:color="auto" w:sz="4" w:space="0"/>
                    <w:left w:val="single" w:color="auto" w:sz="4" w:space="0"/>
                    <w:bottom w:val="single" w:color="auto" w:sz="4" w:space="0"/>
                    <w:right w:val="single" w:color="auto" w:sz="4" w:space="0"/>
                  </w:tcBorders>
                  <w:vAlign w:val="center"/>
                </w:tcPr>
                <w:p w14:paraId="3792D263">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维护人员到达现场后，判定故障原因，</w:t>
                  </w:r>
                  <w:r>
                    <w:rPr>
                      <w:rFonts w:hint="default" w:ascii="仿宋_GB2312" w:hAnsi="宋体" w:eastAsia="仿宋_GB2312" w:cs="宋体"/>
                      <w:color w:val="auto"/>
                      <w:sz w:val="21"/>
                      <w:szCs w:val="21"/>
                    </w:rPr>
                    <w:t>2</w:t>
                  </w:r>
                  <w:r>
                    <w:rPr>
                      <w:rFonts w:hint="eastAsia" w:ascii="仿宋_GB2312" w:hAnsi="宋体" w:eastAsia="仿宋_GB2312" w:cs="宋体"/>
                      <w:color w:val="auto"/>
                      <w:sz w:val="21"/>
                      <w:szCs w:val="21"/>
                    </w:rPr>
                    <w:t>小时内给予解决方案。</w:t>
                  </w:r>
                  <w:r>
                    <w:rPr>
                      <w:rFonts w:hint="default" w:ascii="仿宋_GB2312" w:hAnsi="宋体" w:eastAsia="仿宋_GB2312" w:cs="宋体"/>
                      <w:color w:val="auto"/>
                      <w:sz w:val="21"/>
                      <w:szCs w:val="21"/>
                    </w:rPr>
                    <w:t>4</w:t>
                  </w:r>
                  <w:r>
                    <w:rPr>
                      <w:rFonts w:hint="eastAsia" w:ascii="仿宋_GB2312" w:hAnsi="宋体" w:eastAsia="仿宋_GB2312" w:cs="宋体"/>
                      <w:color w:val="auto"/>
                      <w:sz w:val="21"/>
                      <w:szCs w:val="21"/>
                    </w:rPr>
                    <w:t>个小时内将相关机房设备配件准备到场，</w:t>
                  </w:r>
                  <w:r>
                    <w:rPr>
                      <w:rFonts w:hint="default" w:ascii="仿宋_GB2312" w:hAnsi="宋体" w:eastAsia="仿宋_GB2312" w:cs="宋体"/>
                      <w:color w:val="auto"/>
                      <w:sz w:val="21"/>
                      <w:szCs w:val="21"/>
                    </w:rPr>
                    <w:t>8</w:t>
                  </w:r>
                  <w:r>
                    <w:rPr>
                      <w:rFonts w:hint="eastAsia" w:ascii="仿宋_GB2312" w:hAnsi="宋体" w:eastAsia="仿宋_GB2312" w:cs="宋体"/>
                      <w:color w:val="auto"/>
                      <w:sz w:val="21"/>
                      <w:szCs w:val="21"/>
                    </w:rPr>
                    <w:t>个小时内完成配件更换及故障清除，并确认相关系统运行状态正常。</w:t>
                  </w:r>
                </w:p>
              </w:tc>
            </w:tr>
            <w:tr w14:paraId="67C7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68" w:type="pct"/>
                  <w:vMerge w:val="continue"/>
                  <w:tcBorders>
                    <w:top w:val="single" w:color="auto" w:sz="4" w:space="0"/>
                    <w:left w:val="single" w:color="auto" w:sz="4" w:space="0"/>
                    <w:bottom w:val="single" w:color="auto" w:sz="4" w:space="0"/>
                    <w:right w:val="single" w:color="auto" w:sz="4" w:space="0"/>
                  </w:tcBorders>
                  <w:vAlign w:val="center"/>
                </w:tcPr>
                <w:p w14:paraId="47ECF8F9">
                  <w:pPr>
                    <w:widowControl/>
                    <w:jc w:val="center"/>
                    <w:rPr>
                      <w:rFonts w:hint="eastAsia" w:ascii="仿宋_GB2312" w:hAnsi="宋体" w:eastAsia="仿宋_GB2312" w:cs="宋体"/>
                      <w:color w:val="auto"/>
                      <w:sz w:val="21"/>
                      <w:szCs w:val="21"/>
                    </w:rPr>
                  </w:pPr>
                </w:p>
              </w:tc>
              <w:tc>
                <w:tcPr>
                  <w:tcW w:w="793" w:type="pct"/>
                  <w:vMerge w:val="continue"/>
                  <w:tcBorders>
                    <w:top w:val="single" w:color="auto" w:sz="4" w:space="0"/>
                    <w:left w:val="single" w:color="auto" w:sz="4" w:space="0"/>
                    <w:bottom w:val="single" w:color="auto" w:sz="4" w:space="0"/>
                    <w:right w:val="single" w:color="auto" w:sz="4" w:space="0"/>
                  </w:tcBorders>
                  <w:vAlign w:val="center"/>
                </w:tcPr>
                <w:p w14:paraId="7DA3D5A6">
                  <w:pPr>
                    <w:widowControl/>
                    <w:jc w:val="center"/>
                    <w:rPr>
                      <w:rFonts w:hint="eastAsia" w:ascii="仿宋_GB2312" w:hAnsi="宋体" w:eastAsia="仿宋_GB2312" w:cs="宋体"/>
                      <w:color w:val="auto"/>
                      <w:sz w:val="21"/>
                      <w:szCs w:val="21"/>
                    </w:rPr>
                  </w:pPr>
                </w:p>
              </w:tc>
              <w:tc>
                <w:tcPr>
                  <w:tcW w:w="1064" w:type="pct"/>
                  <w:tcBorders>
                    <w:top w:val="single" w:color="auto" w:sz="4" w:space="0"/>
                    <w:left w:val="single" w:color="auto" w:sz="4" w:space="0"/>
                    <w:bottom w:val="single" w:color="auto" w:sz="4" w:space="0"/>
                    <w:right w:val="single" w:color="auto" w:sz="4" w:space="0"/>
                  </w:tcBorders>
                  <w:vAlign w:val="center"/>
                </w:tcPr>
                <w:p w14:paraId="6C0F6862">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提供事件处理过程文档及解决方案。</w:t>
                  </w:r>
                </w:p>
              </w:tc>
              <w:tc>
                <w:tcPr>
                  <w:tcW w:w="2673" w:type="pct"/>
                  <w:tcBorders>
                    <w:top w:val="single" w:color="auto" w:sz="4" w:space="0"/>
                    <w:left w:val="single" w:color="auto" w:sz="4" w:space="0"/>
                    <w:bottom w:val="single" w:color="auto" w:sz="4" w:space="0"/>
                    <w:right w:val="single" w:color="auto" w:sz="4" w:space="0"/>
                  </w:tcBorders>
                  <w:vAlign w:val="center"/>
                </w:tcPr>
                <w:p w14:paraId="4A10863E">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在事件处理后1个工作日内，向客户做事故处理报告。</w:t>
                  </w:r>
                </w:p>
                <w:p w14:paraId="2F853C1F">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在事故处理后3个工作日内将整体事件处理过程绘制成书面报告交付给客户，协助客户形成机房事故紧急预案。</w:t>
                  </w:r>
                </w:p>
              </w:tc>
            </w:tr>
            <w:tr w14:paraId="7EAB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5AD2CC09">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5</w:t>
                  </w:r>
                </w:p>
              </w:tc>
              <w:tc>
                <w:tcPr>
                  <w:tcW w:w="793" w:type="pct"/>
                  <w:tcBorders>
                    <w:top w:val="single" w:color="auto" w:sz="4" w:space="0"/>
                    <w:left w:val="single" w:color="auto" w:sz="4" w:space="0"/>
                    <w:bottom w:val="single" w:color="auto" w:sz="4" w:space="0"/>
                    <w:right w:val="single" w:color="auto" w:sz="4" w:space="0"/>
                  </w:tcBorders>
                  <w:vAlign w:val="center"/>
                </w:tcPr>
                <w:p w14:paraId="18C0979B">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机房设备部署及调试</w:t>
                  </w:r>
                </w:p>
              </w:tc>
              <w:tc>
                <w:tcPr>
                  <w:tcW w:w="1064" w:type="pct"/>
                  <w:tcBorders>
                    <w:top w:val="single" w:color="auto" w:sz="4" w:space="0"/>
                    <w:left w:val="single" w:color="auto" w:sz="4" w:space="0"/>
                    <w:bottom w:val="single" w:color="auto" w:sz="4" w:space="0"/>
                    <w:right w:val="single" w:color="auto" w:sz="4" w:space="0"/>
                  </w:tcBorders>
                  <w:vAlign w:val="center"/>
                </w:tcPr>
                <w:p w14:paraId="0EC96B4D">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维护人员根据客户需求将机房设备进行部署及进行安装调试。</w:t>
                  </w:r>
                </w:p>
              </w:tc>
              <w:tc>
                <w:tcPr>
                  <w:tcW w:w="2673" w:type="pct"/>
                  <w:tcBorders>
                    <w:top w:val="single" w:color="auto" w:sz="4" w:space="0"/>
                    <w:left w:val="single" w:color="auto" w:sz="4" w:space="0"/>
                    <w:bottom w:val="single" w:color="auto" w:sz="4" w:space="0"/>
                    <w:right w:val="single" w:color="auto" w:sz="4" w:space="0"/>
                  </w:tcBorders>
                  <w:vAlign w:val="center"/>
                </w:tcPr>
                <w:p w14:paraId="341BE0EF">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维护人员在得知客户有新机房设备需要进行上线处理时，应在1个工作日内抵达现场协助客户进行机房设备的部署及安装调试。</w:t>
                  </w:r>
                </w:p>
                <w:p w14:paraId="115BB4F2">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维护服务用户满意度不低于95%；</w:t>
                  </w:r>
                </w:p>
              </w:tc>
            </w:tr>
            <w:tr w14:paraId="7D06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36E5423F">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6</w:t>
                  </w:r>
                </w:p>
              </w:tc>
              <w:tc>
                <w:tcPr>
                  <w:tcW w:w="793" w:type="pct"/>
                  <w:tcBorders>
                    <w:top w:val="single" w:color="auto" w:sz="4" w:space="0"/>
                    <w:left w:val="single" w:color="auto" w:sz="4" w:space="0"/>
                    <w:bottom w:val="single" w:color="auto" w:sz="4" w:space="0"/>
                    <w:right w:val="single" w:color="auto" w:sz="4" w:space="0"/>
                  </w:tcBorders>
                  <w:vAlign w:val="center"/>
                </w:tcPr>
                <w:p w14:paraId="6A2C5009">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机房设备维护及备件提供</w:t>
                  </w:r>
                </w:p>
              </w:tc>
              <w:tc>
                <w:tcPr>
                  <w:tcW w:w="1064" w:type="pct"/>
                  <w:tcBorders>
                    <w:top w:val="single" w:color="auto" w:sz="4" w:space="0"/>
                    <w:left w:val="single" w:color="auto" w:sz="4" w:space="0"/>
                    <w:bottom w:val="single" w:color="auto" w:sz="4" w:space="0"/>
                    <w:right w:val="single" w:color="auto" w:sz="4" w:space="0"/>
                  </w:tcBorders>
                  <w:vAlign w:val="center"/>
                </w:tcPr>
                <w:p w14:paraId="669CEC51">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提供事故中机房设备相关备件</w:t>
                  </w:r>
                </w:p>
              </w:tc>
              <w:tc>
                <w:tcPr>
                  <w:tcW w:w="2673" w:type="pct"/>
                  <w:tcBorders>
                    <w:top w:val="single" w:color="auto" w:sz="4" w:space="0"/>
                    <w:left w:val="single" w:color="auto" w:sz="4" w:space="0"/>
                    <w:bottom w:val="single" w:color="auto" w:sz="4" w:space="0"/>
                    <w:right w:val="single" w:color="auto" w:sz="4" w:space="0"/>
                  </w:tcBorders>
                </w:tcPr>
                <w:p w14:paraId="30C77015">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运维单位应该具备完善机房设备备件库，出现故障时，备件在</w:t>
                  </w:r>
                  <w:r>
                    <w:rPr>
                      <w:rFonts w:hint="default" w:ascii="仿宋_GB2312" w:hAnsi="宋体" w:eastAsia="仿宋_GB2312" w:cs="宋体"/>
                      <w:color w:val="auto"/>
                      <w:sz w:val="21"/>
                      <w:szCs w:val="21"/>
                    </w:rPr>
                    <w:t>4</w:t>
                  </w:r>
                  <w:r>
                    <w:rPr>
                      <w:rFonts w:hint="eastAsia" w:ascii="仿宋_GB2312" w:hAnsi="宋体" w:eastAsia="仿宋_GB2312" w:cs="宋体"/>
                      <w:color w:val="auto"/>
                      <w:sz w:val="21"/>
                      <w:szCs w:val="21"/>
                    </w:rPr>
                    <w:t>小时内到达客户现场。（备件不包含UPS电池）</w:t>
                  </w:r>
                </w:p>
                <w:p w14:paraId="5DD7E51D">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备件性能参照目前客户机房设备相关配件标准。</w:t>
                  </w:r>
                </w:p>
              </w:tc>
            </w:tr>
            <w:tr w14:paraId="2B84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14:paraId="38BC606B">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7</w:t>
                  </w:r>
                </w:p>
              </w:tc>
              <w:tc>
                <w:tcPr>
                  <w:tcW w:w="793" w:type="pct"/>
                  <w:tcBorders>
                    <w:top w:val="single" w:color="auto" w:sz="4" w:space="0"/>
                    <w:left w:val="single" w:color="auto" w:sz="4" w:space="0"/>
                    <w:bottom w:val="single" w:color="auto" w:sz="4" w:space="0"/>
                    <w:right w:val="single" w:color="auto" w:sz="4" w:space="0"/>
                  </w:tcBorders>
                  <w:vAlign w:val="center"/>
                </w:tcPr>
                <w:p w14:paraId="62A7E789">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机房设备相关软件版本升级更新</w:t>
                  </w:r>
                </w:p>
              </w:tc>
              <w:tc>
                <w:tcPr>
                  <w:tcW w:w="1064" w:type="pct"/>
                  <w:tcBorders>
                    <w:top w:val="single" w:color="auto" w:sz="4" w:space="0"/>
                    <w:left w:val="single" w:color="auto" w:sz="4" w:space="0"/>
                    <w:bottom w:val="single" w:color="auto" w:sz="4" w:space="0"/>
                    <w:right w:val="single" w:color="auto" w:sz="4" w:space="0"/>
                  </w:tcBorders>
                  <w:vAlign w:val="center"/>
                </w:tcPr>
                <w:p w14:paraId="0BF1F60D">
                  <w:pPr>
                    <w:widowControl/>
                    <w:jc w:val="center"/>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针对机房设备相关软件版本提供相应升级服务。</w:t>
                  </w:r>
                </w:p>
              </w:tc>
              <w:tc>
                <w:tcPr>
                  <w:tcW w:w="2673" w:type="pct"/>
                  <w:tcBorders>
                    <w:top w:val="single" w:color="auto" w:sz="4" w:space="0"/>
                    <w:left w:val="single" w:color="auto" w:sz="4" w:space="0"/>
                    <w:bottom w:val="single" w:color="auto" w:sz="4" w:space="0"/>
                    <w:right w:val="single" w:color="auto" w:sz="4" w:space="0"/>
                  </w:tcBorders>
                </w:tcPr>
                <w:p w14:paraId="3EE1C993">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检查机房设备目前是否有更新的软件版本，根据实际情况及需求协助客户进行软件版本更新。</w:t>
                  </w:r>
                </w:p>
                <w:p w14:paraId="1BDD0F59">
                  <w:pPr>
                    <w:widowControl/>
                    <w:jc w:val="left"/>
                    <w:rPr>
                      <w:rFonts w:hint="eastAsia" w:ascii="仿宋_GB2312" w:hAnsi="宋体" w:eastAsia="仿宋_GB2312" w:cs="宋体"/>
                      <w:color w:val="auto"/>
                      <w:sz w:val="21"/>
                      <w:szCs w:val="21"/>
                    </w:rPr>
                  </w:pPr>
                  <w:r>
                    <w:rPr>
                      <w:rFonts w:hint="eastAsia" w:ascii="仿宋_GB2312" w:hAnsi="宋体" w:eastAsia="仿宋_GB2312" w:cs="宋体"/>
                      <w:color w:val="auto"/>
                      <w:sz w:val="21"/>
                      <w:szCs w:val="21"/>
                    </w:rPr>
                    <w:t>在每次检查后2个工作日内向客户提交机房设备维护报告。</w:t>
                  </w:r>
                </w:p>
              </w:tc>
            </w:tr>
          </w:tbl>
          <w:p w14:paraId="5533B4C8">
            <w:pPr>
              <w:pStyle w:val="5"/>
              <w:spacing w:line="240" w:lineRule="auto"/>
              <w:rPr>
                <w:rFonts w:hint="eastAsia" w:ascii="仿宋_GB2312" w:eastAsia="仿宋_GB2312"/>
                <w:b/>
                <w:bCs w:val="0"/>
                <w:sz w:val="21"/>
                <w:szCs w:val="21"/>
              </w:rPr>
            </w:pPr>
          </w:p>
          <w:p w14:paraId="6A86234C">
            <w:pPr>
              <w:pStyle w:val="5"/>
              <w:spacing w:line="240" w:lineRule="auto"/>
              <w:rPr>
                <w:rFonts w:hint="eastAsia" w:ascii="仿宋_GB2312" w:eastAsia="仿宋_GB2312"/>
                <w:b/>
                <w:bCs w:val="0"/>
                <w:sz w:val="21"/>
                <w:szCs w:val="21"/>
              </w:rPr>
            </w:pPr>
            <w:r>
              <w:rPr>
                <w:rFonts w:hint="eastAsia" w:ascii="仿宋_GB2312" w:eastAsia="仿宋_GB2312"/>
                <w:b/>
                <w:bCs w:val="0"/>
                <w:sz w:val="21"/>
                <w:szCs w:val="21"/>
              </w:rPr>
              <w:t>5、网络安全基础运维</w:t>
            </w:r>
          </w:p>
          <w:p w14:paraId="3EB82E34">
            <w:pPr>
              <w:pStyle w:val="64"/>
              <w:ind w:left="0" w:leftChars="0" w:firstLineChars="200"/>
              <w:rPr>
                <w:rFonts w:hint="eastAsia" w:ascii="仿宋_GB2312" w:hAnsi="宋体" w:eastAsia="仿宋_GB2312"/>
              </w:rPr>
            </w:pPr>
            <w:r>
              <w:rPr>
                <w:rFonts w:hint="eastAsia" w:ascii="仿宋_GB2312" w:hAnsi="宋体" w:eastAsia="仿宋_GB2312"/>
              </w:rPr>
              <w:t>运维商应提供网络安全基础运维服务，包括网络安全设备巡检、安全策略配置修改及变更记录、配合医院方做好网络安全设备基础运维工作。</w:t>
            </w:r>
          </w:p>
          <w:p w14:paraId="79ACF1EA">
            <w:pPr>
              <w:pStyle w:val="64"/>
              <w:ind w:left="0" w:leftChars="0" w:firstLine="0"/>
              <w:rPr>
                <w:rFonts w:hint="eastAsia" w:ascii="仿宋_GB2312" w:hAnsi="宋体" w:eastAsia="仿宋_GB2312"/>
                <w:b/>
                <w:bCs/>
              </w:rPr>
            </w:pPr>
            <w:r>
              <w:rPr>
                <w:rFonts w:hint="eastAsia" w:ascii="仿宋_GB2312" w:hAnsi="宋体" w:eastAsia="仿宋_GB2312"/>
                <w:b/>
                <w:bCs/>
              </w:rPr>
              <w:t>（1）、网络安全设备清单</w:t>
            </w:r>
          </w:p>
          <w:tbl>
            <w:tblPr>
              <w:tblStyle w:val="22"/>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066"/>
              <w:gridCol w:w="1296"/>
              <w:gridCol w:w="3276"/>
              <w:gridCol w:w="907"/>
            </w:tblGrid>
            <w:tr w14:paraId="592D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08" w:type="pct"/>
                  <w:noWrap/>
                  <w:vAlign w:val="center"/>
                </w:tcPr>
                <w:p w14:paraId="270E9CB0">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1257" w:type="pct"/>
                  <w:vAlign w:val="center"/>
                </w:tcPr>
                <w:p w14:paraId="5DF6005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资产名称</w:t>
                  </w:r>
                </w:p>
              </w:tc>
              <w:tc>
                <w:tcPr>
                  <w:tcW w:w="788" w:type="pct"/>
                  <w:vAlign w:val="center"/>
                </w:tcPr>
                <w:p w14:paraId="3489C48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品牌</w:t>
                  </w:r>
                </w:p>
              </w:tc>
              <w:tc>
                <w:tcPr>
                  <w:tcW w:w="1993" w:type="pct"/>
                  <w:vAlign w:val="center"/>
                </w:tcPr>
                <w:p w14:paraId="30DEA3AB">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规格型号</w:t>
                  </w:r>
                </w:p>
              </w:tc>
              <w:tc>
                <w:tcPr>
                  <w:tcW w:w="551" w:type="pct"/>
                  <w:vAlign w:val="center"/>
                </w:tcPr>
                <w:p w14:paraId="36A4C30D">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实有数量</w:t>
                  </w:r>
                </w:p>
              </w:tc>
            </w:tr>
            <w:tr w14:paraId="7EE7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0A8BFE3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c>
                <w:tcPr>
                  <w:tcW w:w="1257" w:type="pct"/>
                  <w:noWrap/>
                  <w:vAlign w:val="center"/>
                </w:tcPr>
                <w:p w14:paraId="7520A48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运维审计系统</w:t>
                  </w:r>
                </w:p>
              </w:tc>
              <w:tc>
                <w:tcPr>
                  <w:tcW w:w="788" w:type="pct"/>
                  <w:noWrap/>
                  <w:vAlign w:val="center"/>
                </w:tcPr>
                <w:p w14:paraId="134FF70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安恒</w:t>
                  </w:r>
                </w:p>
              </w:tc>
              <w:tc>
                <w:tcPr>
                  <w:tcW w:w="1993" w:type="pct"/>
                  <w:noWrap/>
                  <w:vAlign w:val="center"/>
                </w:tcPr>
                <w:p w14:paraId="555DDAE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明御运维审计与风险控制系统</w:t>
                  </w:r>
                </w:p>
              </w:tc>
              <w:tc>
                <w:tcPr>
                  <w:tcW w:w="551" w:type="pct"/>
                  <w:noWrap/>
                  <w:vAlign w:val="center"/>
                </w:tcPr>
                <w:p w14:paraId="1BC5DEC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2491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2026FD4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2</w:t>
                  </w:r>
                </w:p>
              </w:tc>
              <w:tc>
                <w:tcPr>
                  <w:tcW w:w="1257" w:type="pct"/>
                  <w:noWrap/>
                  <w:vAlign w:val="center"/>
                </w:tcPr>
                <w:p w14:paraId="43E8A06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WAF</w:t>
                  </w:r>
                </w:p>
              </w:tc>
              <w:tc>
                <w:tcPr>
                  <w:tcW w:w="788" w:type="pct"/>
                  <w:noWrap/>
                  <w:vAlign w:val="center"/>
                </w:tcPr>
                <w:p w14:paraId="77117D5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山石网科</w:t>
                  </w:r>
                </w:p>
              </w:tc>
              <w:tc>
                <w:tcPr>
                  <w:tcW w:w="1993" w:type="pct"/>
                  <w:noWrap/>
                  <w:vAlign w:val="center"/>
                </w:tcPr>
                <w:p w14:paraId="15A39E6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SG-6000 C5650</w:t>
                  </w:r>
                </w:p>
              </w:tc>
              <w:tc>
                <w:tcPr>
                  <w:tcW w:w="551" w:type="pct"/>
                  <w:noWrap/>
                  <w:vAlign w:val="center"/>
                </w:tcPr>
                <w:p w14:paraId="140BE40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7FBA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6FF6726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w:t>
                  </w:r>
                </w:p>
              </w:tc>
              <w:tc>
                <w:tcPr>
                  <w:tcW w:w="1257" w:type="pct"/>
                  <w:noWrap/>
                  <w:vAlign w:val="center"/>
                </w:tcPr>
                <w:p w14:paraId="4E6A246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时间服务器</w:t>
                  </w:r>
                </w:p>
              </w:tc>
              <w:tc>
                <w:tcPr>
                  <w:tcW w:w="788" w:type="pct"/>
                  <w:noWrap/>
                  <w:vAlign w:val="center"/>
                </w:tcPr>
                <w:p w14:paraId="34ECDCC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泰福特电子</w:t>
                  </w:r>
                </w:p>
              </w:tc>
              <w:tc>
                <w:tcPr>
                  <w:tcW w:w="1993" w:type="pct"/>
                  <w:noWrap/>
                  <w:vAlign w:val="center"/>
                </w:tcPr>
                <w:p w14:paraId="58E31C3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NTP TIME SERVER</w:t>
                  </w:r>
                </w:p>
              </w:tc>
              <w:tc>
                <w:tcPr>
                  <w:tcW w:w="551" w:type="pct"/>
                  <w:noWrap/>
                  <w:vAlign w:val="center"/>
                </w:tcPr>
                <w:p w14:paraId="171A523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EDC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478349D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4</w:t>
                  </w:r>
                </w:p>
              </w:tc>
              <w:tc>
                <w:tcPr>
                  <w:tcW w:w="1257" w:type="pct"/>
                  <w:noWrap/>
                  <w:vAlign w:val="center"/>
                </w:tcPr>
                <w:p w14:paraId="0A40645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1628ADE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7237BB5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6763C92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303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0C29AD8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5</w:t>
                  </w:r>
                </w:p>
              </w:tc>
              <w:tc>
                <w:tcPr>
                  <w:tcW w:w="1257" w:type="pct"/>
                  <w:noWrap/>
                  <w:vAlign w:val="center"/>
                </w:tcPr>
                <w:p w14:paraId="13985F0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数据库审计系统</w:t>
                  </w:r>
                </w:p>
              </w:tc>
              <w:tc>
                <w:tcPr>
                  <w:tcW w:w="788" w:type="pct"/>
                  <w:noWrap/>
                  <w:vAlign w:val="center"/>
                </w:tcPr>
                <w:p w14:paraId="2B0E5BA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安恒</w:t>
                  </w:r>
                </w:p>
              </w:tc>
              <w:tc>
                <w:tcPr>
                  <w:tcW w:w="1993" w:type="pct"/>
                  <w:noWrap/>
                  <w:vAlign w:val="center"/>
                </w:tcPr>
                <w:p w14:paraId="42734C0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明御数据库审计与风险控制系统</w:t>
                  </w:r>
                </w:p>
              </w:tc>
              <w:tc>
                <w:tcPr>
                  <w:tcW w:w="551" w:type="pct"/>
                  <w:noWrap/>
                  <w:vAlign w:val="center"/>
                </w:tcPr>
                <w:p w14:paraId="32AA478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5F13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1946277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6</w:t>
                  </w:r>
                </w:p>
              </w:tc>
              <w:tc>
                <w:tcPr>
                  <w:tcW w:w="1257" w:type="pct"/>
                  <w:noWrap/>
                  <w:vAlign w:val="center"/>
                </w:tcPr>
                <w:p w14:paraId="2EC5A80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183E8F5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深信服</w:t>
                  </w:r>
                </w:p>
              </w:tc>
              <w:tc>
                <w:tcPr>
                  <w:tcW w:w="1993" w:type="pct"/>
                  <w:noWrap/>
                  <w:vAlign w:val="center"/>
                </w:tcPr>
                <w:p w14:paraId="5B7401F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AF-1000-B1510</w:t>
                  </w:r>
                </w:p>
              </w:tc>
              <w:tc>
                <w:tcPr>
                  <w:tcW w:w="551" w:type="pct"/>
                  <w:noWrap/>
                  <w:vAlign w:val="center"/>
                </w:tcPr>
                <w:p w14:paraId="3CA03DF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1F1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51E2292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7</w:t>
                  </w:r>
                </w:p>
              </w:tc>
              <w:tc>
                <w:tcPr>
                  <w:tcW w:w="1257" w:type="pct"/>
                  <w:noWrap/>
                  <w:vAlign w:val="center"/>
                </w:tcPr>
                <w:p w14:paraId="780397A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418E3B2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10703F5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0F00E26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3BA7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3EE6401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8</w:t>
                  </w:r>
                </w:p>
              </w:tc>
              <w:tc>
                <w:tcPr>
                  <w:tcW w:w="1257" w:type="pct"/>
                  <w:noWrap/>
                  <w:vAlign w:val="center"/>
                </w:tcPr>
                <w:p w14:paraId="041E19F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4F4229D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0D0936A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15C82573">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58C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1AB0BF6D">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9</w:t>
                  </w:r>
                </w:p>
              </w:tc>
              <w:tc>
                <w:tcPr>
                  <w:tcW w:w="1257" w:type="pct"/>
                  <w:noWrap/>
                  <w:vAlign w:val="center"/>
                </w:tcPr>
                <w:p w14:paraId="444B1CE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3AC6731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45253A9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5B1954B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35A0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5DE453C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10</w:t>
                  </w:r>
                </w:p>
              </w:tc>
              <w:tc>
                <w:tcPr>
                  <w:tcW w:w="1257" w:type="pct"/>
                  <w:noWrap/>
                  <w:vAlign w:val="center"/>
                </w:tcPr>
                <w:p w14:paraId="244522E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网闸</w:t>
                  </w:r>
                </w:p>
              </w:tc>
              <w:tc>
                <w:tcPr>
                  <w:tcW w:w="788" w:type="pct"/>
                  <w:noWrap/>
                  <w:vAlign w:val="center"/>
                </w:tcPr>
                <w:p w14:paraId="009266C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H3C</w:t>
                  </w:r>
                </w:p>
              </w:tc>
              <w:tc>
                <w:tcPr>
                  <w:tcW w:w="1993" w:type="pct"/>
                  <w:noWrap/>
                  <w:vAlign w:val="center"/>
                </w:tcPr>
                <w:p w14:paraId="4DDB68E7">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GAP2000-AE</w:t>
                  </w:r>
                </w:p>
              </w:tc>
              <w:tc>
                <w:tcPr>
                  <w:tcW w:w="551" w:type="pct"/>
                  <w:noWrap/>
                  <w:vAlign w:val="center"/>
                </w:tcPr>
                <w:p w14:paraId="778E38E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38E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1D522339">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1</w:t>
                  </w:r>
                </w:p>
              </w:tc>
              <w:tc>
                <w:tcPr>
                  <w:tcW w:w="1257" w:type="pct"/>
                  <w:noWrap/>
                  <w:vAlign w:val="center"/>
                </w:tcPr>
                <w:p w14:paraId="1669635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电子签章服务器</w:t>
                  </w:r>
                </w:p>
              </w:tc>
              <w:tc>
                <w:tcPr>
                  <w:tcW w:w="788" w:type="pct"/>
                  <w:noWrap/>
                  <w:vAlign w:val="center"/>
                </w:tcPr>
                <w:p w14:paraId="31EB038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Trustbyte</w:t>
                  </w:r>
                </w:p>
              </w:tc>
              <w:tc>
                <w:tcPr>
                  <w:tcW w:w="1993" w:type="pct"/>
                  <w:noWrap/>
                  <w:vAlign w:val="center"/>
                </w:tcPr>
                <w:p w14:paraId="422D87D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UAS-P2电子签章服务器</w:t>
                  </w:r>
                </w:p>
              </w:tc>
              <w:tc>
                <w:tcPr>
                  <w:tcW w:w="551" w:type="pct"/>
                  <w:noWrap/>
                  <w:vAlign w:val="center"/>
                </w:tcPr>
                <w:p w14:paraId="4BD005C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4434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58479670">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2</w:t>
                  </w:r>
                </w:p>
              </w:tc>
              <w:tc>
                <w:tcPr>
                  <w:tcW w:w="1257" w:type="pct"/>
                  <w:noWrap/>
                  <w:vAlign w:val="center"/>
                </w:tcPr>
                <w:p w14:paraId="6ED1894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日志审计系统</w:t>
                  </w:r>
                </w:p>
              </w:tc>
              <w:tc>
                <w:tcPr>
                  <w:tcW w:w="788" w:type="pct"/>
                  <w:noWrap/>
                  <w:vAlign w:val="center"/>
                </w:tcPr>
                <w:p w14:paraId="30D4DA0B">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安恒</w:t>
                  </w:r>
                </w:p>
              </w:tc>
              <w:tc>
                <w:tcPr>
                  <w:tcW w:w="1993" w:type="pct"/>
                  <w:noWrap/>
                  <w:vAlign w:val="center"/>
                </w:tcPr>
                <w:p w14:paraId="56AB5F7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明御日志审计与风险控制系统</w:t>
                  </w:r>
                </w:p>
              </w:tc>
              <w:tc>
                <w:tcPr>
                  <w:tcW w:w="551" w:type="pct"/>
                  <w:noWrap/>
                  <w:vAlign w:val="center"/>
                </w:tcPr>
                <w:p w14:paraId="6FB731A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92B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31208AE5">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3</w:t>
                  </w:r>
                </w:p>
              </w:tc>
              <w:tc>
                <w:tcPr>
                  <w:tcW w:w="1257" w:type="pct"/>
                  <w:noWrap/>
                  <w:vAlign w:val="center"/>
                </w:tcPr>
                <w:p w14:paraId="2EB6856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483DB73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6615D1A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26F2937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6B5A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2F385322">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4</w:t>
                  </w:r>
                </w:p>
              </w:tc>
              <w:tc>
                <w:tcPr>
                  <w:tcW w:w="1257" w:type="pct"/>
                  <w:noWrap/>
                  <w:vAlign w:val="center"/>
                </w:tcPr>
                <w:p w14:paraId="1001D86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防火墙</w:t>
                  </w:r>
                </w:p>
              </w:tc>
              <w:tc>
                <w:tcPr>
                  <w:tcW w:w="788" w:type="pct"/>
                  <w:noWrap/>
                  <w:vAlign w:val="center"/>
                </w:tcPr>
                <w:p w14:paraId="32C307B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天融信</w:t>
                  </w:r>
                </w:p>
              </w:tc>
              <w:tc>
                <w:tcPr>
                  <w:tcW w:w="1993" w:type="pct"/>
                  <w:noWrap/>
                  <w:vAlign w:val="center"/>
                </w:tcPr>
                <w:p w14:paraId="3252080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NGFW4000-UF</w:t>
                  </w:r>
                </w:p>
              </w:tc>
              <w:tc>
                <w:tcPr>
                  <w:tcW w:w="551" w:type="pct"/>
                  <w:noWrap/>
                  <w:vAlign w:val="center"/>
                </w:tcPr>
                <w:p w14:paraId="57B44EA8">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89A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69C2C05C">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5</w:t>
                  </w:r>
                </w:p>
              </w:tc>
              <w:tc>
                <w:tcPr>
                  <w:tcW w:w="1257" w:type="pct"/>
                  <w:noWrap/>
                  <w:vAlign w:val="center"/>
                </w:tcPr>
                <w:p w14:paraId="2BB1078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安全感知探针</w:t>
                  </w:r>
                </w:p>
              </w:tc>
              <w:tc>
                <w:tcPr>
                  <w:tcW w:w="788" w:type="pct"/>
                  <w:noWrap/>
                  <w:vAlign w:val="center"/>
                </w:tcPr>
                <w:p w14:paraId="3846223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深信服</w:t>
                  </w:r>
                </w:p>
              </w:tc>
              <w:tc>
                <w:tcPr>
                  <w:tcW w:w="1993" w:type="pct"/>
                  <w:noWrap/>
                  <w:vAlign w:val="center"/>
                </w:tcPr>
                <w:p w14:paraId="65BCF68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STA-100-B2200</w:t>
                  </w:r>
                </w:p>
              </w:tc>
              <w:tc>
                <w:tcPr>
                  <w:tcW w:w="551" w:type="pct"/>
                  <w:noWrap/>
                  <w:vAlign w:val="center"/>
                </w:tcPr>
                <w:p w14:paraId="26354D8F">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1CC0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7201F08C">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rPr>
                    <w:t>1</w:t>
                  </w:r>
                  <w:r>
                    <w:rPr>
                      <w:rFonts w:hint="eastAsia" w:ascii="仿宋_GB2312" w:hAnsi="宋体" w:eastAsia="仿宋_GB2312" w:cs="宋体"/>
                      <w:color w:val="auto"/>
                      <w:szCs w:val="21"/>
                      <w:lang w:val="en-US" w:eastAsia="zh-CN"/>
                    </w:rPr>
                    <w:t>6</w:t>
                  </w:r>
                </w:p>
              </w:tc>
              <w:tc>
                <w:tcPr>
                  <w:tcW w:w="1257" w:type="pct"/>
                  <w:noWrap/>
                  <w:vAlign w:val="center"/>
                </w:tcPr>
                <w:p w14:paraId="0EE73519">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分流器</w:t>
                  </w:r>
                </w:p>
              </w:tc>
              <w:tc>
                <w:tcPr>
                  <w:tcW w:w="788" w:type="pct"/>
                  <w:noWrap/>
                  <w:vAlign w:val="center"/>
                </w:tcPr>
                <w:p w14:paraId="167EC9A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panabit</w:t>
                  </w:r>
                </w:p>
              </w:tc>
              <w:tc>
                <w:tcPr>
                  <w:tcW w:w="1993" w:type="pct"/>
                  <w:noWrap/>
                  <w:vAlign w:val="center"/>
                </w:tcPr>
                <w:p w14:paraId="53E3283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分流器</w:t>
                  </w:r>
                </w:p>
              </w:tc>
              <w:tc>
                <w:tcPr>
                  <w:tcW w:w="551" w:type="pct"/>
                  <w:noWrap/>
                  <w:vAlign w:val="center"/>
                </w:tcPr>
                <w:p w14:paraId="4D5D24A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0A24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230CD56A">
                  <w:pPr>
                    <w:widowControl/>
                    <w:jc w:val="center"/>
                    <w:rPr>
                      <w:rFonts w:hint="default" w:ascii="仿宋_GB2312" w:hAnsi="宋体" w:eastAsia="仿宋_GB2312" w:cs="宋体"/>
                      <w:color w:val="auto"/>
                      <w:szCs w:val="21"/>
                      <w:lang w:val="en-US"/>
                    </w:rPr>
                  </w:pPr>
                  <w:r>
                    <w:rPr>
                      <w:rFonts w:hint="eastAsia" w:ascii="仿宋_GB2312" w:hAnsi="宋体" w:eastAsia="仿宋_GB2312" w:cs="宋体"/>
                      <w:color w:val="auto"/>
                      <w:szCs w:val="21"/>
                      <w:lang w:val="en-US" w:eastAsia="zh-CN"/>
                    </w:rPr>
                    <w:t>17</w:t>
                  </w:r>
                </w:p>
              </w:tc>
              <w:tc>
                <w:tcPr>
                  <w:tcW w:w="1257" w:type="pct"/>
                  <w:noWrap/>
                  <w:vAlign w:val="center"/>
                </w:tcPr>
                <w:p w14:paraId="3B2AB4D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SSL VPN 安全网关</w:t>
                  </w:r>
                </w:p>
              </w:tc>
              <w:tc>
                <w:tcPr>
                  <w:tcW w:w="788" w:type="pct"/>
                  <w:noWrap/>
                  <w:vAlign w:val="center"/>
                </w:tcPr>
                <w:p w14:paraId="77249B14">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安信天行</w:t>
                  </w:r>
                </w:p>
              </w:tc>
              <w:tc>
                <w:tcPr>
                  <w:tcW w:w="1993" w:type="pct"/>
                  <w:noWrap/>
                  <w:vAlign w:val="center"/>
                </w:tcPr>
                <w:p w14:paraId="5D6DC2F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SRT1402</w:t>
                  </w:r>
                </w:p>
              </w:tc>
              <w:tc>
                <w:tcPr>
                  <w:tcW w:w="551" w:type="pct"/>
                  <w:noWrap/>
                  <w:vAlign w:val="center"/>
                </w:tcPr>
                <w:p w14:paraId="7A0494F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2ED2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8" w:type="pct"/>
                  <w:noWrap/>
                  <w:vAlign w:val="center"/>
                </w:tcPr>
                <w:p w14:paraId="43F80D83">
                  <w:pPr>
                    <w:widowControl/>
                    <w:jc w:val="center"/>
                    <w:rPr>
                      <w:rFonts w:hint="default" w:ascii="仿宋_GB2312" w:hAnsi="宋体" w:eastAsia="仿宋_GB2312" w:cs="宋体"/>
                      <w:color w:val="auto"/>
                      <w:szCs w:val="21"/>
                      <w:lang w:val="en-US"/>
                    </w:rPr>
                  </w:pPr>
                  <w:r>
                    <w:rPr>
                      <w:rFonts w:hint="eastAsia" w:ascii="仿宋_GB2312" w:hAnsi="宋体" w:eastAsia="仿宋_GB2312" w:cs="宋体"/>
                      <w:color w:val="auto"/>
                      <w:szCs w:val="21"/>
                      <w:lang w:val="en-US" w:eastAsia="zh-CN"/>
                    </w:rPr>
                    <w:t>18</w:t>
                  </w:r>
                </w:p>
              </w:tc>
              <w:tc>
                <w:tcPr>
                  <w:tcW w:w="1257" w:type="pct"/>
                  <w:noWrap/>
                  <w:vAlign w:val="center"/>
                </w:tcPr>
                <w:p w14:paraId="58BC25D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准入控制系统</w:t>
                  </w:r>
                </w:p>
              </w:tc>
              <w:tc>
                <w:tcPr>
                  <w:tcW w:w="788" w:type="pct"/>
                  <w:noWrap/>
                  <w:vAlign w:val="center"/>
                </w:tcPr>
                <w:p w14:paraId="736FFA2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盈高</w:t>
                  </w:r>
                </w:p>
              </w:tc>
              <w:tc>
                <w:tcPr>
                  <w:tcW w:w="1993" w:type="pct"/>
                  <w:noWrap/>
                  <w:vAlign w:val="center"/>
                </w:tcPr>
                <w:p w14:paraId="4966F2A2">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CAR-2072C-SHYG02</w:t>
                  </w:r>
                </w:p>
              </w:tc>
              <w:tc>
                <w:tcPr>
                  <w:tcW w:w="551" w:type="pct"/>
                  <w:noWrap/>
                  <w:vAlign w:val="center"/>
                </w:tcPr>
                <w:p w14:paraId="6AABCAE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r w14:paraId="3678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08" w:type="pct"/>
                  <w:noWrap/>
                  <w:vAlign w:val="center"/>
                </w:tcPr>
                <w:p w14:paraId="4D916F92">
                  <w:pPr>
                    <w:widowControl/>
                    <w:jc w:val="center"/>
                    <w:rPr>
                      <w:rFonts w:hint="default" w:ascii="仿宋_GB2312" w:hAnsi="宋体" w:eastAsia="仿宋_GB2312" w:cs="宋体"/>
                      <w:color w:val="auto"/>
                      <w:szCs w:val="21"/>
                      <w:lang w:val="en-US" w:eastAsia="zh-CN"/>
                    </w:rPr>
                  </w:pPr>
                  <w:r>
                    <w:rPr>
                      <w:rFonts w:hint="eastAsia" w:ascii="仿宋_GB2312" w:hAnsi="宋体" w:eastAsia="仿宋_GB2312" w:cs="宋体"/>
                      <w:color w:val="auto"/>
                      <w:szCs w:val="21"/>
                      <w:lang w:val="en-US" w:eastAsia="zh-CN"/>
                    </w:rPr>
                    <w:t>19</w:t>
                  </w:r>
                </w:p>
              </w:tc>
              <w:tc>
                <w:tcPr>
                  <w:tcW w:w="1257" w:type="pct"/>
                  <w:noWrap/>
                  <w:vAlign w:val="center"/>
                </w:tcPr>
                <w:p w14:paraId="3771F26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CA电子签章</w:t>
                  </w:r>
                </w:p>
              </w:tc>
              <w:tc>
                <w:tcPr>
                  <w:tcW w:w="788" w:type="pct"/>
                  <w:noWrap/>
                  <w:vAlign w:val="center"/>
                </w:tcPr>
                <w:p w14:paraId="2ABB9A3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网证通</w:t>
                  </w:r>
                </w:p>
              </w:tc>
              <w:tc>
                <w:tcPr>
                  <w:tcW w:w="1993" w:type="pct"/>
                  <w:noWrap/>
                  <w:vAlign w:val="center"/>
                </w:tcPr>
                <w:p w14:paraId="4A851D7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NetCA电子签章</w:t>
                  </w:r>
                </w:p>
              </w:tc>
              <w:tc>
                <w:tcPr>
                  <w:tcW w:w="551" w:type="pct"/>
                  <w:noWrap/>
                  <w:vAlign w:val="center"/>
                </w:tcPr>
                <w:p w14:paraId="0BF3815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r>
          </w:tbl>
          <w:p w14:paraId="272946A0">
            <w:pPr>
              <w:pStyle w:val="64"/>
              <w:ind w:left="0" w:leftChars="0" w:firstLine="0"/>
              <w:rPr>
                <w:rFonts w:hint="eastAsia" w:ascii="仿宋_GB2312" w:hAnsi="宋体" w:eastAsia="仿宋_GB2312" w:cs="仿宋_GB2312"/>
              </w:rPr>
            </w:pPr>
          </w:p>
          <w:p w14:paraId="73958118">
            <w:pPr>
              <w:pStyle w:val="64"/>
              <w:numPr>
                <w:ilvl w:val="0"/>
                <w:numId w:val="2"/>
              </w:numPr>
              <w:ind w:left="0" w:leftChars="0" w:firstLine="0" w:firstLineChars="0"/>
              <w:rPr>
                <w:rFonts w:hint="eastAsia" w:ascii="仿宋_GB2312" w:hAnsi="宋体" w:eastAsia="仿宋_GB2312" w:cs="仿宋_GB2312"/>
                <w:b/>
                <w:bCs/>
              </w:rPr>
            </w:pPr>
            <w:r>
              <w:rPr>
                <w:rFonts w:hint="eastAsia" w:ascii="仿宋_GB2312" w:hAnsi="宋体" w:eastAsia="仿宋_GB2312" w:cs="仿宋_GB2312"/>
                <w:b/>
                <w:bCs/>
              </w:rPr>
              <w:t>、网络安全设备基础运维要求</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34"/>
              <w:gridCol w:w="2162"/>
              <w:gridCol w:w="4117"/>
            </w:tblGrid>
            <w:tr w14:paraId="24AF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blHeader/>
                <w:jc w:val="center"/>
              </w:trPr>
              <w:tc>
                <w:tcPr>
                  <w:tcW w:w="41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165045">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序号</w:t>
                  </w:r>
                </w:p>
              </w:tc>
              <w:tc>
                <w:tcPr>
                  <w:tcW w:w="80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CE6319">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相关内容</w:t>
                  </w:r>
                </w:p>
              </w:tc>
              <w:tc>
                <w:tcPr>
                  <w:tcW w:w="130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614B5A">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维护要求</w:t>
                  </w:r>
                </w:p>
              </w:tc>
              <w:tc>
                <w:tcPr>
                  <w:tcW w:w="248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490CE1">
                  <w:pPr>
                    <w:widowControl/>
                    <w:jc w:val="center"/>
                    <w:textAlignment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lang w:val="en-US" w:eastAsia="zh-CN" w:bidi="ar-SA"/>
                    </w:rPr>
                    <w:t>维护内容说明</w:t>
                  </w:r>
                </w:p>
              </w:tc>
            </w:tr>
            <w:tr w14:paraId="226F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27121266">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1</w:t>
                  </w:r>
                </w:p>
              </w:tc>
              <w:tc>
                <w:tcPr>
                  <w:tcW w:w="803" w:type="pct"/>
                  <w:vMerge w:val="restart"/>
                  <w:tcBorders>
                    <w:top w:val="single" w:color="auto" w:sz="4" w:space="0"/>
                    <w:left w:val="single" w:color="auto" w:sz="4" w:space="0"/>
                    <w:right w:val="single" w:color="auto" w:sz="4" w:space="0"/>
                  </w:tcBorders>
                  <w:vAlign w:val="center"/>
                </w:tcPr>
                <w:p w14:paraId="6C2CBB90">
                  <w:pPr>
                    <w:widowControl/>
                    <w:jc w:val="both"/>
                    <w:rPr>
                      <w:rFonts w:hint="eastAsia" w:ascii="仿宋_GB2312" w:hAnsi="宋体" w:eastAsia="仿宋_GB2312" w:cs="宋体"/>
                      <w:color w:val="auto"/>
                      <w:szCs w:val="21"/>
                    </w:rPr>
                  </w:pPr>
                  <w:r>
                    <w:rPr>
                      <w:rFonts w:hint="eastAsia" w:ascii="仿宋_GB2312" w:hAnsi="宋体" w:eastAsia="仿宋_GB2312" w:cs="宋体"/>
                      <w:color w:val="auto"/>
                      <w:szCs w:val="21"/>
                    </w:rPr>
                    <w:t>配合院方安全服务工作要求对网络安全设备进行基础巡检</w:t>
                  </w:r>
                </w:p>
              </w:tc>
              <w:tc>
                <w:tcPr>
                  <w:tcW w:w="1302" w:type="pct"/>
                  <w:vMerge w:val="restart"/>
                  <w:tcBorders>
                    <w:top w:val="single" w:color="auto" w:sz="4" w:space="0"/>
                    <w:left w:val="single" w:color="auto" w:sz="4" w:space="0"/>
                    <w:bottom w:val="single" w:color="auto" w:sz="4" w:space="0"/>
                    <w:right w:val="single" w:color="auto" w:sz="4" w:space="0"/>
                  </w:tcBorders>
                  <w:vAlign w:val="center"/>
                </w:tcPr>
                <w:p w14:paraId="5F3C4D8C">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维护方安排人员配合院方对网络安全设备进行管理</w:t>
                  </w:r>
                </w:p>
              </w:tc>
              <w:tc>
                <w:tcPr>
                  <w:tcW w:w="2481" w:type="pct"/>
                  <w:tcBorders>
                    <w:top w:val="single" w:color="auto" w:sz="4" w:space="0"/>
                    <w:left w:val="single" w:color="auto" w:sz="4" w:space="0"/>
                    <w:bottom w:val="single" w:color="auto" w:sz="4" w:space="0"/>
                    <w:right w:val="single" w:color="auto" w:sz="4" w:space="0"/>
                  </w:tcBorders>
                  <w:vAlign w:val="center"/>
                </w:tcPr>
                <w:p w14:paraId="1776B901">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配合院方对网络安全设备主机、环境进行保养</w:t>
                  </w:r>
                  <w:r>
                    <w:rPr>
                      <w:rFonts w:hint="eastAsia" w:ascii="仿宋_GB2312" w:hAnsi="宋体" w:eastAsia="仿宋_GB2312" w:cs="宋体"/>
                      <w:color w:val="auto"/>
                      <w:szCs w:val="21"/>
                      <w:lang w:eastAsia="zh-CN"/>
                    </w:rPr>
                    <w:t>，</w:t>
                  </w:r>
                  <w:r>
                    <w:rPr>
                      <w:rFonts w:hint="eastAsia" w:ascii="仿宋_GB2312" w:hAnsi="宋体" w:eastAsia="仿宋_GB2312" w:cs="宋体"/>
                      <w:color w:val="auto"/>
                      <w:szCs w:val="21"/>
                    </w:rPr>
                    <w:t>进行</w:t>
                  </w:r>
                  <w:r>
                    <w:rPr>
                      <w:rFonts w:hint="eastAsia" w:ascii="仿宋_GB2312" w:hAnsi="宋体" w:eastAsia="仿宋_GB2312" w:cs="宋体"/>
                      <w:color w:val="auto"/>
                      <w:szCs w:val="21"/>
                      <w:lang w:val="en-US" w:eastAsia="zh-CN"/>
                    </w:rPr>
                    <w:t>基础</w:t>
                  </w:r>
                  <w:r>
                    <w:rPr>
                      <w:rFonts w:hint="eastAsia" w:ascii="仿宋_GB2312" w:hAnsi="宋体" w:eastAsia="仿宋_GB2312" w:cs="宋体"/>
                      <w:color w:val="auto"/>
                      <w:szCs w:val="21"/>
                    </w:rPr>
                    <w:t>巡检，</w:t>
                  </w:r>
                  <w:r>
                    <w:rPr>
                      <w:rFonts w:hint="eastAsia" w:ascii="仿宋_GB2312" w:hAnsi="宋体" w:eastAsia="仿宋_GB2312" w:cs="宋体"/>
                      <w:color w:val="auto"/>
                      <w:szCs w:val="21"/>
                      <w:lang w:val="en-US" w:eastAsia="zh-CN"/>
                    </w:rPr>
                    <w:t>在巡检之后</w:t>
                  </w:r>
                  <w:r>
                    <w:rPr>
                      <w:rFonts w:hint="eastAsia" w:ascii="仿宋_GB2312" w:hAnsi="宋体" w:eastAsia="仿宋_GB2312" w:cs="宋体"/>
                      <w:color w:val="auto"/>
                      <w:szCs w:val="21"/>
                    </w:rPr>
                    <w:t>两个工作日内向客户提供巡检维护报告。</w:t>
                  </w:r>
                </w:p>
              </w:tc>
            </w:tr>
            <w:tr w14:paraId="35C4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6FD5E80">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2</w:t>
                  </w:r>
                </w:p>
              </w:tc>
              <w:tc>
                <w:tcPr>
                  <w:tcW w:w="803" w:type="pct"/>
                  <w:vMerge w:val="continue"/>
                  <w:tcBorders>
                    <w:left w:val="single" w:color="auto" w:sz="4" w:space="0"/>
                    <w:right w:val="single" w:color="auto" w:sz="4" w:space="0"/>
                  </w:tcBorders>
                  <w:vAlign w:val="center"/>
                </w:tcPr>
                <w:p w14:paraId="783AAD68">
                  <w:pPr>
                    <w:widowControl/>
                    <w:jc w:val="center"/>
                    <w:rPr>
                      <w:rFonts w:hint="eastAsia" w:ascii="仿宋_GB2312" w:hAnsi="宋体" w:eastAsia="仿宋_GB2312" w:cs="宋体"/>
                      <w:color w:val="auto"/>
                      <w:szCs w:val="21"/>
                    </w:rPr>
                  </w:pPr>
                </w:p>
              </w:tc>
              <w:tc>
                <w:tcPr>
                  <w:tcW w:w="1302" w:type="pct"/>
                  <w:vMerge w:val="continue"/>
                  <w:tcBorders>
                    <w:top w:val="single" w:color="auto" w:sz="4" w:space="0"/>
                    <w:left w:val="single" w:color="auto" w:sz="4" w:space="0"/>
                    <w:bottom w:val="single" w:color="auto" w:sz="4" w:space="0"/>
                    <w:right w:val="single" w:color="auto" w:sz="4" w:space="0"/>
                  </w:tcBorders>
                  <w:vAlign w:val="center"/>
                </w:tcPr>
                <w:p w14:paraId="76FBE1FC">
                  <w:pPr>
                    <w:widowControl/>
                    <w:jc w:val="center"/>
                    <w:rPr>
                      <w:rFonts w:hint="eastAsia" w:ascii="仿宋_GB2312" w:hAnsi="宋体" w:eastAsia="仿宋_GB2312" w:cs="宋体"/>
                      <w:color w:val="auto"/>
                      <w:szCs w:val="21"/>
                    </w:rPr>
                  </w:pPr>
                </w:p>
              </w:tc>
              <w:tc>
                <w:tcPr>
                  <w:tcW w:w="2481" w:type="pct"/>
                  <w:tcBorders>
                    <w:top w:val="single" w:color="auto" w:sz="4" w:space="0"/>
                    <w:left w:val="single" w:color="auto" w:sz="4" w:space="0"/>
                    <w:bottom w:val="single" w:color="auto" w:sz="4" w:space="0"/>
                    <w:right w:val="single" w:color="auto" w:sz="4" w:space="0"/>
                  </w:tcBorders>
                  <w:vAlign w:val="center"/>
                </w:tcPr>
                <w:p w14:paraId="75B0B2F6">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配合院方监控网络安全设备运行状态、事件日志等情况及其它异常情况。</w:t>
                  </w:r>
                </w:p>
                <w:p w14:paraId="45718BE5">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在每次巡检之后两个工作日内向客户提供机房巡检维护报告。</w:t>
                  </w:r>
                </w:p>
              </w:tc>
            </w:tr>
            <w:tr w14:paraId="43EF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FC77AF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3</w:t>
                  </w:r>
                </w:p>
              </w:tc>
              <w:tc>
                <w:tcPr>
                  <w:tcW w:w="803" w:type="pct"/>
                  <w:vMerge w:val="continue"/>
                  <w:tcBorders>
                    <w:left w:val="single" w:color="auto" w:sz="4" w:space="0"/>
                    <w:bottom w:val="single" w:color="auto" w:sz="4" w:space="0"/>
                    <w:right w:val="single" w:color="auto" w:sz="4" w:space="0"/>
                  </w:tcBorders>
                  <w:vAlign w:val="center"/>
                </w:tcPr>
                <w:p w14:paraId="1B23B0FC">
                  <w:pPr>
                    <w:widowControl/>
                    <w:jc w:val="center"/>
                    <w:rPr>
                      <w:rFonts w:hint="eastAsia" w:ascii="仿宋_GB2312" w:hAnsi="宋体" w:eastAsia="仿宋_GB2312" w:cs="宋体"/>
                      <w:color w:val="auto"/>
                      <w:szCs w:val="21"/>
                    </w:rPr>
                  </w:pPr>
                </w:p>
              </w:tc>
              <w:tc>
                <w:tcPr>
                  <w:tcW w:w="1302" w:type="pct"/>
                  <w:vMerge w:val="continue"/>
                  <w:tcBorders>
                    <w:top w:val="single" w:color="auto" w:sz="4" w:space="0"/>
                    <w:left w:val="single" w:color="auto" w:sz="4" w:space="0"/>
                    <w:bottom w:val="single" w:color="auto" w:sz="4" w:space="0"/>
                    <w:right w:val="single" w:color="auto" w:sz="4" w:space="0"/>
                  </w:tcBorders>
                  <w:vAlign w:val="center"/>
                </w:tcPr>
                <w:p w14:paraId="050A5F4B">
                  <w:pPr>
                    <w:widowControl/>
                    <w:jc w:val="center"/>
                    <w:rPr>
                      <w:rFonts w:hint="eastAsia" w:ascii="仿宋_GB2312" w:hAnsi="宋体" w:eastAsia="仿宋_GB2312" w:cs="宋体"/>
                      <w:color w:val="auto"/>
                      <w:szCs w:val="21"/>
                    </w:rPr>
                  </w:pPr>
                </w:p>
              </w:tc>
              <w:tc>
                <w:tcPr>
                  <w:tcW w:w="2481" w:type="pct"/>
                  <w:tcBorders>
                    <w:top w:val="single" w:color="auto" w:sz="4" w:space="0"/>
                    <w:left w:val="single" w:color="auto" w:sz="4" w:space="0"/>
                    <w:bottom w:val="single" w:color="auto" w:sz="4" w:space="0"/>
                    <w:right w:val="single" w:color="auto" w:sz="4" w:space="0"/>
                  </w:tcBorders>
                </w:tcPr>
                <w:p w14:paraId="1FC4721E">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配合院方检查网络安全设备的策略是否满足业务系统整体需求，并更新至最佳的策略。在每次检查后2个工作日内向客户提交机房设备策略更新报告。</w:t>
                  </w:r>
                </w:p>
              </w:tc>
            </w:tr>
            <w:tr w14:paraId="2FFB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12" w:type="pct"/>
                  <w:vMerge w:val="restart"/>
                  <w:tcBorders>
                    <w:top w:val="single" w:color="auto" w:sz="4" w:space="0"/>
                    <w:left w:val="single" w:color="auto" w:sz="4" w:space="0"/>
                    <w:bottom w:val="single" w:color="auto" w:sz="4" w:space="0"/>
                    <w:right w:val="single" w:color="auto" w:sz="4" w:space="0"/>
                  </w:tcBorders>
                  <w:vAlign w:val="center"/>
                </w:tcPr>
                <w:p w14:paraId="42F23BD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4</w:t>
                  </w:r>
                </w:p>
              </w:tc>
              <w:tc>
                <w:tcPr>
                  <w:tcW w:w="803" w:type="pct"/>
                  <w:vMerge w:val="restart"/>
                  <w:tcBorders>
                    <w:top w:val="single" w:color="auto" w:sz="4" w:space="0"/>
                    <w:left w:val="single" w:color="auto" w:sz="4" w:space="0"/>
                    <w:bottom w:val="single" w:color="auto" w:sz="4" w:space="0"/>
                    <w:right w:val="single" w:color="auto" w:sz="4" w:space="0"/>
                  </w:tcBorders>
                  <w:vAlign w:val="center"/>
                </w:tcPr>
                <w:p w14:paraId="3EFB9FE5">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配合院方安全服务工作要求对网络安全设备故障应急响应</w:t>
                  </w:r>
                </w:p>
              </w:tc>
              <w:tc>
                <w:tcPr>
                  <w:tcW w:w="1302" w:type="pct"/>
                  <w:tcBorders>
                    <w:top w:val="single" w:color="auto" w:sz="4" w:space="0"/>
                    <w:left w:val="single" w:color="auto" w:sz="4" w:space="0"/>
                    <w:bottom w:val="single" w:color="auto" w:sz="4" w:space="0"/>
                    <w:right w:val="single" w:color="auto" w:sz="4" w:space="0"/>
                  </w:tcBorders>
                  <w:vAlign w:val="center"/>
                </w:tcPr>
                <w:p w14:paraId="2C8B4055">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维护人员提供7*24小时电话支持服务。</w:t>
                  </w:r>
                </w:p>
              </w:tc>
              <w:tc>
                <w:tcPr>
                  <w:tcW w:w="2481" w:type="pct"/>
                  <w:tcBorders>
                    <w:top w:val="single" w:color="auto" w:sz="4" w:space="0"/>
                    <w:left w:val="single" w:color="auto" w:sz="4" w:space="0"/>
                    <w:bottom w:val="single" w:color="auto" w:sz="4" w:space="0"/>
                    <w:right w:val="single" w:color="auto" w:sz="4" w:space="0"/>
                  </w:tcBorders>
                  <w:vAlign w:val="center"/>
                </w:tcPr>
                <w:p w14:paraId="399BC886">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达到电话及现场应急处理100%的用户响应度。</w:t>
                  </w:r>
                </w:p>
                <w:p w14:paraId="1F8AC997">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对于接受服务请求之后，在工作日时间内，维护人员需要在1小时内到达现场。</w:t>
                  </w:r>
                </w:p>
                <w:p w14:paraId="3ABB1676">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到达现场后，2个小时内解决问题故障。</w:t>
                  </w:r>
                </w:p>
                <w:p w14:paraId="1F9E8C41">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维护服务用户满意度不低于95%；</w:t>
                  </w:r>
                </w:p>
              </w:tc>
            </w:tr>
            <w:tr w14:paraId="0D58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12" w:type="pct"/>
                  <w:vMerge w:val="continue"/>
                  <w:tcBorders>
                    <w:top w:val="single" w:color="auto" w:sz="4" w:space="0"/>
                    <w:left w:val="single" w:color="auto" w:sz="4" w:space="0"/>
                    <w:bottom w:val="single" w:color="auto" w:sz="4" w:space="0"/>
                    <w:right w:val="single" w:color="auto" w:sz="4" w:space="0"/>
                  </w:tcBorders>
                  <w:vAlign w:val="center"/>
                </w:tcPr>
                <w:p w14:paraId="0FF1AA24">
                  <w:pPr>
                    <w:widowControl/>
                    <w:jc w:val="center"/>
                    <w:rPr>
                      <w:rFonts w:hint="eastAsia" w:ascii="仿宋_GB2312" w:hAnsi="宋体" w:eastAsia="仿宋_GB2312" w:cs="宋体"/>
                      <w:color w:val="auto"/>
                      <w:szCs w:val="21"/>
                    </w:rPr>
                  </w:pPr>
                </w:p>
              </w:tc>
              <w:tc>
                <w:tcPr>
                  <w:tcW w:w="803" w:type="pct"/>
                  <w:vMerge w:val="continue"/>
                  <w:tcBorders>
                    <w:top w:val="single" w:color="auto" w:sz="4" w:space="0"/>
                    <w:left w:val="single" w:color="auto" w:sz="4" w:space="0"/>
                    <w:bottom w:val="single" w:color="auto" w:sz="4" w:space="0"/>
                    <w:right w:val="single" w:color="auto" w:sz="4" w:space="0"/>
                  </w:tcBorders>
                  <w:vAlign w:val="center"/>
                </w:tcPr>
                <w:p w14:paraId="6E764CFD">
                  <w:pPr>
                    <w:widowControl/>
                    <w:jc w:val="center"/>
                    <w:rPr>
                      <w:rFonts w:hint="eastAsia" w:ascii="仿宋_GB2312" w:hAnsi="宋体" w:eastAsia="仿宋_GB2312" w:cs="宋体"/>
                      <w:color w:val="auto"/>
                      <w:szCs w:val="21"/>
                    </w:rPr>
                  </w:pPr>
                </w:p>
              </w:tc>
              <w:tc>
                <w:tcPr>
                  <w:tcW w:w="1302" w:type="pct"/>
                  <w:tcBorders>
                    <w:top w:val="single" w:color="auto" w:sz="4" w:space="0"/>
                    <w:left w:val="single" w:color="auto" w:sz="4" w:space="0"/>
                    <w:bottom w:val="single" w:color="auto" w:sz="4" w:space="0"/>
                    <w:right w:val="single" w:color="auto" w:sz="4" w:space="0"/>
                  </w:tcBorders>
                  <w:vAlign w:val="center"/>
                </w:tcPr>
                <w:p w14:paraId="19A2BAB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配合院方</w:t>
                  </w:r>
                  <w:r>
                    <w:rPr>
                      <w:rFonts w:hint="eastAsia" w:ascii="仿宋_GB2312" w:hAnsi="宋体" w:eastAsia="仿宋_GB2312" w:cs="宋体"/>
                      <w:color w:val="auto"/>
                      <w:szCs w:val="21"/>
                      <w:lang w:val="en-US" w:eastAsia="zh-CN"/>
                    </w:rPr>
                    <w:t>对</w:t>
                  </w:r>
                  <w:r>
                    <w:rPr>
                      <w:rFonts w:hint="eastAsia" w:ascii="仿宋_GB2312" w:hAnsi="宋体" w:eastAsia="仿宋_GB2312" w:cs="宋体"/>
                      <w:color w:val="auto"/>
                      <w:szCs w:val="21"/>
                    </w:rPr>
                    <w:t>事故现场技术支持服务。</w:t>
                  </w:r>
                </w:p>
              </w:tc>
              <w:tc>
                <w:tcPr>
                  <w:tcW w:w="2481" w:type="pct"/>
                  <w:tcBorders>
                    <w:top w:val="single" w:color="auto" w:sz="4" w:space="0"/>
                    <w:left w:val="single" w:color="auto" w:sz="4" w:space="0"/>
                    <w:bottom w:val="single" w:color="auto" w:sz="4" w:space="0"/>
                    <w:right w:val="single" w:color="auto" w:sz="4" w:space="0"/>
                  </w:tcBorders>
                  <w:vAlign w:val="center"/>
                </w:tcPr>
                <w:p w14:paraId="15862D7A">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维护人员到达现场后，判定故障原因，</w:t>
                  </w:r>
                  <w:r>
                    <w:rPr>
                      <w:rFonts w:hint="default" w:ascii="仿宋_GB2312" w:hAnsi="宋体" w:eastAsia="仿宋_GB2312" w:cs="宋体"/>
                      <w:color w:val="auto"/>
                      <w:szCs w:val="21"/>
                    </w:rPr>
                    <w:t>2</w:t>
                  </w:r>
                  <w:r>
                    <w:rPr>
                      <w:rFonts w:hint="eastAsia" w:ascii="仿宋_GB2312" w:hAnsi="宋体" w:eastAsia="仿宋_GB2312" w:cs="宋体"/>
                      <w:color w:val="auto"/>
                      <w:szCs w:val="21"/>
                    </w:rPr>
                    <w:t>小时内给予解决方案。</w:t>
                  </w:r>
                  <w:r>
                    <w:rPr>
                      <w:rFonts w:hint="default" w:ascii="仿宋_GB2312" w:hAnsi="宋体" w:eastAsia="仿宋_GB2312" w:cs="宋体"/>
                      <w:color w:val="auto"/>
                      <w:szCs w:val="21"/>
                    </w:rPr>
                    <w:t>4</w:t>
                  </w:r>
                  <w:r>
                    <w:rPr>
                      <w:rFonts w:hint="eastAsia" w:ascii="仿宋_GB2312" w:hAnsi="宋体" w:eastAsia="仿宋_GB2312" w:cs="宋体"/>
                      <w:color w:val="auto"/>
                      <w:szCs w:val="21"/>
                    </w:rPr>
                    <w:t>个小时内将相关机房设备配件准备到场，</w:t>
                  </w:r>
                  <w:r>
                    <w:rPr>
                      <w:rFonts w:hint="default" w:ascii="仿宋_GB2312" w:hAnsi="宋体" w:eastAsia="仿宋_GB2312" w:cs="宋体"/>
                      <w:color w:val="auto"/>
                      <w:szCs w:val="21"/>
                    </w:rPr>
                    <w:t>8</w:t>
                  </w:r>
                  <w:r>
                    <w:rPr>
                      <w:rFonts w:hint="eastAsia" w:ascii="仿宋_GB2312" w:hAnsi="宋体" w:eastAsia="仿宋_GB2312" w:cs="宋体"/>
                      <w:color w:val="auto"/>
                      <w:szCs w:val="21"/>
                    </w:rPr>
                    <w:t>个小时内完成配件更换及故障清除，并确认相关系统运行状态正常。</w:t>
                  </w:r>
                </w:p>
              </w:tc>
            </w:tr>
            <w:tr w14:paraId="2971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12" w:type="pct"/>
                  <w:vMerge w:val="continue"/>
                  <w:tcBorders>
                    <w:top w:val="single" w:color="auto" w:sz="4" w:space="0"/>
                    <w:left w:val="single" w:color="auto" w:sz="4" w:space="0"/>
                    <w:bottom w:val="single" w:color="auto" w:sz="4" w:space="0"/>
                    <w:right w:val="single" w:color="auto" w:sz="4" w:space="0"/>
                  </w:tcBorders>
                  <w:vAlign w:val="center"/>
                </w:tcPr>
                <w:p w14:paraId="75E3F642">
                  <w:pPr>
                    <w:widowControl/>
                    <w:jc w:val="center"/>
                    <w:rPr>
                      <w:rFonts w:hint="eastAsia" w:ascii="仿宋_GB2312" w:hAnsi="宋体" w:eastAsia="仿宋_GB2312" w:cs="宋体"/>
                      <w:color w:val="auto"/>
                      <w:szCs w:val="21"/>
                    </w:rPr>
                  </w:pPr>
                </w:p>
              </w:tc>
              <w:tc>
                <w:tcPr>
                  <w:tcW w:w="803" w:type="pct"/>
                  <w:vMerge w:val="continue"/>
                  <w:tcBorders>
                    <w:top w:val="single" w:color="auto" w:sz="4" w:space="0"/>
                    <w:left w:val="single" w:color="auto" w:sz="4" w:space="0"/>
                    <w:bottom w:val="single" w:color="auto" w:sz="4" w:space="0"/>
                    <w:right w:val="single" w:color="auto" w:sz="4" w:space="0"/>
                  </w:tcBorders>
                  <w:vAlign w:val="center"/>
                </w:tcPr>
                <w:p w14:paraId="24217520">
                  <w:pPr>
                    <w:widowControl/>
                    <w:jc w:val="center"/>
                    <w:rPr>
                      <w:rFonts w:hint="eastAsia" w:ascii="仿宋_GB2312" w:hAnsi="宋体" w:eastAsia="仿宋_GB2312" w:cs="宋体"/>
                      <w:color w:val="auto"/>
                      <w:szCs w:val="21"/>
                    </w:rPr>
                  </w:pPr>
                </w:p>
              </w:tc>
              <w:tc>
                <w:tcPr>
                  <w:tcW w:w="1302" w:type="pct"/>
                  <w:tcBorders>
                    <w:top w:val="single" w:color="auto" w:sz="4" w:space="0"/>
                    <w:left w:val="single" w:color="auto" w:sz="4" w:space="0"/>
                    <w:bottom w:val="single" w:color="auto" w:sz="4" w:space="0"/>
                    <w:right w:val="single" w:color="auto" w:sz="4" w:space="0"/>
                  </w:tcBorders>
                  <w:vAlign w:val="center"/>
                </w:tcPr>
                <w:p w14:paraId="7D9FD40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配合院方提供事件处理过程文档及解决方案。</w:t>
                  </w:r>
                </w:p>
              </w:tc>
              <w:tc>
                <w:tcPr>
                  <w:tcW w:w="2481" w:type="pct"/>
                  <w:tcBorders>
                    <w:top w:val="single" w:color="auto" w:sz="4" w:space="0"/>
                    <w:left w:val="single" w:color="auto" w:sz="4" w:space="0"/>
                    <w:bottom w:val="single" w:color="auto" w:sz="4" w:space="0"/>
                    <w:right w:val="single" w:color="auto" w:sz="4" w:space="0"/>
                  </w:tcBorders>
                  <w:vAlign w:val="center"/>
                </w:tcPr>
                <w:p w14:paraId="1A8186BB">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在事件处理后1个工作日内，配合院方做事故处理报告。</w:t>
                  </w:r>
                </w:p>
                <w:p w14:paraId="42FDF9D6">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配合院方在事故处理后3个工作日内将整体事件处理过程绘制成书面报告交付给客户，协助客户形成机房事故紧急预案。</w:t>
                  </w:r>
                </w:p>
              </w:tc>
            </w:tr>
            <w:tr w14:paraId="052D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12" w:type="pct"/>
                  <w:vMerge w:val="continue"/>
                  <w:tcBorders>
                    <w:top w:val="single" w:color="auto" w:sz="4" w:space="0"/>
                    <w:left w:val="single" w:color="auto" w:sz="4" w:space="0"/>
                    <w:bottom w:val="single" w:color="auto" w:sz="4" w:space="0"/>
                    <w:right w:val="single" w:color="auto" w:sz="4" w:space="0"/>
                  </w:tcBorders>
                  <w:vAlign w:val="center"/>
                </w:tcPr>
                <w:p w14:paraId="5E0F0790">
                  <w:pPr>
                    <w:widowControl/>
                    <w:jc w:val="center"/>
                    <w:rPr>
                      <w:rFonts w:hint="eastAsia" w:ascii="仿宋_GB2312" w:hAnsi="宋体" w:eastAsia="仿宋_GB2312" w:cs="宋体"/>
                      <w:color w:val="auto"/>
                      <w:szCs w:val="21"/>
                    </w:rPr>
                  </w:pPr>
                </w:p>
              </w:tc>
              <w:tc>
                <w:tcPr>
                  <w:tcW w:w="803" w:type="pct"/>
                  <w:vMerge w:val="continue"/>
                  <w:tcBorders>
                    <w:top w:val="single" w:color="auto" w:sz="4" w:space="0"/>
                    <w:left w:val="single" w:color="auto" w:sz="4" w:space="0"/>
                    <w:bottom w:val="single" w:color="auto" w:sz="4" w:space="0"/>
                    <w:right w:val="single" w:color="auto" w:sz="4" w:space="0"/>
                  </w:tcBorders>
                  <w:vAlign w:val="center"/>
                </w:tcPr>
                <w:p w14:paraId="439454CB">
                  <w:pPr>
                    <w:widowControl/>
                    <w:jc w:val="center"/>
                    <w:rPr>
                      <w:rFonts w:hint="eastAsia" w:ascii="仿宋_GB2312" w:hAnsi="宋体" w:eastAsia="仿宋_GB2312" w:cs="宋体"/>
                      <w:color w:val="auto"/>
                      <w:szCs w:val="21"/>
                    </w:rPr>
                  </w:pPr>
                </w:p>
              </w:tc>
              <w:tc>
                <w:tcPr>
                  <w:tcW w:w="1302" w:type="pct"/>
                  <w:tcBorders>
                    <w:top w:val="single" w:color="auto" w:sz="4" w:space="0"/>
                    <w:left w:val="single" w:color="auto" w:sz="4" w:space="0"/>
                    <w:bottom w:val="single" w:color="auto" w:sz="4" w:space="0"/>
                    <w:right w:val="single" w:color="auto" w:sz="4" w:space="0"/>
                  </w:tcBorders>
                  <w:vAlign w:val="center"/>
                </w:tcPr>
                <w:p w14:paraId="2CC08E9A">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根据事件应急响应需要协调安全设备备件用于事件响应</w:t>
                  </w:r>
                </w:p>
              </w:tc>
              <w:tc>
                <w:tcPr>
                  <w:tcW w:w="2481" w:type="pct"/>
                  <w:tcBorders>
                    <w:top w:val="single" w:color="auto" w:sz="4" w:space="0"/>
                    <w:left w:val="single" w:color="auto" w:sz="4" w:space="0"/>
                    <w:bottom w:val="single" w:color="auto" w:sz="4" w:space="0"/>
                    <w:right w:val="single" w:color="auto" w:sz="4" w:space="0"/>
                  </w:tcBorders>
                </w:tcPr>
                <w:p w14:paraId="4C73B668">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运维单位应该具备完善机房设备备件库，出现故障时，备件在</w:t>
                  </w:r>
                  <w:r>
                    <w:rPr>
                      <w:rFonts w:hint="default" w:ascii="仿宋_GB2312" w:hAnsi="宋体" w:eastAsia="仿宋_GB2312" w:cs="宋体"/>
                      <w:color w:val="auto"/>
                      <w:szCs w:val="21"/>
                    </w:rPr>
                    <w:t>4</w:t>
                  </w:r>
                  <w:r>
                    <w:rPr>
                      <w:rFonts w:hint="eastAsia" w:ascii="仿宋_GB2312" w:hAnsi="宋体" w:eastAsia="仿宋_GB2312" w:cs="宋体"/>
                      <w:color w:val="auto"/>
                      <w:szCs w:val="21"/>
                    </w:rPr>
                    <w:t>小时内到达客户现场。</w:t>
                  </w:r>
                </w:p>
                <w:p w14:paraId="43465EEF">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备件性能参照目前客户机房设备相关配件标准。</w:t>
                  </w:r>
                </w:p>
              </w:tc>
            </w:tr>
            <w:tr w14:paraId="743F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237951BE">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5</w:t>
                  </w:r>
                </w:p>
              </w:tc>
              <w:tc>
                <w:tcPr>
                  <w:tcW w:w="803" w:type="pct"/>
                  <w:tcBorders>
                    <w:top w:val="single" w:color="auto" w:sz="4" w:space="0"/>
                    <w:left w:val="single" w:color="auto" w:sz="4" w:space="0"/>
                    <w:bottom w:val="single" w:color="auto" w:sz="4" w:space="0"/>
                    <w:right w:val="single" w:color="auto" w:sz="4" w:space="0"/>
                  </w:tcBorders>
                  <w:vAlign w:val="center"/>
                </w:tcPr>
                <w:p w14:paraId="2C812690">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配合院方安全服务工作要求对设备部署工作</w:t>
                  </w:r>
                </w:p>
              </w:tc>
              <w:tc>
                <w:tcPr>
                  <w:tcW w:w="1302" w:type="pct"/>
                  <w:tcBorders>
                    <w:top w:val="single" w:color="auto" w:sz="4" w:space="0"/>
                    <w:left w:val="single" w:color="auto" w:sz="4" w:space="0"/>
                    <w:bottom w:val="single" w:color="auto" w:sz="4" w:space="0"/>
                    <w:right w:val="single" w:color="auto" w:sz="4" w:space="0"/>
                  </w:tcBorders>
                  <w:vAlign w:val="center"/>
                </w:tcPr>
                <w:p w14:paraId="600F8311">
                  <w:pPr>
                    <w:widowControl/>
                    <w:jc w:val="center"/>
                    <w:rPr>
                      <w:rFonts w:hint="eastAsia" w:ascii="仿宋_GB2312" w:hAnsi="宋体" w:eastAsia="仿宋_GB2312" w:cs="宋体"/>
                      <w:color w:val="auto"/>
                      <w:szCs w:val="21"/>
                    </w:rPr>
                  </w:pPr>
                  <w:r>
                    <w:rPr>
                      <w:rFonts w:hint="eastAsia" w:ascii="仿宋_GB2312" w:hAnsi="宋体" w:eastAsia="仿宋_GB2312" w:cs="宋体"/>
                      <w:color w:val="auto"/>
                      <w:szCs w:val="21"/>
                    </w:rPr>
                    <w:t>维护人员根据需求配合院方将机房设备进行部署及进行安装调试。</w:t>
                  </w:r>
                </w:p>
              </w:tc>
              <w:tc>
                <w:tcPr>
                  <w:tcW w:w="2481" w:type="pct"/>
                  <w:tcBorders>
                    <w:top w:val="single" w:color="auto" w:sz="4" w:space="0"/>
                    <w:left w:val="single" w:color="auto" w:sz="4" w:space="0"/>
                    <w:bottom w:val="single" w:color="auto" w:sz="4" w:space="0"/>
                    <w:right w:val="single" w:color="auto" w:sz="4" w:space="0"/>
                  </w:tcBorders>
                  <w:vAlign w:val="center"/>
                </w:tcPr>
                <w:p w14:paraId="4BBA9DE1">
                  <w:pPr>
                    <w:widowControl/>
                    <w:jc w:val="left"/>
                    <w:rPr>
                      <w:rFonts w:hint="eastAsia" w:ascii="仿宋_GB2312" w:hAnsi="宋体" w:eastAsia="仿宋_GB2312" w:cs="宋体"/>
                      <w:color w:val="auto"/>
                      <w:szCs w:val="21"/>
                    </w:rPr>
                  </w:pPr>
                  <w:r>
                    <w:rPr>
                      <w:rFonts w:hint="eastAsia" w:ascii="仿宋_GB2312" w:hAnsi="宋体" w:eastAsia="仿宋_GB2312" w:cs="宋体"/>
                      <w:color w:val="auto"/>
                      <w:szCs w:val="21"/>
                    </w:rPr>
                    <w:t>维护人员在得知客户有新机房设备需要进行上线处理时，应在1个工作日内抵达现场协助客户进行机房设备的部署及安装调试。维护服务用户满意度不低于95%</w:t>
                  </w:r>
                </w:p>
              </w:tc>
            </w:tr>
            <w:tr w14:paraId="207F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DC32370">
                  <w:pPr>
                    <w:widowControl/>
                    <w:jc w:val="center"/>
                    <w:rPr>
                      <w:rFonts w:hint="default"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kern w:val="2"/>
                      <w:sz w:val="21"/>
                      <w:szCs w:val="21"/>
                      <w:lang w:val="en-US" w:eastAsia="zh-CN" w:bidi="ar-SA"/>
                    </w:rPr>
                    <w:t>6</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48C290FA">
                  <w:pPr>
                    <w:widowControl/>
                    <w:jc w:val="center"/>
                    <w:rPr>
                      <w:rFonts w:hint="eastAsia"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rPr>
                    <w:t>配合院方安全服务工作要求对网络安全设备固件软件版本升级更新</w:t>
                  </w:r>
                </w:p>
              </w:tc>
              <w:tc>
                <w:tcPr>
                  <w:tcW w:w="1302" w:type="pct"/>
                  <w:tcBorders>
                    <w:top w:val="single" w:color="auto" w:sz="4" w:space="0"/>
                    <w:left w:val="single" w:color="auto" w:sz="4" w:space="0"/>
                    <w:bottom w:val="single" w:color="auto" w:sz="4" w:space="0"/>
                    <w:right w:val="single" w:color="auto" w:sz="4" w:space="0"/>
                  </w:tcBorders>
                  <w:shd w:val="clear" w:color="auto" w:fill="auto"/>
                  <w:vAlign w:val="center"/>
                </w:tcPr>
                <w:p w14:paraId="5C59AB4D">
                  <w:pPr>
                    <w:widowControl/>
                    <w:jc w:val="center"/>
                    <w:rPr>
                      <w:rFonts w:hint="eastAsia"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rPr>
                    <w:t>确保设备固件版本的升级更新，每半年至少检查一遍</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center"/>
                </w:tcPr>
                <w:p w14:paraId="43E306A2">
                  <w:pPr>
                    <w:widowControl/>
                    <w:jc w:val="center"/>
                    <w:rPr>
                      <w:rFonts w:hint="eastAsia"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lang w:val="en-US" w:eastAsia="zh-CN"/>
                    </w:rPr>
                    <w:t>/</w:t>
                  </w:r>
                </w:p>
              </w:tc>
            </w:tr>
            <w:tr w14:paraId="4CED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12" w:type="pct"/>
                  <w:tcBorders>
                    <w:top w:val="single" w:color="auto" w:sz="4" w:space="0"/>
                    <w:left w:val="single" w:color="auto" w:sz="4" w:space="0"/>
                    <w:bottom w:val="single" w:color="auto" w:sz="4" w:space="0"/>
                    <w:right w:val="single" w:color="auto" w:sz="4" w:space="0"/>
                  </w:tcBorders>
                  <w:shd w:val="clear" w:color="auto" w:fill="auto"/>
                  <w:vAlign w:val="center"/>
                </w:tcPr>
                <w:p w14:paraId="247D1BFB">
                  <w:pPr>
                    <w:widowControl/>
                    <w:jc w:val="center"/>
                    <w:rPr>
                      <w:rFonts w:hint="default"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kern w:val="2"/>
                      <w:sz w:val="21"/>
                      <w:szCs w:val="21"/>
                      <w:lang w:val="en-US" w:eastAsia="zh-CN" w:bidi="ar-SA"/>
                    </w:rPr>
                    <w:t>7</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2BCF4863">
                  <w:pPr>
                    <w:widowControl/>
                    <w:jc w:val="center"/>
                    <w:rPr>
                      <w:rFonts w:hint="eastAsia"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rPr>
                    <w:t>CA证书2025年度服务</w:t>
                  </w:r>
                </w:p>
              </w:tc>
              <w:tc>
                <w:tcPr>
                  <w:tcW w:w="1302" w:type="pct"/>
                  <w:tcBorders>
                    <w:top w:val="single" w:color="auto" w:sz="4" w:space="0"/>
                    <w:left w:val="single" w:color="auto" w:sz="4" w:space="0"/>
                    <w:bottom w:val="single" w:color="auto" w:sz="4" w:space="0"/>
                    <w:right w:val="single" w:color="auto" w:sz="4" w:space="0"/>
                  </w:tcBorders>
                  <w:shd w:val="clear" w:color="auto" w:fill="auto"/>
                  <w:vAlign w:val="center"/>
                </w:tcPr>
                <w:p w14:paraId="03086458">
                  <w:pPr>
                    <w:widowControl/>
                    <w:jc w:val="center"/>
                    <w:rPr>
                      <w:rFonts w:hint="eastAsia"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rPr>
                    <w:t>网证通CA证书2025年度服务费</w:t>
                  </w:r>
                </w:p>
              </w:tc>
              <w:tc>
                <w:tcPr>
                  <w:tcW w:w="2481" w:type="pct"/>
                  <w:tcBorders>
                    <w:top w:val="single" w:color="auto" w:sz="4" w:space="0"/>
                    <w:left w:val="single" w:color="auto" w:sz="4" w:space="0"/>
                    <w:bottom w:val="single" w:color="auto" w:sz="4" w:space="0"/>
                    <w:right w:val="single" w:color="auto" w:sz="4" w:space="0"/>
                  </w:tcBorders>
                  <w:shd w:val="clear" w:color="auto" w:fill="auto"/>
                  <w:vAlign w:val="top"/>
                </w:tcPr>
                <w:p w14:paraId="608F828E">
                  <w:pPr>
                    <w:widowControl/>
                    <w:jc w:val="left"/>
                    <w:rPr>
                      <w:rFonts w:hint="default" w:ascii="仿宋_GB2312" w:hAnsi="宋体" w:eastAsia="仿宋_GB2312" w:cs="宋体"/>
                      <w:color w:val="auto"/>
                      <w:kern w:val="2"/>
                      <w:sz w:val="21"/>
                      <w:szCs w:val="21"/>
                      <w:lang w:val="en-US" w:eastAsia="zh-CN" w:bidi="ar-SA"/>
                    </w:rPr>
                  </w:pPr>
                  <w:r>
                    <w:rPr>
                      <w:rFonts w:hint="eastAsia" w:ascii="仿宋_GB2312" w:hAnsi="宋体" w:eastAsia="仿宋_GB2312" w:cs="宋体"/>
                      <w:color w:val="auto"/>
                      <w:szCs w:val="21"/>
                    </w:rPr>
                    <w:t>医院采用</w:t>
                  </w:r>
                  <w:r>
                    <w:rPr>
                      <w:rFonts w:hint="eastAsia" w:ascii="仿宋_GB2312" w:hAnsi="宋体" w:eastAsia="仿宋_GB2312" w:cs="宋体"/>
                      <w:color w:val="auto"/>
                      <w:szCs w:val="21"/>
                      <w:lang w:val="en-US" w:eastAsia="zh-CN"/>
                    </w:rPr>
                    <w:t>的</w:t>
                  </w:r>
                  <w:r>
                    <w:rPr>
                      <w:rFonts w:hint="eastAsia" w:ascii="仿宋_GB2312" w:hAnsi="宋体" w:eastAsia="仿宋_GB2312" w:cs="宋体"/>
                      <w:color w:val="auto"/>
                      <w:szCs w:val="21"/>
                    </w:rPr>
                    <w:t>网证通CA证书2025年度服务</w:t>
                  </w:r>
                  <w:r>
                    <w:rPr>
                      <w:rFonts w:hint="eastAsia" w:ascii="仿宋_GB2312" w:hAnsi="宋体" w:eastAsia="仿宋_GB2312" w:cs="宋体"/>
                      <w:color w:val="auto"/>
                      <w:szCs w:val="21"/>
                      <w:lang w:val="en-US" w:eastAsia="zh-CN"/>
                    </w:rPr>
                    <w:t>1年</w:t>
                  </w:r>
                </w:p>
              </w:tc>
            </w:tr>
            <w:tr w14:paraId="1518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60D3123F">
                  <w:pPr>
                    <w:widowControl/>
                    <w:jc w:val="center"/>
                    <w:rPr>
                      <w:rFonts w:hint="eastAsia" w:ascii="仿宋_GB2312" w:hAnsi="宋体" w:eastAsia="仿宋_GB2312" w:cs="宋体"/>
                      <w:color w:val="auto"/>
                      <w:szCs w:val="21"/>
                      <w:lang w:val="en-US" w:eastAsia="zh-CN"/>
                    </w:rPr>
                  </w:pPr>
                  <w:r>
                    <w:rPr>
                      <w:rFonts w:hint="eastAsia" w:ascii="仿宋_GB2312" w:hAnsi="宋体" w:eastAsia="仿宋_GB2312" w:cs="宋体"/>
                      <w:color w:val="auto"/>
                      <w:szCs w:val="21"/>
                      <w:lang w:val="en-US" w:eastAsia="zh-CN"/>
                    </w:rPr>
                    <w:t>8</w:t>
                  </w:r>
                </w:p>
              </w:tc>
              <w:tc>
                <w:tcPr>
                  <w:tcW w:w="803" w:type="pct"/>
                  <w:tcBorders>
                    <w:top w:val="single" w:color="auto" w:sz="4" w:space="0"/>
                    <w:left w:val="single" w:color="auto" w:sz="4" w:space="0"/>
                    <w:bottom w:val="single" w:color="auto" w:sz="4" w:space="0"/>
                    <w:right w:val="single" w:color="auto" w:sz="4" w:space="0"/>
                  </w:tcBorders>
                  <w:vAlign w:val="center"/>
                </w:tcPr>
                <w:p w14:paraId="7840ED04">
                  <w:pPr>
                    <w:widowControl/>
                    <w:jc w:val="center"/>
                    <w:rPr>
                      <w:rFonts w:hint="default" w:ascii="仿宋_GB2312" w:hAnsi="宋体" w:eastAsia="仿宋_GB2312" w:cs="宋体"/>
                      <w:color w:val="auto"/>
                      <w:szCs w:val="21"/>
                      <w:lang w:val="en-US" w:eastAsia="zh-CN"/>
                    </w:rPr>
                  </w:pPr>
                  <w:r>
                    <w:rPr>
                      <w:rFonts w:hint="eastAsia" w:ascii="仿宋_GB2312" w:hAnsi="宋体" w:eastAsia="仿宋_GB2312" w:cs="宋体"/>
                      <w:color w:val="auto"/>
                      <w:szCs w:val="21"/>
                      <w:lang w:val="en-US" w:eastAsia="zh-CN"/>
                    </w:rPr>
                    <w:t>防病毒年度服务</w:t>
                  </w:r>
                </w:p>
              </w:tc>
              <w:tc>
                <w:tcPr>
                  <w:tcW w:w="1302" w:type="pct"/>
                  <w:tcBorders>
                    <w:top w:val="single" w:color="auto" w:sz="4" w:space="0"/>
                    <w:left w:val="single" w:color="auto" w:sz="4" w:space="0"/>
                    <w:bottom w:val="single" w:color="auto" w:sz="4" w:space="0"/>
                    <w:right w:val="single" w:color="auto" w:sz="4" w:space="0"/>
                  </w:tcBorders>
                  <w:vAlign w:val="center"/>
                </w:tcPr>
                <w:p w14:paraId="05DC7D24">
                  <w:pPr>
                    <w:widowControl/>
                    <w:jc w:val="center"/>
                    <w:rPr>
                      <w:rFonts w:hint="default" w:ascii="仿宋_GB2312" w:hAnsi="宋体" w:eastAsia="仿宋_GB2312" w:cs="宋体"/>
                      <w:color w:val="auto"/>
                      <w:szCs w:val="21"/>
                      <w:lang w:val="en-US" w:eastAsia="zh-CN"/>
                    </w:rPr>
                  </w:pPr>
                  <w:r>
                    <w:rPr>
                      <w:rFonts w:hint="eastAsia" w:ascii="仿宋_GB2312" w:hAnsi="宋体" w:eastAsia="仿宋_GB2312" w:cs="宋体"/>
                      <w:color w:val="auto"/>
                      <w:szCs w:val="21"/>
                    </w:rPr>
                    <w:t>终端杀毒产品和服务器</w:t>
                  </w:r>
                  <w:bookmarkStart w:id="24" w:name="_GoBack"/>
                  <w:bookmarkEnd w:id="24"/>
                  <w:r>
                    <w:rPr>
                      <w:rFonts w:hint="eastAsia" w:ascii="仿宋_GB2312" w:hAnsi="宋体" w:eastAsia="仿宋_GB2312" w:cs="宋体"/>
                      <w:color w:val="auto"/>
                      <w:szCs w:val="21"/>
                    </w:rPr>
                    <w:t>防病毒产品原厂服务</w:t>
                  </w:r>
                  <w:r>
                    <w:rPr>
                      <w:rFonts w:hint="eastAsia" w:ascii="仿宋_GB2312" w:hAnsi="宋体" w:eastAsia="仿宋_GB2312" w:cs="宋体"/>
                      <w:color w:val="auto"/>
                      <w:szCs w:val="21"/>
                      <w:lang w:val="en-US" w:eastAsia="zh-CN"/>
                    </w:rPr>
                    <w:t>1年</w:t>
                  </w:r>
                </w:p>
              </w:tc>
              <w:tc>
                <w:tcPr>
                  <w:tcW w:w="2481" w:type="pct"/>
                  <w:tcBorders>
                    <w:top w:val="single" w:color="auto" w:sz="4" w:space="0"/>
                    <w:left w:val="single" w:color="auto" w:sz="4" w:space="0"/>
                    <w:bottom w:val="single" w:color="auto" w:sz="4" w:space="0"/>
                    <w:right w:val="single" w:color="auto" w:sz="4" w:space="0"/>
                  </w:tcBorders>
                </w:tcPr>
                <w:p w14:paraId="579C778E">
                  <w:pPr>
                    <w:widowControl/>
                    <w:jc w:val="left"/>
                    <w:rPr>
                      <w:rFonts w:hint="eastAsia" w:ascii="仿宋_GB2312" w:hAnsi="宋体" w:eastAsia="仿宋_GB2312" w:cs="宋体"/>
                      <w:color w:val="auto"/>
                      <w:szCs w:val="21"/>
                    </w:rPr>
                  </w:pPr>
                  <w:r>
                    <w:rPr>
                      <w:rFonts w:hint="eastAsia" w:ascii="仿宋_GB2312" w:hAnsi="仿宋" w:eastAsia="仿宋_GB2312" w:cs="宋体"/>
                      <w:color w:val="auto"/>
                      <w:kern w:val="0"/>
                      <w:szCs w:val="21"/>
                      <w:lang w:val="en-US" w:eastAsia="zh-CN"/>
                    </w:rPr>
                    <w:t>1500个</w:t>
                  </w:r>
                  <w:r>
                    <w:rPr>
                      <w:rFonts w:hint="eastAsia" w:ascii="仿宋_GB2312" w:hAnsi="仿宋" w:eastAsia="仿宋_GB2312" w:cs="宋体"/>
                      <w:color w:val="auto"/>
                      <w:kern w:val="0"/>
                      <w:szCs w:val="21"/>
                    </w:rPr>
                    <w:t>终端杀毒软件升级授权和</w:t>
                  </w:r>
                  <w:r>
                    <w:rPr>
                      <w:rFonts w:hint="eastAsia" w:ascii="仿宋_GB2312" w:hAnsi="仿宋" w:eastAsia="仿宋_GB2312" w:cs="宋体"/>
                      <w:color w:val="auto"/>
                      <w:kern w:val="0"/>
                      <w:szCs w:val="21"/>
                      <w:lang w:val="en-US" w:eastAsia="zh-CN"/>
                    </w:rPr>
                    <w:t>400个</w:t>
                  </w:r>
                  <w:r>
                    <w:rPr>
                      <w:rFonts w:hint="eastAsia" w:ascii="仿宋_GB2312" w:hAnsi="仿宋" w:eastAsia="仿宋_GB2312" w:cs="宋体"/>
                      <w:color w:val="auto"/>
                      <w:kern w:val="0"/>
                      <w:szCs w:val="21"/>
                    </w:rPr>
                    <w:t>服务器端防毒软件升级授权原厂服务</w:t>
                  </w:r>
                  <w:r>
                    <w:rPr>
                      <w:rFonts w:hint="eastAsia" w:ascii="仿宋_GB2312" w:hAnsi="仿宋" w:eastAsia="仿宋_GB2312" w:cs="宋体"/>
                      <w:color w:val="auto"/>
                      <w:kern w:val="0"/>
                      <w:szCs w:val="21"/>
                      <w:lang w:val="en-US" w:eastAsia="zh-CN"/>
                    </w:rPr>
                    <w:t>1年</w:t>
                  </w:r>
                </w:p>
              </w:tc>
            </w:tr>
            <w:tr w14:paraId="6D15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67D21259">
                  <w:pPr>
                    <w:widowControl/>
                    <w:jc w:val="center"/>
                    <w:rPr>
                      <w:rFonts w:hint="default" w:ascii="仿宋_GB2312" w:hAnsi="宋体" w:eastAsia="仿宋_GB2312" w:cs="宋体"/>
                      <w:color w:val="FF0000"/>
                      <w:szCs w:val="21"/>
                      <w:lang w:val="en-US" w:eastAsia="zh-CN"/>
                    </w:rPr>
                  </w:pPr>
                  <w:r>
                    <w:rPr>
                      <w:rFonts w:hint="eastAsia" w:ascii="仿宋_GB2312" w:hAnsi="宋体" w:eastAsia="仿宋_GB2312" w:cs="宋体"/>
                      <w:color w:val="FF0000"/>
                      <w:szCs w:val="21"/>
                      <w:lang w:val="en-US" w:eastAsia="zh-CN"/>
                    </w:rPr>
                    <w:t>9</w:t>
                  </w:r>
                </w:p>
              </w:tc>
              <w:tc>
                <w:tcPr>
                  <w:tcW w:w="803" w:type="pct"/>
                  <w:tcBorders>
                    <w:top w:val="single" w:color="auto" w:sz="4" w:space="0"/>
                    <w:left w:val="single" w:color="auto" w:sz="4" w:space="0"/>
                    <w:bottom w:val="single" w:color="auto" w:sz="4" w:space="0"/>
                    <w:right w:val="single" w:color="auto" w:sz="4" w:space="0"/>
                  </w:tcBorders>
                  <w:vAlign w:val="center"/>
                </w:tcPr>
                <w:p w14:paraId="2F829014">
                  <w:pPr>
                    <w:widowControl/>
                    <w:jc w:val="center"/>
                    <w:rPr>
                      <w:rFonts w:hint="default" w:ascii="仿宋_GB2312" w:hAnsi="宋体" w:eastAsia="仿宋_GB2312" w:cs="宋体"/>
                      <w:color w:val="FF0000"/>
                      <w:szCs w:val="21"/>
                      <w:lang w:val="en-US" w:eastAsia="zh-CN"/>
                    </w:rPr>
                  </w:pPr>
                  <w:r>
                    <w:rPr>
                      <w:rFonts w:hint="eastAsia" w:ascii="仿宋_GB2312" w:hAnsi="宋体" w:eastAsia="仿宋_GB2312" w:cs="宋体"/>
                      <w:color w:val="FF0000"/>
                      <w:szCs w:val="21"/>
                      <w:lang w:val="en-US" w:eastAsia="zh-CN"/>
                    </w:rPr>
                    <w:t>深信服防火墙原厂服务</w:t>
                  </w:r>
                </w:p>
              </w:tc>
              <w:tc>
                <w:tcPr>
                  <w:tcW w:w="1302" w:type="pct"/>
                  <w:tcBorders>
                    <w:top w:val="single" w:color="auto" w:sz="4" w:space="0"/>
                    <w:left w:val="single" w:color="auto" w:sz="4" w:space="0"/>
                    <w:bottom w:val="single" w:color="auto" w:sz="4" w:space="0"/>
                    <w:right w:val="single" w:color="auto" w:sz="4" w:space="0"/>
                  </w:tcBorders>
                  <w:vAlign w:val="center"/>
                </w:tcPr>
                <w:p w14:paraId="0DA8D81C">
                  <w:pPr>
                    <w:widowControl/>
                    <w:jc w:val="center"/>
                    <w:rPr>
                      <w:rFonts w:hint="eastAsia" w:ascii="仿宋_GB2312" w:hAnsi="宋体" w:eastAsia="仿宋_GB2312" w:cs="宋体"/>
                      <w:color w:val="FF0000"/>
                      <w:szCs w:val="21"/>
                    </w:rPr>
                  </w:pPr>
                  <w:r>
                    <w:rPr>
                      <w:rFonts w:hint="eastAsia" w:ascii="仿宋_GB2312" w:hAnsi="宋体" w:eastAsia="仿宋_GB2312" w:cs="宋体"/>
                      <w:color w:val="FF0000"/>
                      <w:szCs w:val="21"/>
                      <w:lang w:val="en-US" w:eastAsia="zh-CN"/>
                    </w:rPr>
                    <w:t>深信服防火墙原厂服务</w:t>
                  </w:r>
                </w:p>
              </w:tc>
              <w:tc>
                <w:tcPr>
                  <w:tcW w:w="2481" w:type="pct"/>
                  <w:tcBorders>
                    <w:top w:val="single" w:color="auto" w:sz="4" w:space="0"/>
                    <w:left w:val="single" w:color="auto" w:sz="4" w:space="0"/>
                    <w:bottom w:val="single" w:color="auto" w:sz="4" w:space="0"/>
                    <w:right w:val="single" w:color="auto" w:sz="4" w:space="0"/>
                  </w:tcBorders>
                </w:tcPr>
                <w:p w14:paraId="3F935CAA">
                  <w:pPr>
                    <w:widowControl/>
                    <w:jc w:val="left"/>
                    <w:rPr>
                      <w:rFonts w:hint="default" w:ascii="仿宋_GB2312" w:hAnsi="仿宋" w:eastAsia="仿宋_GB2312" w:cs="宋体"/>
                      <w:color w:val="FF0000"/>
                      <w:kern w:val="0"/>
                      <w:szCs w:val="21"/>
                      <w:lang w:val="en-US" w:eastAsia="zh-CN"/>
                    </w:rPr>
                  </w:pPr>
                  <w:r>
                    <w:rPr>
                      <w:rFonts w:hint="eastAsia" w:ascii="仿宋_GB2312" w:hAnsi="宋体" w:eastAsia="仿宋_GB2312" w:cs="宋体"/>
                      <w:color w:val="FF0000"/>
                      <w:szCs w:val="21"/>
                      <w:lang w:val="en-US" w:eastAsia="zh-CN"/>
                    </w:rPr>
                    <w:t>深信服防火墙原厂服务1年</w:t>
                  </w:r>
                </w:p>
              </w:tc>
            </w:tr>
          </w:tbl>
          <w:p w14:paraId="2C118327">
            <w:pPr>
              <w:pStyle w:val="51"/>
              <w:spacing w:beforeAutospacing="0" w:afterAutospacing="0"/>
              <w:rPr>
                <w:rFonts w:ascii="仿宋_GB2312" w:hAnsi="仿宋_GB2312" w:eastAsia="仿宋_GB2312" w:cs="仿宋_GB2312"/>
                <w:sz w:val="21"/>
                <w:szCs w:val="21"/>
              </w:rPr>
            </w:pPr>
          </w:p>
        </w:tc>
      </w:tr>
      <w:tr w14:paraId="4015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3E7940BB">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九、对运维单位的要求</w:t>
            </w:r>
          </w:p>
        </w:tc>
      </w:tr>
      <w:tr w14:paraId="282D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2EFD42C1">
            <w:pPr>
              <w:pStyle w:val="49"/>
              <w:spacing w:line="240" w:lineRule="auto"/>
              <w:ind w:right="105" w:rightChars="50" w:firstLine="0" w:firstLineChars="0"/>
              <w:rPr>
                <w:rFonts w:hint="eastAsia" w:ascii="仿宋_GB2312" w:hAnsi="仿宋" w:eastAsia="仿宋_GB2312" w:cs="宋体"/>
                <w:b/>
                <w:bCs/>
                <w:kern w:val="0"/>
                <w:szCs w:val="21"/>
              </w:rPr>
            </w:pPr>
            <w:r>
              <w:rPr>
                <w:rFonts w:hint="eastAsia" w:ascii="仿宋_GB2312" w:hAnsi="仿宋" w:eastAsia="仿宋_GB2312" w:cs="宋体"/>
                <w:b/>
                <w:bCs/>
                <w:kern w:val="0"/>
                <w:szCs w:val="21"/>
              </w:rPr>
              <w:t>（一）对项目管理架构要求</w:t>
            </w:r>
          </w:p>
          <w:p w14:paraId="7851A161">
            <w:pPr>
              <w:ind w:firstLine="420" w:firstLineChars="200"/>
              <w:textAlignment w:val="center"/>
              <w:rPr>
                <w:rFonts w:hint="eastAsia" w:ascii="仿宋_GB2312" w:hAnsi="宋体" w:eastAsia="仿宋_GB2312" w:cs="宋体"/>
                <w:kern w:val="0"/>
                <w:szCs w:val="21"/>
                <w:highlight w:val="none"/>
              </w:rPr>
            </w:pPr>
            <w:r>
              <w:rPr>
                <w:rFonts w:hint="eastAsia" w:ascii="仿宋_GB2312" w:hAnsi="仿宋" w:eastAsia="仿宋_GB2312" w:cs="宋体"/>
                <w:kern w:val="0"/>
                <w:szCs w:val="21"/>
              </w:rPr>
              <w:t>项目运维管理机构由采购人、成交供应商、监理服务商三方共同组建。包括项目领导小组、项目管理小组、变更控制委员会（CCB）、质量控制小组。编制项目章程，以规范指导项目实施过程，保证项目质量。为保证项目交付质量，运维供应商需具有</w:t>
            </w:r>
            <w:r>
              <w:rPr>
                <w:rFonts w:hint="eastAsia" w:ascii="仿宋_GB2312" w:hAnsi="仿宋" w:eastAsia="仿宋_GB2312" w:cs="宋体"/>
                <w:kern w:val="0"/>
                <w:szCs w:val="21"/>
                <w:highlight w:val="none"/>
              </w:rPr>
              <w:t>ITSS信息技术服务标准符合性证书(运行维护服务)证书、信息安全服务资质认证证书（信息系统安全运维服务）、信息通信网络系统集成企业服务能力证书、具有运维工单、运维知识库、运维业务综合服务、IT运维管理类计算机软件著作权登记证书；</w:t>
            </w:r>
          </w:p>
          <w:p w14:paraId="10676136">
            <w:pPr>
              <w:numPr>
                <w:ilvl w:val="0"/>
                <w:numId w:val="3"/>
              </w:numPr>
              <w:ind w:firstLine="420" w:firstLineChars="200"/>
              <w:textAlignment w:val="center"/>
              <w:rPr>
                <w:rFonts w:hint="eastAsia" w:ascii="仿宋_GB2312" w:hAnsi="仿宋" w:eastAsia="仿宋_GB2312" w:cs="宋体"/>
                <w:kern w:val="0"/>
                <w:szCs w:val="21"/>
              </w:rPr>
            </w:pPr>
            <w:r>
              <w:rPr>
                <w:rFonts w:hint="eastAsia" w:ascii="仿宋_GB2312" w:hAnsi="仿宋" w:eastAsia="仿宋_GB2312" w:cs="宋体"/>
                <w:kern w:val="0"/>
                <w:szCs w:val="21"/>
              </w:rPr>
              <w:t>要求报价截止日后5个工作日内报价供应商需提供证书扫描件给用户方查验，没有提供采购需求中所要求的全部资料及数据，由此造成的后果，其责任由供应商承担。</w:t>
            </w:r>
          </w:p>
          <w:p w14:paraId="52C7AB29">
            <w:pPr>
              <w:numPr>
                <w:ilvl w:val="0"/>
                <w:numId w:val="3"/>
              </w:numPr>
              <w:ind w:firstLine="420" w:firstLineChars="200"/>
              <w:textAlignment w:val="center"/>
              <w:rPr>
                <w:rFonts w:hint="eastAsia" w:ascii="仿宋_GB2312" w:hAnsi="仿宋" w:eastAsia="仿宋_GB2312" w:cs="宋体"/>
                <w:color w:val="FF0000"/>
                <w:kern w:val="0"/>
                <w:szCs w:val="21"/>
              </w:rPr>
            </w:pPr>
            <w:r>
              <w:rPr>
                <w:rFonts w:hint="eastAsia" w:ascii="仿宋_GB2312" w:hAnsi="仿宋" w:eastAsia="仿宋_GB2312" w:cs="宋体"/>
                <w:color w:val="FF0000"/>
                <w:kern w:val="0"/>
                <w:szCs w:val="21"/>
              </w:rPr>
              <w:t>★项目需配备项目经理1名和技术负责人1名，项目经理应同时具有信息系统项目管理师证书、ITIL 认证证书、主流虚拟化厂家认证证书和计算机相关专业硕士或以上学位。技术负责人应同时具有高级工程师职称证书、人工智能技术应用工程师（高级）、ITIL 认证证书、本科或以上学位。注：需提供以上内容的证书或证明材料扫描件，及近6个月内任意月份与之匹配的社保证明（如提供加盖政府有关部门印章的《投保单》或《社会保险参保人员证明》材料。</w:t>
            </w:r>
          </w:p>
          <w:p w14:paraId="50851E56">
            <w:pPr>
              <w:numPr>
                <w:ilvl w:val="0"/>
                <w:numId w:val="3"/>
              </w:numPr>
              <w:ind w:firstLine="420" w:firstLineChars="200"/>
              <w:textAlignment w:val="center"/>
              <w:rPr>
                <w:rFonts w:hint="eastAsia" w:ascii="仿宋_GB2312" w:hAnsi="宋体" w:eastAsia="仿宋_GB2312" w:cs="宋体"/>
                <w:kern w:val="0"/>
                <w:szCs w:val="21"/>
              </w:rPr>
            </w:pPr>
            <w:r>
              <w:rPr>
                <w:rFonts w:hint="eastAsia" w:ascii="仿宋_GB2312" w:hAnsi="仿宋" w:eastAsia="仿宋_GB2312" w:cs="宋体"/>
                <w:kern w:val="0"/>
                <w:szCs w:val="21"/>
              </w:rPr>
              <w:t>成交供应商应建立专门的运维服务机构，设立项目运维服务中心，配置专门的技术服务队伍，配备包括桌面、网络、服务器、安全等各类维护工程师。</w:t>
            </w:r>
          </w:p>
          <w:p w14:paraId="4028A525">
            <w:pPr>
              <w:numPr>
                <w:ilvl w:val="0"/>
                <w:numId w:val="3"/>
              </w:numPr>
              <w:ind w:firstLine="420" w:firstLineChars="200"/>
              <w:textAlignment w:val="center"/>
              <w:rPr>
                <w:rFonts w:hint="eastAsia" w:ascii="仿宋_GB2312" w:hAnsi="宋体" w:eastAsia="仿宋_GB2312" w:cs="宋体"/>
                <w:kern w:val="0"/>
                <w:szCs w:val="21"/>
              </w:rPr>
            </w:pPr>
            <w:r>
              <w:rPr>
                <w:rFonts w:hint="eastAsia" w:ascii="仿宋_GB2312" w:hAnsi="仿宋" w:eastAsia="仿宋_GB2312" w:cs="宋体"/>
                <w:kern w:val="0"/>
                <w:szCs w:val="21"/>
              </w:rPr>
              <w:t>运维服务人员应经过专门的培训，具备相应的沟通能力、业务能力和技术能力。</w:t>
            </w:r>
          </w:p>
          <w:p w14:paraId="077FA78D">
            <w:pPr>
              <w:numPr>
                <w:ilvl w:val="0"/>
                <w:numId w:val="3"/>
              </w:numPr>
              <w:ind w:firstLine="420" w:firstLineChars="200"/>
              <w:textAlignment w:val="center"/>
              <w:rPr>
                <w:rFonts w:hint="eastAsia" w:ascii="仿宋_GB2312" w:hAnsi="宋体" w:eastAsia="仿宋_GB2312" w:cs="宋体"/>
                <w:kern w:val="0"/>
                <w:szCs w:val="21"/>
              </w:rPr>
            </w:pPr>
            <w:r>
              <w:rPr>
                <w:rFonts w:hint="eastAsia" w:ascii="仿宋_GB2312" w:hAnsi="仿宋" w:eastAsia="仿宋_GB2312" w:cs="宋体"/>
                <w:kern w:val="0"/>
                <w:szCs w:val="21"/>
              </w:rPr>
              <w:t>★供应商</w:t>
            </w:r>
            <w:r>
              <w:rPr>
                <w:rFonts w:hint="eastAsia" w:ascii="仿宋_GB2312" w:hAnsi="仿宋" w:eastAsia="仿宋_GB2312" w:cs="宋体"/>
                <w:color w:val="FF0000"/>
                <w:kern w:val="0"/>
                <w:szCs w:val="21"/>
              </w:rPr>
              <w:t>202</w:t>
            </w:r>
            <w:r>
              <w:rPr>
                <w:rFonts w:hint="eastAsia" w:ascii="仿宋_GB2312" w:hAnsi="仿宋" w:eastAsia="仿宋_GB2312" w:cs="宋体"/>
                <w:color w:val="FF0000"/>
                <w:kern w:val="0"/>
                <w:szCs w:val="21"/>
                <w:lang w:val="en-US" w:eastAsia="zh-CN"/>
              </w:rPr>
              <w:t>3</w:t>
            </w:r>
            <w:r>
              <w:rPr>
                <w:rFonts w:hint="eastAsia" w:ascii="仿宋_GB2312" w:hAnsi="仿宋" w:eastAsia="仿宋_GB2312" w:cs="宋体"/>
                <w:color w:val="FF0000"/>
                <w:kern w:val="0"/>
                <w:szCs w:val="21"/>
              </w:rPr>
              <w:t>年1月1日</w:t>
            </w:r>
            <w:r>
              <w:rPr>
                <w:rFonts w:hint="eastAsia" w:ascii="仿宋_GB2312" w:hAnsi="仿宋" w:eastAsia="仿宋_GB2312" w:cs="宋体"/>
                <w:kern w:val="0"/>
                <w:szCs w:val="21"/>
              </w:rPr>
              <w:t>以来承担过的信息化运维同类项目，提供案例合同关键页（须提供合同首页、盖章页、签订日期、项目金额页扫描件）</w:t>
            </w:r>
          </w:p>
          <w:p w14:paraId="10F6CA6D">
            <w:pPr>
              <w:ind w:left="420" w:leftChars="200"/>
              <w:textAlignment w:val="center"/>
              <w:rPr>
                <w:rFonts w:hint="eastAsia" w:ascii="仿宋_GB2312" w:hAnsi="宋体" w:eastAsia="仿宋_GB2312" w:cs="宋体"/>
                <w:kern w:val="0"/>
                <w:szCs w:val="21"/>
              </w:rPr>
            </w:pPr>
          </w:p>
          <w:p w14:paraId="64F0077C">
            <w:pPr>
              <w:pStyle w:val="49"/>
              <w:spacing w:line="240" w:lineRule="auto"/>
              <w:ind w:right="105" w:rightChars="50" w:firstLine="0" w:firstLineChars="0"/>
              <w:rPr>
                <w:rFonts w:hint="eastAsia" w:ascii="仿宋_GB2312" w:hAnsi="仿宋" w:eastAsia="仿宋_GB2312" w:cs="宋体"/>
                <w:b/>
                <w:bCs/>
                <w:kern w:val="0"/>
                <w:szCs w:val="21"/>
              </w:rPr>
            </w:pPr>
            <w:r>
              <w:rPr>
                <w:rFonts w:hint="eastAsia" w:ascii="仿宋_GB2312" w:hAnsi="仿宋" w:eastAsia="仿宋_GB2312" w:cs="宋体"/>
                <w:b/>
                <w:bCs/>
                <w:kern w:val="0"/>
                <w:szCs w:val="21"/>
              </w:rPr>
              <w:t>（二）对运维单位的驻场人员的要求</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419"/>
              <w:gridCol w:w="709"/>
              <w:gridCol w:w="5466"/>
            </w:tblGrid>
            <w:tr w14:paraId="0670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24937719">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序号</w:t>
                  </w:r>
                </w:p>
              </w:tc>
              <w:tc>
                <w:tcPr>
                  <w:tcW w:w="855" w:type="pct"/>
                  <w:vAlign w:val="center"/>
                </w:tcPr>
                <w:p w14:paraId="38B1DF44">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人员类别</w:t>
                  </w:r>
                </w:p>
              </w:tc>
              <w:tc>
                <w:tcPr>
                  <w:tcW w:w="427" w:type="pct"/>
                  <w:vAlign w:val="center"/>
                </w:tcPr>
                <w:p w14:paraId="04BB0337">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数量</w:t>
                  </w:r>
                </w:p>
              </w:tc>
              <w:tc>
                <w:tcPr>
                  <w:tcW w:w="3295" w:type="pct"/>
                  <w:vAlign w:val="center"/>
                </w:tcPr>
                <w:p w14:paraId="074CE47D">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人员要求</w:t>
                  </w:r>
                </w:p>
              </w:tc>
            </w:tr>
            <w:tr w14:paraId="1F4B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6E935375">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1</w:t>
                  </w:r>
                </w:p>
              </w:tc>
              <w:tc>
                <w:tcPr>
                  <w:tcW w:w="855" w:type="pct"/>
                  <w:vAlign w:val="center"/>
                </w:tcPr>
                <w:p w14:paraId="5B43E935">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驻场桌面工程师</w:t>
                  </w:r>
                </w:p>
              </w:tc>
              <w:tc>
                <w:tcPr>
                  <w:tcW w:w="427" w:type="pct"/>
                  <w:vAlign w:val="center"/>
                </w:tcPr>
                <w:p w14:paraId="62A72184">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4</w:t>
                  </w:r>
                </w:p>
              </w:tc>
              <w:tc>
                <w:tcPr>
                  <w:tcW w:w="3295" w:type="pct"/>
                  <w:vAlign w:val="center"/>
                </w:tcPr>
                <w:p w14:paraId="106D49E0">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具有大专或以上学历；</w:t>
                  </w:r>
                </w:p>
                <w:p w14:paraId="1BBA1457">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负责桌面设备运维服务。</w:t>
                  </w:r>
                </w:p>
                <w:p w14:paraId="4E398E7E">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未经业主批准，不得随意更换驻场运维工程师；</w:t>
                  </w:r>
                </w:p>
                <w:p w14:paraId="6DF03D55">
                  <w:pPr>
                    <w:widowControl/>
                    <w:jc w:val="left"/>
                    <w:rPr>
                      <w:rFonts w:hint="eastAsia" w:ascii="仿宋_GB2312" w:hAnsi="Wingdings 2"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投标人应保证能根据项目建设的实际需要，在相应阶段安排足够的运维工程师到场开展工作。</w:t>
                  </w:r>
                </w:p>
              </w:tc>
            </w:tr>
            <w:tr w14:paraId="3F17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5560A0EA">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2</w:t>
                  </w:r>
                </w:p>
              </w:tc>
              <w:tc>
                <w:tcPr>
                  <w:tcW w:w="855" w:type="pct"/>
                  <w:vAlign w:val="center"/>
                </w:tcPr>
                <w:p w14:paraId="3E3F7848">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驻场打印机工程师</w:t>
                  </w:r>
                </w:p>
              </w:tc>
              <w:tc>
                <w:tcPr>
                  <w:tcW w:w="427" w:type="pct"/>
                  <w:vAlign w:val="center"/>
                </w:tcPr>
                <w:p w14:paraId="04228588">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1</w:t>
                  </w:r>
                </w:p>
              </w:tc>
              <w:tc>
                <w:tcPr>
                  <w:tcW w:w="3295" w:type="pct"/>
                  <w:vAlign w:val="center"/>
                </w:tcPr>
                <w:p w14:paraId="7A7772A7">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具有大专或以上学历；</w:t>
                  </w:r>
                </w:p>
                <w:p w14:paraId="4307A7DE">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负责打印机设备运维服务。</w:t>
                  </w:r>
                </w:p>
                <w:p w14:paraId="203C33DB">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未经业主批准，不得随意更换驻场运维工程师；</w:t>
                  </w:r>
                </w:p>
                <w:p w14:paraId="4281359B">
                  <w:pPr>
                    <w:widowControl/>
                    <w:jc w:val="left"/>
                    <w:rPr>
                      <w:rFonts w:hint="eastAsia" w:ascii="仿宋_GB2312" w:hAnsi="Wingdings 2"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投标人应保证能根据项目建设的实际需要，在相应阶段安排足够的运维工程师到场开展工作。</w:t>
                  </w:r>
                </w:p>
              </w:tc>
            </w:tr>
            <w:tr w14:paraId="7183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65B3A34F">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3</w:t>
                  </w:r>
                </w:p>
              </w:tc>
              <w:tc>
                <w:tcPr>
                  <w:tcW w:w="855" w:type="pct"/>
                  <w:vAlign w:val="center"/>
                </w:tcPr>
                <w:p w14:paraId="61F876CE">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服务台</w:t>
                  </w:r>
                </w:p>
              </w:tc>
              <w:tc>
                <w:tcPr>
                  <w:tcW w:w="427" w:type="pct"/>
                  <w:vAlign w:val="center"/>
                </w:tcPr>
                <w:p w14:paraId="6C6F898B">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1</w:t>
                  </w:r>
                </w:p>
              </w:tc>
              <w:tc>
                <w:tcPr>
                  <w:tcW w:w="3295" w:type="pct"/>
                  <w:vAlign w:val="center"/>
                </w:tcPr>
                <w:p w14:paraId="3429A36A">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具有大专或以上学历；</w:t>
                  </w:r>
                </w:p>
                <w:p w14:paraId="02AB446E">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负责统一接障，故障统计分发等。</w:t>
                  </w:r>
                </w:p>
                <w:p w14:paraId="2EBD23C3">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未经业主批准，不得随意更换驻场运维工程师；</w:t>
                  </w:r>
                </w:p>
                <w:p w14:paraId="7097189D">
                  <w:pPr>
                    <w:widowControl/>
                    <w:jc w:val="left"/>
                    <w:rPr>
                      <w:rFonts w:hint="eastAsia" w:ascii="仿宋_GB2312" w:hAnsi="Wingdings 2"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投标人应保证能根据项目建设的实际需要，在相应阶段安排足够的运维工程师到场开展工作。</w:t>
                  </w:r>
                </w:p>
              </w:tc>
            </w:tr>
            <w:tr w14:paraId="7858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34A5D758">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4</w:t>
                  </w:r>
                </w:p>
              </w:tc>
              <w:tc>
                <w:tcPr>
                  <w:tcW w:w="855" w:type="pct"/>
                  <w:vAlign w:val="center"/>
                </w:tcPr>
                <w:p w14:paraId="2E911BB2">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驻场服务器及网络工程师</w:t>
                  </w:r>
                </w:p>
              </w:tc>
              <w:tc>
                <w:tcPr>
                  <w:tcW w:w="427" w:type="pct"/>
                  <w:vAlign w:val="center"/>
                </w:tcPr>
                <w:p w14:paraId="02CD7220">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2</w:t>
                  </w:r>
                </w:p>
              </w:tc>
              <w:tc>
                <w:tcPr>
                  <w:tcW w:w="3295" w:type="pct"/>
                  <w:vAlign w:val="center"/>
                </w:tcPr>
                <w:p w14:paraId="02A24BED">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具有大专或以上学历；</w:t>
                  </w:r>
                </w:p>
                <w:p w14:paraId="40E4C28F">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负责熟悉各类联想、惠普、戴尔等PC服务器、华为、华三、锐捷网络设备管理与维护。</w:t>
                  </w:r>
                </w:p>
                <w:p w14:paraId="3553CB90">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负责服务器防病毒及提供各项信息安全服务。</w:t>
                  </w:r>
                </w:p>
                <w:p w14:paraId="1086798A">
                  <w:pPr>
                    <w:widowControl/>
                    <w:jc w:val="left"/>
                    <w:rPr>
                      <w:rFonts w:hint="eastAsia" w:ascii="仿宋_GB2312" w:hAnsi="仿宋"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未经业主批准，不得随意更换驻场运维工程师；经考核评价不能胜任的，采购人可以要求更换驻场工程师</w:t>
                  </w:r>
                </w:p>
                <w:p w14:paraId="5267DBE7">
                  <w:pPr>
                    <w:widowControl/>
                    <w:jc w:val="left"/>
                    <w:rPr>
                      <w:rFonts w:hint="eastAsia" w:ascii="仿宋_GB2312" w:hAnsi="Wingdings 2" w:eastAsia="仿宋_GB2312" w:cs="宋体"/>
                      <w:kern w:val="0"/>
                      <w:szCs w:val="21"/>
                    </w:rPr>
                  </w:pPr>
                  <w:r>
                    <w:rPr>
                      <w:rFonts w:hint="eastAsia" w:ascii="仿宋_GB2312" w:hAnsi="Wingdings 2" w:eastAsia="仿宋_GB2312" w:cs="宋体"/>
                      <w:kern w:val="0"/>
                      <w:szCs w:val="21"/>
                    </w:rPr>
                    <w:t></w:t>
                  </w:r>
                  <w:r>
                    <w:rPr>
                      <w:rFonts w:hint="eastAsia" w:ascii="仿宋_GB2312" w:hAnsi="仿宋" w:eastAsia="仿宋_GB2312" w:cs="宋体"/>
                      <w:kern w:val="0"/>
                      <w:szCs w:val="21"/>
                    </w:rPr>
                    <w:t>投标人应保证能根据项目建设的实际需要，在相应阶段安排足够的运维工程师到场开展工作。</w:t>
                  </w:r>
                </w:p>
              </w:tc>
            </w:tr>
            <w:tr w14:paraId="5539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4" w:type="pct"/>
                  <w:vAlign w:val="center"/>
                </w:tcPr>
                <w:p w14:paraId="40F7F9BF">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5</w:t>
                  </w:r>
                </w:p>
              </w:tc>
              <w:tc>
                <w:tcPr>
                  <w:tcW w:w="855" w:type="pct"/>
                  <w:vAlign w:val="center"/>
                </w:tcPr>
                <w:p w14:paraId="3B8A95AB">
                  <w:pPr>
                    <w:widowControl/>
                    <w:jc w:val="left"/>
                    <w:rPr>
                      <w:rFonts w:hint="eastAsia" w:ascii="仿宋_GB2312" w:hAnsi="仿宋" w:eastAsia="仿宋_GB2312" w:cs="宋体"/>
                      <w:kern w:val="0"/>
                      <w:szCs w:val="21"/>
                    </w:rPr>
                  </w:pPr>
                  <w:r>
                    <w:rPr>
                      <w:rFonts w:hint="eastAsia" w:ascii="仿宋_GB2312" w:hAnsi="仿宋" w:eastAsia="仿宋_GB2312" w:cs="宋体"/>
                      <w:kern w:val="0"/>
                      <w:szCs w:val="21"/>
                    </w:rPr>
                    <w:t>★二线支持工程师</w:t>
                  </w:r>
                </w:p>
              </w:tc>
              <w:tc>
                <w:tcPr>
                  <w:tcW w:w="427" w:type="pct"/>
                  <w:vAlign w:val="center"/>
                </w:tcPr>
                <w:p w14:paraId="7480BE27">
                  <w:pPr>
                    <w:widowControl/>
                    <w:jc w:val="center"/>
                    <w:rPr>
                      <w:rFonts w:hint="eastAsia" w:ascii="仿宋_GB2312" w:hAnsi="仿宋" w:eastAsia="仿宋_GB2312" w:cs="宋体"/>
                      <w:kern w:val="0"/>
                      <w:szCs w:val="21"/>
                    </w:rPr>
                  </w:pPr>
                  <w:r>
                    <w:rPr>
                      <w:rFonts w:hint="eastAsia" w:ascii="仿宋_GB2312" w:hAnsi="仿宋" w:eastAsia="仿宋_GB2312" w:cs="宋体"/>
                      <w:kern w:val="0"/>
                      <w:szCs w:val="21"/>
                    </w:rPr>
                    <w:t>8</w:t>
                  </w:r>
                </w:p>
              </w:tc>
              <w:tc>
                <w:tcPr>
                  <w:tcW w:w="3295" w:type="pct"/>
                  <w:vAlign w:val="center"/>
                </w:tcPr>
                <w:p w14:paraId="6E1DD5E1">
                  <w:pPr>
                    <w:widowControl/>
                    <w:ind w:firstLine="420" w:firstLineChars="200"/>
                    <w:jc w:val="left"/>
                    <w:rPr>
                      <w:rFonts w:hint="eastAsia" w:ascii="仿宋_GB2312" w:hAnsi="Wingdings 2" w:eastAsia="仿宋_GB2312" w:cs="宋体"/>
                      <w:color w:val="0000FF"/>
                      <w:kern w:val="0"/>
                      <w:szCs w:val="21"/>
                    </w:rPr>
                  </w:pPr>
                  <w:r>
                    <w:rPr>
                      <w:rFonts w:hint="eastAsia" w:ascii="仿宋_GB2312" w:hAnsi="Wingdings 2" w:eastAsia="仿宋_GB2312" w:cs="宋体"/>
                      <w:color w:val="0000FF"/>
                      <w:kern w:val="0"/>
                      <w:szCs w:val="21"/>
                    </w:rPr>
                    <w:t>二线服务器维护工程师一名，具有ITIL Expert认证证书、VMware认证证书、高级网络信息安全工程师、信息通信网络运行管理人员、ITSS-IT服务项目经理证书；</w:t>
                  </w:r>
                </w:p>
                <w:p w14:paraId="3E795100">
                  <w:pPr>
                    <w:widowControl/>
                    <w:ind w:firstLine="420" w:firstLineChars="200"/>
                    <w:jc w:val="left"/>
                    <w:rPr>
                      <w:rFonts w:hint="eastAsia" w:ascii="仿宋_GB2312" w:hAnsi="Wingdings 2" w:eastAsia="仿宋_GB2312" w:cs="宋体"/>
                      <w:color w:val="0000FF"/>
                      <w:kern w:val="0"/>
                      <w:szCs w:val="21"/>
                    </w:rPr>
                  </w:pPr>
                  <w:r>
                    <w:rPr>
                      <w:rFonts w:hint="eastAsia" w:ascii="仿宋_GB2312" w:hAnsi="Wingdings 2" w:eastAsia="仿宋_GB2312" w:cs="宋体"/>
                      <w:color w:val="0000FF"/>
                      <w:kern w:val="0"/>
                      <w:szCs w:val="21"/>
                    </w:rPr>
                    <w:t>二线网络系统维护工程师，一名具有系统集成项目管理工程师证书、网络工程师证书、通信专业技术人员职业资格证书(中级)；</w:t>
                  </w:r>
                </w:p>
                <w:p w14:paraId="542CC1E2">
                  <w:pPr>
                    <w:widowControl/>
                    <w:ind w:firstLine="420" w:firstLineChars="200"/>
                    <w:jc w:val="left"/>
                    <w:rPr>
                      <w:rFonts w:hint="eastAsia" w:ascii="仿宋_GB2312" w:hAnsi="Wingdings 2" w:eastAsia="仿宋_GB2312" w:cs="宋体"/>
                      <w:color w:val="0000FF"/>
                      <w:kern w:val="0"/>
                      <w:szCs w:val="21"/>
                    </w:rPr>
                  </w:pPr>
                  <w:r>
                    <w:rPr>
                      <w:rFonts w:hint="eastAsia" w:ascii="仿宋_GB2312" w:hAnsi="Wingdings 2" w:eastAsia="仿宋_GB2312" w:cs="宋体"/>
                      <w:color w:val="0000FF"/>
                      <w:kern w:val="0"/>
                      <w:szCs w:val="21"/>
                    </w:rPr>
                    <w:t>二线机房维护工程师一名，具有系统集成项目管理工程师书、数据库系统工程师证书、网络工程师证书、软件设计师证书；</w:t>
                  </w:r>
                </w:p>
                <w:p w14:paraId="0BFF4627">
                  <w:pPr>
                    <w:widowControl/>
                    <w:ind w:firstLine="420" w:firstLineChars="200"/>
                    <w:jc w:val="left"/>
                    <w:rPr>
                      <w:rFonts w:hint="eastAsia" w:ascii="仿宋_GB2312" w:hAnsi="Wingdings 2" w:eastAsia="仿宋_GB2312" w:cs="宋体"/>
                      <w:color w:val="0000FF"/>
                      <w:kern w:val="0"/>
                      <w:szCs w:val="21"/>
                    </w:rPr>
                  </w:pPr>
                  <w:r>
                    <w:rPr>
                      <w:rFonts w:hint="eastAsia" w:ascii="仿宋_GB2312" w:hAnsi="Wingdings 2" w:eastAsia="仿宋_GB2312" w:cs="宋体"/>
                      <w:color w:val="0000FF"/>
                      <w:kern w:val="0"/>
                      <w:szCs w:val="21"/>
                    </w:rPr>
                    <w:t>二线网络安全维护工程师一名，具有信息安全工程师证书、网络规划设计师证书、网络工程师证书；</w:t>
                  </w:r>
                </w:p>
                <w:p w14:paraId="36E1952F">
                  <w:pPr>
                    <w:widowControl/>
                    <w:ind w:firstLine="420" w:firstLineChars="200"/>
                    <w:jc w:val="left"/>
                    <w:rPr>
                      <w:rFonts w:hint="eastAsia" w:ascii="仿宋_GB2312" w:hAnsi="Wingdings 2" w:eastAsia="仿宋_GB2312" w:cs="宋体"/>
                      <w:color w:val="0000FF"/>
                      <w:kern w:val="0"/>
                      <w:szCs w:val="21"/>
                    </w:rPr>
                  </w:pPr>
                  <w:r>
                    <w:rPr>
                      <w:rFonts w:hint="eastAsia" w:ascii="仿宋_GB2312" w:hAnsi="Wingdings 2" w:eastAsia="仿宋_GB2312" w:cs="宋体"/>
                      <w:color w:val="0000FF"/>
                      <w:kern w:val="0"/>
                      <w:szCs w:val="21"/>
                    </w:rPr>
                    <w:t>其他二线工程师四名，分别具有注册信息安全工程师（CISP）证书、网络工程师、系统规划与管理师、通信专业技术人员职业资格证书。</w:t>
                  </w:r>
                </w:p>
                <w:p w14:paraId="56EEF39E">
                  <w:pPr>
                    <w:widowControl/>
                    <w:ind w:firstLine="420" w:firstLineChars="200"/>
                    <w:jc w:val="left"/>
                    <w:rPr>
                      <w:rFonts w:hint="eastAsia" w:ascii="仿宋_GB2312" w:hAnsi="Wingdings 2" w:eastAsia="仿宋_GB2312" w:cs="宋体"/>
                      <w:kern w:val="0"/>
                      <w:szCs w:val="21"/>
                      <w:lang w:eastAsia="zh-CN"/>
                    </w:rPr>
                  </w:pPr>
                  <w:r>
                    <w:rPr>
                      <w:rFonts w:hint="eastAsia" w:ascii="仿宋_GB2312" w:hAnsi="Wingdings 2" w:eastAsia="仿宋_GB2312" w:cs="宋体"/>
                      <w:color w:val="0000FF"/>
                      <w:kern w:val="0"/>
                      <w:szCs w:val="21"/>
                    </w:rPr>
                    <w:t>投标人应保证能根据项目建设的实际需要，在相应阶段安排足够的运维工程师到场开展工作</w:t>
                  </w:r>
                  <w:r>
                    <w:rPr>
                      <w:rFonts w:hint="eastAsia" w:ascii="仿宋_GB2312" w:hAnsi="Wingdings 2" w:eastAsia="仿宋_GB2312" w:cs="宋体"/>
                      <w:color w:val="0000FF"/>
                      <w:kern w:val="0"/>
                      <w:szCs w:val="21"/>
                      <w:lang w:eastAsia="zh-CN"/>
                    </w:rPr>
                    <w:t>；</w:t>
                  </w:r>
                </w:p>
              </w:tc>
            </w:tr>
          </w:tbl>
          <w:p w14:paraId="4D5D4282">
            <w:pPr>
              <w:pStyle w:val="49"/>
              <w:spacing w:line="240" w:lineRule="auto"/>
              <w:ind w:left="105" w:leftChars="50" w:right="105" w:rightChars="50" w:firstLine="420"/>
              <w:rPr>
                <w:highlight w:val="none"/>
              </w:rPr>
            </w:pPr>
            <w:r>
              <w:rPr>
                <w:rFonts w:hint="eastAsia" w:ascii="仿宋_GB2312" w:hAnsi="仿宋" w:eastAsia="仿宋_GB2312" w:cs="宋体"/>
                <w:kern w:val="0"/>
                <w:szCs w:val="21"/>
                <w:highlight w:val="none"/>
              </w:rPr>
              <w:t>要求报价截止日后5个工作日内报价供应商需提供以上驻场工程师、二线支持工程师资质证明材料扫描件给用户方查验，没有提供采购需求中所要求的全部资料及数据，由此造成的后果，其责任由供应商承担。</w:t>
            </w:r>
          </w:p>
          <w:p w14:paraId="54694262">
            <w:pPr>
              <w:pStyle w:val="49"/>
              <w:spacing w:line="240" w:lineRule="auto"/>
              <w:ind w:left="105" w:leftChars="50" w:right="105" w:rightChars="50" w:firstLine="420"/>
            </w:pPr>
          </w:p>
          <w:p w14:paraId="3EEC471E">
            <w:pPr>
              <w:widowControl/>
              <w:ind w:right="105" w:rightChars="50"/>
              <w:rPr>
                <w:rFonts w:hint="eastAsia" w:ascii="仿宋_GB2312" w:hAnsi="仿宋" w:eastAsia="仿宋_GB2312" w:cs="宋体"/>
                <w:b/>
                <w:bCs/>
                <w:kern w:val="0"/>
                <w:szCs w:val="21"/>
              </w:rPr>
            </w:pPr>
            <w:r>
              <w:rPr>
                <w:rFonts w:hint="eastAsia" w:ascii="仿宋_GB2312" w:hAnsi="仿宋" w:eastAsia="仿宋_GB2312" w:cs="宋体"/>
                <w:b/>
                <w:bCs/>
                <w:kern w:val="0"/>
                <w:szCs w:val="21"/>
              </w:rPr>
              <w:t>（三）驻场人员管理要求</w:t>
            </w:r>
          </w:p>
          <w:p w14:paraId="78E5294E">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1、驻场人员除从事日常的巡查监控工作外，还必须严格遵守执行采购人制订的工作日程安排，每项工作要落到实处，对于不遵守执行的驻场人员，采购人可提请成交供应商无条件更换。</w:t>
            </w:r>
          </w:p>
          <w:p w14:paraId="60859A35">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2、驻场人员在办公时间须驻守在采购人指定的地点上班，并遵守采购人的所有有关规定和制度。</w:t>
            </w:r>
          </w:p>
          <w:p w14:paraId="54970E58">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3、驻场人员请假，须报告采购人相关负责人，成交供应商需提供临时代替人员，经同意后方可休假；驻场人员在未征得采购人相关负责人同意的情况下，在工作时间擅自离开将被视为旷工。情节严重的，采购人将提请成交供应商给予其纪律处分并无条件更换驻场人员。</w:t>
            </w:r>
          </w:p>
          <w:p w14:paraId="5CE28F4F">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4、驻场人员在工作期间遇到自己不能解决的特殊或意外情况时，必须在第一时间报告采购人相关负责人及领导；若因驻场人员发现或报告不及时造成损失，成交供应商必须承担全部责任。</w:t>
            </w:r>
          </w:p>
          <w:p w14:paraId="5C7AC0B2">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5、驻场人员不得借工作便利篡改或泄露采购人业务数据。一经发现，采购人将提请成交供应商给予其纪律处分，可以无条件更换驻场人员，并追究成交供应商全部责任。</w:t>
            </w:r>
          </w:p>
          <w:p w14:paraId="16D38587">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6、当用户有重大活动需要相当于原厂技术支持，采购人提前通知，成交供应商需安排有经验的服务工程师于活动期间，在用户现场提供专业技术保障，保证系统设备的功能正常、性能优良。</w:t>
            </w:r>
          </w:p>
          <w:p w14:paraId="195A22AF">
            <w:pPr>
              <w:widowControl/>
              <w:ind w:firstLine="420" w:firstLineChars="200"/>
              <w:rPr>
                <w:rFonts w:hint="eastAsia" w:ascii="仿宋_GB2312" w:hAnsi="仿宋" w:eastAsia="仿宋_GB2312" w:cs="宋体"/>
                <w:kern w:val="0"/>
                <w:szCs w:val="21"/>
              </w:rPr>
            </w:pPr>
          </w:p>
          <w:p w14:paraId="123B4F3E">
            <w:pPr>
              <w:widowControl/>
              <w:rPr>
                <w:rFonts w:hint="eastAsia" w:ascii="仿宋_GB2312" w:hAnsi="仿宋" w:eastAsia="仿宋_GB2312" w:cs="宋体"/>
                <w:b/>
                <w:bCs/>
                <w:kern w:val="0"/>
                <w:szCs w:val="21"/>
              </w:rPr>
            </w:pPr>
            <w:r>
              <w:rPr>
                <w:rFonts w:hint="eastAsia" w:ascii="仿宋_GB2312" w:hAnsi="仿宋" w:eastAsia="仿宋_GB2312" w:cs="宋体"/>
                <w:b/>
                <w:bCs/>
                <w:kern w:val="0"/>
                <w:szCs w:val="21"/>
              </w:rPr>
              <w:t>（四）对运维单位的设备投入要求</w:t>
            </w:r>
          </w:p>
          <w:p w14:paraId="6C0A0DD7">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1、在驻场的办公场所内，驻场人员使用的计算机、打印机、网络测试仪，以及其他必要的维护设备和工具。一切维护工具的购置、使用等费用由维护方负责。</w:t>
            </w:r>
          </w:p>
          <w:p w14:paraId="5170748B">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2、成交供应商应在采购人现场设置应急备件库。备件库内部件及数量有双方协商，备件产权属于成交供应商，在采购人设备故障需要使用备件修复的，采购人根据双方确认材料，向成交供应商办理备件采购。</w:t>
            </w:r>
          </w:p>
          <w:p w14:paraId="525790B7">
            <w:pPr>
              <w:widowControl/>
              <w:ind w:firstLine="420" w:firstLineChars="200"/>
              <w:rPr>
                <w:rFonts w:hint="eastAsia" w:ascii="仿宋_GB2312" w:hAnsi="仿宋" w:eastAsia="仿宋_GB2312" w:cs="宋体"/>
                <w:kern w:val="0"/>
                <w:szCs w:val="21"/>
              </w:rPr>
            </w:pPr>
          </w:p>
          <w:p w14:paraId="7491DA2C">
            <w:pPr>
              <w:widowControl/>
              <w:rPr>
                <w:rFonts w:hint="eastAsia" w:ascii="仿宋_GB2312" w:hAnsi="仿宋" w:eastAsia="仿宋_GB2312" w:cs="宋体"/>
                <w:b/>
                <w:bCs/>
                <w:kern w:val="0"/>
                <w:szCs w:val="21"/>
              </w:rPr>
            </w:pPr>
            <w:r>
              <w:rPr>
                <w:rFonts w:hint="eastAsia" w:ascii="仿宋_GB2312" w:hAnsi="仿宋" w:eastAsia="仿宋_GB2312" w:cs="宋体"/>
                <w:b/>
                <w:bCs/>
                <w:kern w:val="0"/>
                <w:szCs w:val="21"/>
              </w:rPr>
              <w:t>（五）运维服务时间及范围</w:t>
            </w:r>
          </w:p>
          <w:p w14:paraId="3A001DFD">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1、机房服务器及网络运维不限于硬件故障、操作系统、办公软件以及医院使用信息系统的安装、调试、故障排查等全面维保工作，还应包含相关设备和系统的安全运维工作。</w:t>
            </w:r>
          </w:p>
          <w:p w14:paraId="026A49CE">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2、桌面运维工作内容需包含但不限于电脑及外设硬件故障、操作系统、办公软件以及医院使用信息系统的安装、调试、故障排查等全面维保工作，还应包含相关的安全运维工作。</w:t>
            </w:r>
          </w:p>
          <w:p w14:paraId="4116EDC1">
            <w:pPr>
              <w:widowControl/>
              <w:ind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3、所有驻场运维人员需参与医院工作日、节假日值班及夜班工作，节假日期间服务时间8:00至18:00，工作日服务时间8:00至21:00。</w:t>
            </w:r>
          </w:p>
          <w:p w14:paraId="685D5707">
            <w:pPr>
              <w:widowControl/>
              <w:ind w:firstLine="420" w:firstLineChars="200"/>
              <w:rPr>
                <w:rFonts w:hint="eastAsia" w:ascii="仿宋_GB2312" w:hAnsi="仿宋" w:eastAsia="仿宋_GB2312" w:cs="宋体"/>
                <w:kern w:val="0"/>
                <w:szCs w:val="21"/>
              </w:rPr>
            </w:pPr>
          </w:p>
          <w:p w14:paraId="32BFA29E">
            <w:pPr>
              <w:widowControl/>
              <w:rPr>
                <w:rFonts w:hint="eastAsia" w:ascii="仿宋_GB2312" w:hAnsi="仿宋" w:eastAsia="仿宋_GB2312" w:cs="宋体"/>
                <w:b/>
                <w:bCs/>
                <w:kern w:val="0"/>
                <w:szCs w:val="21"/>
              </w:rPr>
            </w:pPr>
            <w:r>
              <w:rPr>
                <w:rFonts w:hint="eastAsia" w:ascii="仿宋_GB2312" w:hAnsi="仿宋" w:eastAsia="仿宋_GB2312" w:cs="宋体"/>
                <w:b/>
                <w:bCs/>
                <w:kern w:val="0"/>
                <w:szCs w:val="21"/>
              </w:rPr>
              <w:t>（六）其他服务内容</w:t>
            </w:r>
          </w:p>
          <w:p w14:paraId="61128036">
            <w:pPr>
              <w:widowControl/>
              <w:ind w:left="420"/>
              <w:rPr>
                <w:rFonts w:hint="eastAsia" w:ascii="仿宋_GB2312" w:hAnsi="仿宋" w:eastAsia="仿宋_GB2312" w:cs="宋体"/>
                <w:kern w:val="0"/>
                <w:szCs w:val="21"/>
              </w:rPr>
            </w:pPr>
            <w:r>
              <w:rPr>
                <w:rFonts w:hint="eastAsia" w:ascii="仿宋_GB2312" w:hAnsi="仿宋" w:eastAsia="仿宋_GB2312" w:cs="宋体"/>
                <w:kern w:val="0"/>
                <w:szCs w:val="21"/>
              </w:rPr>
              <w:t>1、配合本项目的用户验收会议、专家会议、专项方案咨询服务。</w:t>
            </w:r>
          </w:p>
          <w:p w14:paraId="45287E73">
            <w:pPr>
              <w:pStyle w:val="49"/>
              <w:spacing w:line="240" w:lineRule="auto"/>
              <w:ind w:firstLine="420"/>
              <w:rPr>
                <w:rFonts w:ascii="仿宋_GB2312" w:eastAsia="仿宋_GB2312"/>
                <w:szCs w:val="21"/>
              </w:rPr>
            </w:pPr>
            <w:r>
              <w:rPr>
                <w:rFonts w:hint="eastAsia" w:ascii="仿宋_GB2312" w:hAnsi="仿宋" w:eastAsia="仿宋_GB2312" w:cs="宋体"/>
                <w:kern w:val="0"/>
                <w:szCs w:val="21"/>
              </w:rPr>
              <w:t>2、配合采购人上级单位或相关政府部门的信息安全检查、消防安全检查等，并按其要求协助采购人做相应整改。</w:t>
            </w:r>
          </w:p>
        </w:tc>
      </w:tr>
      <w:tr w14:paraId="0725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27D39D42">
            <w:pPr>
              <w:ind w:left="105" w:leftChars="50" w:right="105" w:rightChars="50"/>
              <w:rPr>
                <w:rFonts w:hint="default" w:ascii="仿宋_GB2312" w:hAnsi="宋体" w:eastAsia="仿宋_GB2312" w:cs="宋体"/>
                <w:szCs w:val="21"/>
                <w:lang w:val="en-US" w:eastAsia="zh-CN"/>
              </w:rPr>
            </w:pPr>
            <w:bookmarkStart w:id="23" w:name="_Toc405900443"/>
            <w:r>
              <w:rPr>
                <w:rFonts w:hint="eastAsia" w:ascii="仿宋_GB2312" w:hAnsi="仿宋" w:eastAsia="仿宋_GB2312" w:cs="宋体"/>
                <w:b/>
                <w:bCs/>
                <w:kern w:val="0"/>
                <w:sz w:val="24"/>
                <w:szCs w:val="24"/>
              </w:rPr>
              <w:t>★十、服务响应要求</w:t>
            </w:r>
            <w:bookmarkEnd w:id="23"/>
            <w:r>
              <w:rPr>
                <w:rFonts w:hint="eastAsia" w:ascii="仿宋_GB2312" w:hAnsi="仿宋" w:eastAsia="仿宋_GB2312" w:cs="宋体"/>
                <w:b/>
                <w:bCs/>
                <w:kern w:val="0"/>
                <w:sz w:val="24"/>
                <w:szCs w:val="24"/>
                <w:lang w:eastAsia="zh-CN"/>
              </w:rPr>
              <w:t>（</w:t>
            </w:r>
            <w:r>
              <w:rPr>
                <w:rFonts w:hint="eastAsia" w:ascii="仿宋_GB2312" w:hAnsi="仿宋" w:eastAsia="仿宋_GB2312" w:cs="宋体"/>
                <w:b/>
                <w:bCs/>
                <w:kern w:val="0"/>
                <w:sz w:val="24"/>
                <w:szCs w:val="24"/>
                <w:lang w:val="en-US" w:eastAsia="zh-CN"/>
              </w:rPr>
              <w:t>提供承诺函）</w:t>
            </w:r>
          </w:p>
        </w:tc>
      </w:tr>
      <w:tr w14:paraId="1FE3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7659271">
            <w:pPr>
              <w:pStyle w:val="8"/>
              <w:spacing w:line="240" w:lineRule="auto"/>
              <w:ind w:left="0" w:firstLine="0"/>
              <w:rPr>
                <w:rFonts w:hint="eastAsia" w:ascii="仿宋_GB2312" w:hAnsi="仿宋" w:eastAsia="仿宋_GB2312" w:cs="宋体"/>
                <w:kern w:val="0"/>
                <w:sz w:val="21"/>
                <w:szCs w:val="21"/>
              </w:rPr>
            </w:pPr>
            <w:r>
              <w:rPr>
                <w:rFonts w:hint="eastAsia" w:ascii="仿宋_GB2312" w:hAnsi="仿宋" w:eastAsia="仿宋_GB2312" w:cs="宋体"/>
                <w:kern w:val="0"/>
                <w:sz w:val="21"/>
                <w:szCs w:val="21"/>
              </w:rPr>
              <w:t>（一）影响到业务正常开展的故障，要求成交供应商30分钟内到达现场，60分钟内报告采购方信息中心主任。如属于硬件故障的，成交供应商应在尽快协调二线技术人员提供现场技术支持服务并安排调配备件资源，2小时内更换故障部件，重大硬件故障最迟在3小时内修复。如属于软件故障的，成交供应商应尽快协调二线技术人员或系统开发商进行修复。在故障解决过程中，保持每1小时内1次与采购人信息中心主任进行情况汇报。</w:t>
            </w:r>
          </w:p>
          <w:p w14:paraId="623288D5">
            <w:pPr>
              <w:pStyle w:val="8"/>
              <w:spacing w:line="240" w:lineRule="auto"/>
              <w:ind w:left="0" w:firstLine="0"/>
              <w:rPr>
                <w:rFonts w:hint="eastAsia" w:ascii="仿宋_GB2312" w:hAnsi="仿宋" w:eastAsia="仿宋_GB2312" w:cs="宋体"/>
                <w:kern w:val="0"/>
                <w:sz w:val="21"/>
                <w:szCs w:val="21"/>
              </w:rPr>
            </w:pPr>
            <w:r>
              <w:rPr>
                <w:rFonts w:hint="eastAsia" w:ascii="仿宋_GB2312" w:hAnsi="仿宋" w:eastAsia="仿宋_GB2312" w:cs="宋体"/>
                <w:kern w:val="0"/>
                <w:sz w:val="21"/>
                <w:szCs w:val="21"/>
              </w:rPr>
              <w:t>（二）不影响业务正常开展的故障，要求成交供应商60分钟内到达现场，2小时内报告采购方信息中心主任，双方协商故障修复时间。在故障解决过程中，保持与采购人沟通修复进度及相关事宜。</w:t>
            </w:r>
          </w:p>
          <w:p w14:paraId="7BFAA2DD">
            <w:pPr>
              <w:pStyle w:val="8"/>
              <w:spacing w:line="240" w:lineRule="auto"/>
              <w:ind w:left="0" w:firstLine="0"/>
              <w:rPr>
                <w:rFonts w:hint="eastAsia" w:ascii="仿宋_GB2312" w:hAnsi="仿宋" w:eastAsia="仿宋_GB2312" w:cs="宋体"/>
                <w:kern w:val="0"/>
                <w:sz w:val="21"/>
                <w:szCs w:val="21"/>
                <w:lang w:val="zh-CN"/>
              </w:rPr>
            </w:pPr>
          </w:p>
        </w:tc>
      </w:tr>
      <w:tr w14:paraId="62A3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6EB8F222">
            <w:pPr>
              <w:ind w:left="105" w:leftChars="50" w:right="105" w:rightChars="50"/>
              <w:rPr>
                <w:rFonts w:hint="eastAsia" w:ascii="仿宋_GB2312" w:hAnsi="宋体" w:eastAsia="仿宋_GB2312" w:cs="宋体"/>
                <w:szCs w:val="21"/>
              </w:rPr>
            </w:pPr>
            <w:r>
              <w:rPr>
                <w:rFonts w:hint="eastAsia" w:ascii="仿宋_GB2312" w:hAnsi="仿宋" w:eastAsia="仿宋_GB2312" w:cs="宋体"/>
                <w:b/>
                <w:bCs/>
                <w:kern w:val="0"/>
                <w:sz w:val="24"/>
                <w:szCs w:val="24"/>
              </w:rPr>
              <w:t>十一、项目考核要求</w:t>
            </w:r>
          </w:p>
        </w:tc>
      </w:tr>
      <w:tr w14:paraId="797F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4B8C958C">
            <w:pPr>
              <w:pStyle w:val="8"/>
              <w:spacing w:line="240" w:lineRule="auto"/>
              <w:ind w:left="0" w:firstLine="0"/>
              <w:rPr>
                <w:rFonts w:hint="eastAsia" w:ascii="仿宋_GB2312" w:hAnsi="仿宋" w:eastAsia="仿宋_GB2312" w:cs="宋体"/>
                <w:b/>
                <w:bCs/>
                <w:kern w:val="0"/>
                <w:sz w:val="21"/>
                <w:szCs w:val="21"/>
              </w:rPr>
            </w:pPr>
            <w:r>
              <w:rPr>
                <w:rFonts w:hint="eastAsia" w:ascii="仿宋_GB2312" w:hAnsi="仿宋" w:eastAsia="仿宋_GB2312" w:cs="宋体"/>
                <w:b/>
                <w:bCs/>
                <w:kern w:val="0"/>
                <w:sz w:val="21"/>
                <w:szCs w:val="21"/>
              </w:rPr>
              <w:t>（一）绩效评估要求</w:t>
            </w:r>
          </w:p>
          <w:p w14:paraId="65A2407B">
            <w:pPr>
              <w:pStyle w:val="8"/>
              <w:spacing w:line="240" w:lineRule="auto"/>
              <w:ind w:left="0" w:firstLineChars="200"/>
              <w:rPr>
                <w:rFonts w:hint="eastAsia" w:ascii="仿宋_GB2312" w:hAnsi="仿宋" w:eastAsia="仿宋_GB2312" w:cs="宋体"/>
                <w:kern w:val="0"/>
                <w:sz w:val="21"/>
                <w:szCs w:val="21"/>
              </w:rPr>
            </w:pPr>
            <w:r>
              <w:rPr>
                <w:rFonts w:hint="eastAsia" w:ascii="仿宋_GB2312" w:hAnsi="仿宋" w:eastAsia="仿宋_GB2312" w:cs="宋体"/>
                <w:kern w:val="0"/>
                <w:sz w:val="21"/>
                <w:szCs w:val="21"/>
              </w:rPr>
              <w:t>1、</w:t>
            </w:r>
            <w:r>
              <w:rPr>
                <w:rFonts w:ascii="仿宋_GB2312" w:hAnsi="仿宋" w:eastAsia="仿宋_GB2312" w:cs="宋体"/>
                <w:kern w:val="0"/>
                <w:sz w:val="21"/>
                <w:szCs w:val="21"/>
              </w:rPr>
              <w:t>由用户单位组织绩效考核，对运维服务提供商的服务响应、事件处理的能力、运维文档的规范性等进行综合评估，考核主要从服务质量、运维服务合规性、能力与可持续性、客户满意度等四部分去评定。</w:t>
            </w:r>
          </w:p>
          <w:p w14:paraId="4BC46A49">
            <w:pPr>
              <w:pStyle w:val="8"/>
              <w:spacing w:line="240" w:lineRule="auto"/>
              <w:ind w:left="0" w:firstLineChars="200"/>
              <w:rPr>
                <w:rFonts w:hint="eastAsia" w:ascii="仿宋_GB2312" w:hAnsi="仿宋" w:eastAsia="仿宋_GB2312" w:cs="宋体"/>
                <w:kern w:val="0"/>
                <w:sz w:val="21"/>
                <w:szCs w:val="21"/>
              </w:rPr>
            </w:pPr>
            <w:r>
              <w:rPr>
                <w:rFonts w:hint="eastAsia" w:ascii="仿宋_GB2312" w:hAnsi="仿宋" w:eastAsia="仿宋_GB2312" w:cs="宋体"/>
                <w:kern w:val="0"/>
                <w:sz w:val="21"/>
                <w:szCs w:val="21"/>
              </w:rPr>
              <w:t>2、</w:t>
            </w:r>
            <w:r>
              <w:rPr>
                <w:rFonts w:ascii="仿宋_GB2312" w:hAnsi="仿宋" w:eastAsia="仿宋_GB2312" w:cs="宋体"/>
                <w:kern w:val="0"/>
                <w:sz w:val="21"/>
                <w:szCs w:val="21"/>
              </w:rPr>
              <w:t>考核方式为按月进行服务质量考核，每季度进行当季月平均分计算，评出季度服务绩效考核等级，分值将按照优（100-85分），良（84-71分），中（70-61分），差（60分以下）划定考核等级。</w:t>
            </w:r>
          </w:p>
          <w:p w14:paraId="2FBBFFE0">
            <w:pPr>
              <w:pStyle w:val="8"/>
              <w:spacing w:line="240" w:lineRule="auto"/>
              <w:ind w:left="0" w:firstLineChars="200"/>
              <w:rPr>
                <w:rFonts w:hint="eastAsia" w:ascii="仿宋_GB2312" w:hAnsi="仿宋" w:eastAsia="仿宋_GB2312" w:cs="宋体"/>
                <w:kern w:val="0"/>
                <w:sz w:val="21"/>
                <w:szCs w:val="21"/>
              </w:rPr>
            </w:pPr>
            <w:r>
              <w:rPr>
                <w:rFonts w:hint="eastAsia" w:ascii="仿宋_GB2312" w:hAnsi="仿宋" w:eastAsia="仿宋_GB2312" w:cs="宋体"/>
                <w:kern w:val="0"/>
                <w:sz w:val="21"/>
                <w:szCs w:val="21"/>
              </w:rPr>
              <w:t>3、</w:t>
            </w:r>
            <w:r>
              <w:rPr>
                <w:rFonts w:ascii="仿宋_GB2312" w:hAnsi="仿宋" w:eastAsia="仿宋_GB2312" w:cs="宋体"/>
                <w:kern w:val="0"/>
                <w:sz w:val="21"/>
                <w:szCs w:val="21"/>
              </w:rPr>
              <w:t>在合同款项中预留出合同金额的2.5%作为季度考核款项。等级为优，中标服务商获得考核款的100%；等级为良，获得80%；等级为中，获得60%；等级为差，获得40%。</w:t>
            </w:r>
          </w:p>
          <w:p w14:paraId="0DB9B6FC">
            <w:pPr>
              <w:pStyle w:val="8"/>
              <w:spacing w:line="240" w:lineRule="auto"/>
              <w:ind w:left="0" w:firstLineChars="200"/>
              <w:rPr>
                <w:rFonts w:hint="eastAsia" w:ascii="仿宋_GB2312" w:hAnsi="仿宋" w:eastAsia="仿宋_GB2312" w:cs="宋体"/>
                <w:kern w:val="0"/>
                <w:sz w:val="21"/>
                <w:szCs w:val="21"/>
              </w:rPr>
            </w:pPr>
          </w:p>
          <w:p w14:paraId="29E88913">
            <w:pPr>
              <w:pStyle w:val="8"/>
              <w:spacing w:line="240" w:lineRule="auto"/>
              <w:ind w:left="0" w:firstLine="0"/>
              <w:rPr>
                <w:rFonts w:hint="eastAsia" w:ascii="仿宋_GB2312" w:hAnsi="仿宋" w:eastAsia="仿宋_GB2312" w:cs="宋体"/>
                <w:b/>
                <w:bCs/>
                <w:kern w:val="0"/>
                <w:sz w:val="21"/>
                <w:szCs w:val="21"/>
              </w:rPr>
            </w:pPr>
            <w:r>
              <w:rPr>
                <w:rFonts w:hint="eastAsia" w:ascii="仿宋_GB2312" w:hAnsi="仿宋" w:eastAsia="仿宋_GB2312" w:cs="宋体"/>
                <w:b/>
                <w:bCs/>
                <w:kern w:val="0"/>
                <w:sz w:val="21"/>
                <w:szCs w:val="21"/>
              </w:rPr>
              <w:t>（二）绩效评估内容</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766"/>
              <w:gridCol w:w="2245"/>
              <w:gridCol w:w="2611"/>
              <w:gridCol w:w="1190"/>
              <w:gridCol w:w="612"/>
            </w:tblGrid>
            <w:tr w14:paraId="4146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525" w:type="pct"/>
                  <w:noWrap/>
                  <w:vAlign w:val="center"/>
                </w:tcPr>
                <w:p w14:paraId="30963B80">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考核项目</w:t>
                  </w:r>
                </w:p>
              </w:tc>
              <w:tc>
                <w:tcPr>
                  <w:tcW w:w="461" w:type="pct"/>
                  <w:noWrap/>
                  <w:vAlign w:val="center"/>
                </w:tcPr>
                <w:p w14:paraId="0E755C98">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考核内容</w:t>
                  </w:r>
                </w:p>
              </w:tc>
              <w:tc>
                <w:tcPr>
                  <w:tcW w:w="1353" w:type="pct"/>
                  <w:noWrap/>
                  <w:vAlign w:val="center"/>
                </w:tcPr>
                <w:p w14:paraId="476DE472">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考核要求</w:t>
                  </w:r>
                </w:p>
              </w:tc>
              <w:tc>
                <w:tcPr>
                  <w:tcW w:w="1573" w:type="pct"/>
                  <w:noWrap/>
                  <w:vAlign w:val="center"/>
                </w:tcPr>
                <w:p w14:paraId="5DE1D037">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评分标准</w:t>
                  </w:r>
                </w:p>
              </w:tc>
              <w:tc>
                <w:tcPr>
                  <w:tcW w:w="717" w:type="pct"/>
                  <w:noWrap/>
                  <w:vAlign w:val="center"/>
                </w:tcPr>
                <w:p w14:paraId="3AFDAFEA">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数据来源</w:t>
                  </w:r>
                </w:p>
              </w:tc>
              <w:tc>
                <w:tcPr>
                  <w:tcW w:w="368" w:type="pct"/>
                  <w:noWrap/>
                  <w:vAlign w:val="center"/>
                </w:tcPr>
                <w:p w14:paraId="315266FF">
                  <w:pPr>
                    <w:pStyle w:val="104"/>
                    <w:jc w:val="center"/>
                    <w:rPr>
                      <w:rFonts w:hint="eastAsia" w:ascii="仿宋_GB2312" w:hAnsi="仿宋" w:eastAsia="仿宋_GB2312" w:cs="宋体"/>
                      <w:b/>
                      <w:bCs/>
                      <w:color w:val="auto"/>
                      <w:kern w:val="0"/>
                      <w:sz w:val="21"/>
                      <w:szCs w:val="21"/>
                      <w:lang w:val="en-US" w:eastAsia="zh-CN" w:bidi="ar-SA"/>
                    </w:rPr>
                  </w:pPr>
                  <w:r>
                    <w:rPr>
                      <w:rFonts w:hint="eastAsia" w:ascii="仿宋_GB2312" w:hAnsi="仿宋" w:eastAsia="仿宋_GB2312" w:cs="宋体"/>
                      <w:b/>
                      <w:bCs/>
                      <w:color w:val="auto"/>
                      <w:kern w:val="0"/>
                      <w:sz w:val="21"/>
                      <w:szCs w:val="21"/>
                      <w:lang w:val="en-US" w:eastAsia="zh-CN" w:bidi="ar-SA"/>
                    </w:rPr>
                    <w:t>得分</w:t>
                  </w:r>
                </w:p>
              </w:tc>
            </w:tr>
            <w:tr w14:paraId="2153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5" w:type="pct"/>
                  <w:vMerge w:val="restart"/>
                  <w:noWrap/>
                  <w:vAlign w:val="center"/>
                </w:tcPr>
                <w:p w14:paraId="3685689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运维团队管理</w:t>
                  </w:r>
                </w:p>
                <w:p w14:paraId="370AAAFF">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（权重：30%，基准分100分，满分100分）</w:t>
                  </w:r>
                </w:p>
              </w:tc>
              <w:tc>
                <w:tcPr>
                  <w:tcW w:w="461" w:type="pct"/>
                  <w:noWrap/>
                  <w:vAlign w:val="center"/>
                </w:tcPr>
                <w:p w14:paraId="2F4EC451">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人员配备</w:t>
                  </w:r>
                </w:p>
              </w:tc>
              <w:tc>
                <w:tcPr>
                  <w:tcW w:w="1353" w:type="pct"/>
                  <w:noWrap/>
                  <w:vAlign w:val="center"/>
                </w:tcPr>
                <w:p w14:paraId="7BCE1C6E">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维护人员要按照运维合同规定配置</w:t>
                  </w:r>
                </w:p>
              </w:tc>
              <w:tc>
                <w:tcPr>
                  <w:tcW w:w="1573" w:type="pct"/>
                  <w:noWrap/>
                  <w:vAlign w:val="center"/>
                </w:tcPr>
                <w:p w14:paraId="2D25B354">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少配置一人或随意变更人员配备情况，扣3分/次,并补齐运维人员</w:t>
                  </w:r>
                </w:p>
              </w:tc>
              <w:tc>
                <w:tcPr>
                  <w:tcW w:w="717" w:type="pct"/>
                  <w:noWrap/>
                  <w:vAlign w:val="center"/>
                </w:tcPr>
                <w:p w14:paraId="1A5D71A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考勤记录</w:t>
                  </w:r>
                </w:p>
              </w:tc>
              <w:tc>
                <w:tcPr>
                  <w:tcW w:w="368" w:type="pct"/>
                  <w:vMerge w:val="restart"/>
                  <w:noWrap/>
                  <w:vAlign w:val="center"/>
                </w:tcPr>
                <w:p w14:paraId="0DDE3990">
                  <w:pPr>
                    <w:pStyle w:val="104"/>
                    <w:jc w:val="center"/>
                    <w:rPr>
                      <w:rFonts w:hint="eastAsia" w:ascii="仿宋_GB2312" w:hAnsi="仿宋" w:eastAsia="仿宋_GB2312" w:cs="宋体"/>
                      <w:color w:val="auto"/>
                      <w:kern w:val="0"/>
                      <w:sz w:val="21"/>
                      <w:szCs w:val="21"/>
                      <w:lang w:val="en-US" w:eastAsia="zh-CN" w:bidi="ar-SA"/>
                    </w:rPr>
                  </w:pPr>
                </w:p>
              </w:tc>
            </w:tr>
            <w:tr w14:paraId="5620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25" w:type="pct"/>
                  <w:vMerge w:val="continue"/>
                  <w:noWrap/>
                  <w:vAlign w:val="center"/>
                </w:tcPr>
                <w:p w14:paraId="0898D8F9">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6AC86CF2">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人员能力</w:t>
                  </w:r>
                </w:p>
              </w:tc>
              <w:tc>
                <w:tcPr>
                  <w:tcW w:w="1353" w:type="pct"/>
                  <w:noWrap/>
                  <w:vAlign w:val="center"/>
                </w:tcPr>
                <w:p w14:paraId="26086B5D">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维护人员能力满足实际工作需要</w:t>
                  </w:r>
                </w:p>
              </w:tc>
              <w:tc>
                <w:tcPr>
                  <w:tcW w:w="1573" w:type="pct"/>
                  <w:noWrap/>
                  <w:vAlign w:val="center"/>
                </w:tcPr>
                <w:p w14:paraId="2C0B948C">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发现一名能力不足人员扣3分/次，并更换运维人员</w:t>
                  </w:r>
                </w:p>
              </w:tc>
              <w:tc>
                <w:tcPr>
                  <w:tcW w:w="717" w:type="pct"/>
                  <w:noWrap/>
                  <w:vAlign w:val="center"/>
                </w:tcPr>
                <w:p w14:paraId="534E7675">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用户反馈</w:t>
                  </w:r>
                </w:p>
              </w:tc>
              <w:tc>
                <w:tcPr>
                  <w:tcW w:w="368" w:type="pct"/>
                  <w:vMerge w:val="continue"/>
                  <w:noWrap/>
                  <w:vAlign w:val="center"/>
                </w:tcPr>
                <w:p w14:paraId="042337CE">
                  <w:pPr>
                    <w:pStyle w:val="104"/>
                    <w:jc w:val="center"/>
                    <w:rPr>
                      <w:rFonts w:hint="eastAsia" w:ascii="仿宋_GB2312" w:hAnsi="仿宋" w:eastAsia="仿宋_GB2312" w:cs="宋体"/>
                      <w:color w:val="auto"/>
                      <w:kern w:val="0"/>
                      <w:sz w:val="21"/>
                      <w:szCs w:val="21"/>
                      <w:lang w:val="en-US" w:eastAsia="zh-CN" w:bidi="ar-SA"/>
                    </w:rPr>
                  </w:pPr>
                </w:p>
              </w:tc>
            </w:tr>
            <w:tr w14:paraId="73BD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25" w:type="pct"/>
                  <w:vMerge w:val="continue"/>
                  <w:noWrap/>
                  <w:vAlign w:val="center"/>
                </w:tcPr>
                <w:p w14:paraId="3A4FE26F">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25AE8635">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执行力</w:t>
                  </w:r>
                </w:p>
              </w:tc>
              <w:tc>
                <w:tcPr>
                  <w:tcW w:w="1353" w:type="pct"/>
                  <w:noWrap/>
                  <w:vAlign w:val="center"/>
                </w:tcPr>
                <w:p w14:paraId="335F567A">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运维人员服从指挥和调度</w:t>
                  </w:r>
                </w:p>
              </w:tc>
              <w:tc>
                <w:tcPr>
                  <w:tcW w:w="1573" w:type="pct"/>
                  <w:noWrap/>
                  <w:vAlign w:val="center"/>
                </w:tcPr>
                <w:p w14:paraId="6B855B23">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运维人员不服从指挥、调度的，视情节轻重扣除3-5分/次。</w:t>
                  </w:r>
                </w:p>
              </w:tc>
              <w:tc>
                <w:tcPr>
                  <w:tcW w:w="717" w:type="pct"/>
                  <w:noWrap/>
                  <w:vAlign w:val="center"/>
                </w:tcPr>
                <w:p w14:paraId="76063F3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主管部门与用户反馈</w:t>
                  </w:r>
                </w:p>
              </w:tc>
              <w:tc>
                <w:tcPr>
                  <w:tcW w:w="368" w:type="pct"/>
                  <w:vMerge w:val="continue"/>
                  <w:noWrap/>
                  <w:vAlign w:val="center"/>
                </w:tcPr>
                <w:p w14:paraId="68B49B77">
                  <w:pPr>
                    <w:pStyle w:val="104"/>
                    <w:jc w:val="center"/>
                    <w:rPr>
                      <w:rFonts w:hint="eastAsia" w:ascii="仿宋_GB2312" w:hAnsi="仿宋" w:eastAsia="仿宋_GB2312" w:cs="宋体"/>
                      <w:color w:val="auto"/>
                      <w:kern w:val="0"/>
                      <w:sz w:val="21"/>
                      <w:szCs w:val="21"/>
                      <w:lang w:val="en-US" w:eastAsia="zh-CN" w:bidi="ar-SA"/>
                    </w:rPr>
                  </w:pPr>
                </w:p>
              </w:tc>
            </w:tr>
            <w:tr w14:paraId="1805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25" w:type="pct"/>
                  <w:vMerge w:val="continue"/>
                  <w:noWrap/>
                  <w:vAlign w:val="center"/>
                </w:tcPr>
                <w:p w14:paraId="35B93B36">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1E214E7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日常考勤</w:t>
                  </w:r>
                </w:p>
              </w:tc>
              <w:tc>
                <w:tcPr>
                  <w:tcW w:w="1353" w:type="pct"/>
                  <w:noWrap/>
                  <w:vAlign w:val="center"/>
                </w:tcPr>
                <w:p w14:paraId="7ECC5936">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工作时间驻场，在非工作时间远程移动电话响应</w:t>
                  </w:r>
                </w:p>
              </w:tc>
              <w:tc>
                <w:tcPr>
                  <w:tcW w:w="1573" w:type="pct"/>
                  <w:noWrap/>
                  <w:vAlign w:val="center"/>
                </w:tcPr>
                <w:p w14:paraId="008763FB">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发现迟到、早退、旷工、电话无人接听情况，一次扣1分。</w:t>
                  </w:r>
                </w:p>
              </w:tc>
              <w:tc>
                <w:tcPr>
                  <w:tcW w:w="717" w:type="pct"/>
                  <w:noWrap/>
                  <w:vAlign w:val="center"/>
                </w:tcPr>
                <w:p w14:paraId="6513554B">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考勤记录与用户反馈</w:t>
                  </w:r>
                </w:p>
              </w:tc>
              <w:tc>
                <w:tcPr>
                  <w:tcW w:w="368" w:type="pct"/>
                  <w:vMerge w:val="continue"/>
                  <w:noWrap/>
                  <w:vAlign w:val="center"/>
                </w:tcPr>
                <w:p w14:paraId="31BC1888">
                  <w:pPr>
                    <w:pStyle w:val="104"/>
                    <w:jc w:val="center"/>
                    <w:rPr>
                      <w:rFonts w:hint="eastAsia" w:ascii="仿宋_GB2312" w:hAnsi="仿宋" w:eastAsia="仿宋_GB2312" w:cs="宋体"/>
                      <w:color w:val="auto"/>
                      <w:kern w:val="0"/>
                      <w:sz w:val="21"/>
                      <w:szCs w:val="21"/>
                      <w:lang w:val="en-US" w:eastAsia="zh-CN" w:bidi="ar-SA"/>
                    </w:rPr>
                  </w:pPr>
                </w:p>
              </w:tc>
            </w:tr>
            <w:tr w14:paraId="49B9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25" w:type="pct"/>
                  <w:vMerge w:val="continue"/>
                  <w:noWrap/>
                  <w:vAlign w:val="center"/>
                </w:tcPr>
                <w:p w14:paraId="35CD7B05">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26F5351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服务态度</w:t>
                  </w:r>
                </w:p>
              </w:tc>
              <w:tc>
                <w:tcPr>
                  <w:tcW w:w="1353" w:type="pct"/>
                  <w:noWrap/>
                  <w:vAlign w:val="center"/>
                </w:tcPr>
                <w:p w14:paraId="2802E875">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运维人员服务态度端正</w:t>
                  </w:r>
                </w:p>
              </w:tc>
              <w:tc>
                <w:tcPr>
                  <w:tcW w:w="1573" w:type="pct"/>
                  <w:noWrap/>
                  <w:vAlign w:val="center"/>
                </w:tcPr>
                <w:p w14:paraId="129CAB52">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服务态度问题引起投诉的，扣3分/次。</w:t>
                  </w:r>
                </w:p>
              </w:tc>
              <w:tc>
                <w:tcPr>
                  <w:tcW w:w="717" w:type="pct"/>
                  <w:noWrap/>
                  <w:vAlign w:val="center"/>
                </w:tcPr>
                <w:p w14:paraId="1F6521F6">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用户反馈</w:t>
                  </w:r>
                </w:p>
              </w:tc>
              <w:tc>
                <w:tcPr>
                  <w:tcW w:w="368" w:type="pct"/>
                  <w:vMerge w:val="continue"/>
                  <w:noWrap/>
                  <w:vAlign w:val="center"/>
                </w:tcPr>
                <w:p w14:paraId="05D4A48D">
                  <w:pPr>
                    <w:pStyle w:val="104"/>
                    <w:jc w:val="center"/>
                    <w:rPr>
                      <w:rFonts w:hint="eastAsia" w:ascii="仿宋_GB2312" w:hAnsi="仿宋" w:eastAsia="仿宋_GB2312" w:cs="宋体"/>
                      <w:color w:val="auto"/>
                      <w:kern w:val="0"/>
                      <w:sz w:val="21"/>
                      <w:szCs w:val="21"/>
                      <w:lang w:val="en-US" w:eastAsia="zh-CN" w:bidi="ar-SA"/>
                    </w:rPr>
                  </w:pPr>
                </w:p>
              </w:tc>
            </w:tr>
            <w:tr w14:paraId="4BD3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25" w:type="pct"/>
                  <w:vMerge w:val="restart"/>
                  <w:noWrap/>
                  <w:vAlign w:val="center"/>
                </w:tcPr>
                <w:p w14:paraId="67EFB856">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维护质量效率管理</w:t>
                  </w:r>
                </w:p>
                <w:p w14:paraId="727FAE41">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（权重：70%，基准分100分，满分100分）</w:t>
                  </w:r>
                </w:p>
              </w:tc>
              <w:tc>
                <w:tcPr>
                  <w:tcW w:w="461" w:type="pct"/>
                  <w:noWrap/>
                  <w:vAlign w:val="center"/>
                </w:tcPr>
                <w:p w14:paraId="274CECD9">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报修响应、处理</w:t>
                  </w:r>
                </w:p>
              </w:tc>
              <w:tc>
                <w:tcPr>
                  <w:tcW w:w="1353" w:type="pct"/>
                  <w:noWrap/>
                  <w:vAlign w:val="center"/>
                </w:tcPr>
                <w:p w14:paraId="4D2716C6">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所有的报修处理必须在规定的时间内响应、解决。</w:t>
                  </w:r>
                </w:p>
              </w:tc>
              <w:tc>
                <w:tcPr>
                  <w:tcW w:w="1573" w:type="pct"/>
                  <w:noWrap/>
                  <w:vAlign w:val="center"/>
                </w:tcPr>
                <w:p w14:paraId="6FA190E1">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超时一次扣2分/次</w:t>
                  </w:r>
                </w:p>
              </w:tc>
              <w:tc>
                <w:tcPr>
                  <w:tcW w:w="717" w:type="pct"/>
                  <w:noWrap/>
                  <w:vAlign w:val="center"/>
                </w:tcPr>
                <w:p w14:paraId="243FF79C">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用户反馈</w:t>
                  </w:r>
                </w:p>
              </w:tc>
              <w:tc>
                <w:tcPr>
                  <w:tcW w:w="368" w:type="pct"/>
                  <w:vMerge w:val="restart"/>
                  <w:noWrap/>
                  <w:vAlign w:val="center"/>
                </w:tcPr>
                <w:p w14:paraId="450AD67E">
                  <w:pPr>
                    <w:pStyle w:val="104"/>
                    <w:jc w:val="center"/>
                    <w:rPr>
                      <w:rFonts w:hint="eastAsia" w:ascii="仿宋_GB2312" w:hAnsi="仿宋" w:eastAsia="仿宋_GB2312" w:cs="宋体"/>
                      <w:color w:val="auto"/>
                      <w:kern w:val="0"/>
                      <w:sz w:val="21"/>
                      <w:szCs w:val="21"/>
                      <w:lang w:val="en-US" w:eastAsia="zh-CN" w:bidi="ar-SA"/>
                    </w:rPr>
                  </w:pPr>
                </w:p>
              </w:tc>
            </w:tr>
            <w:tr w14:paraId="6A65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25" w:type="pct"/>
                  <w:vMerge w:val="continue"/>
                  <w:noWrap/>
                  <w:vAlign w:val="center"/>
                </w:tcPr>
                <w:p w14:paraId="088EC900">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68C1AB36">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用户满意度</w:t>
                  </w:r>
                </w:p>
              </w:tc>
              <w:tc>
                <w:tcPr>
                  <w:tcW w:w="1353" w:type="pct"/>
                  <w:noWrap/>
                  <w:vAlign w:val="center"/>
                </w:tcPr>
                <w:p w14:paraId="68D228E1">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报修人对服务质量不满意</w:t>
                  </w:r>
                </w:p>
              </w:tc>
              <w:tc>
                <w:tcPr>
                  <w:tcW w:w="1573" w:type="pct"/>
                  <w:noWrap/>
                  <w:vAlign w:val="center"/>
                </w:tcPr>
                <w:p w14:paraId="61774004">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扣3分/次。</w:t>
                  </w:r>
                </w:p>
              </w:tc>
              <w:tc>
                <w:tcPr>
                  <w:tcW w:w="717" w:type="pct"/>
                  <w:noWrap/>
                  <w:vAlign w:val="center"/>
                </w:tcPr>
                <w:p w14:paraId="36DFB218">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用户反馈</w:t>
                  </w:r>
                </w:p>
              </w:tc>
              <w:tc>
                <w:tcPr>
                  <w:tcW w:w="368" w:type="pct"/>
                  <w:vMerge w:val="continue"/>
                  <w:noWrap/>
                  <w:vAlign w:val="center"/>
                </w:tcPr>
                <w:p w14:paraId="3EC017FD">
                  <w:pPr>
                    <w:pStyle w:val="104"/>
                    <w:jc w:val="center"/>
                    <w:rPr>
                      <w:rFonts w:hint="eastAsia" w:ascii="仿宋_GB2312" w:hAnsi="仿宋" w:eastAsia="仿宋_GB2312" w:cs="宋体"/>
                      <w:color w:val="auto"/>
                      <w:kern w:val="0"/>
                      <w:sz w:val="21"/>
                      <w:szCs w:val="21"/>
                      <w:lang w:val="en-US" w:eastAsia="zh-CN" w:bidi="ar-SA"/>
                    </w:rPr>
                  </w:pPr>
                </w:p>
              </w:tc>
            </w:tr>
            <w:tr w14:paraId="6D89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42AA50D2">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1AEB6607">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用户投诉</w:t>
                  </w:r>
                </w:p>
              </w:tc>
              <w:tc>
                <w:tcPr>
                  <w:tcW w:w="1353" w:type="pct"/>
                  <w:noWrap/>
                  <w:vAlign w:val="center"/>
                </w:tcPr>
                <w:p w14:paraId="53B5D6EF">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运维单位在运维过程中不允许出现用户投诉</w:t>
                  </w:r>
                </w:p>
              </w:tc>
              <w:tc>
                <w:tcPr>
                  <w:tcW w:w="1573" w:type="pct"/>
                  <w:noWrap/>
                  <w:vAlign w:val="center"/>
                </w:tcPr>
                <w:p w14:paraId="0203781A">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维护质量被用户投诉的，运维单位扣5分。</w:t>
                  </w:r>
                </w:p>
              </w:tc>
              <w:tc>
                <w:tcPr>
                  <w:tcW w:w="717" w:type="pct"/>
                  <w:noWrap/>
                  <w:vAlign w:val="center"/>
                </w:tcPr>
                <w:p w14:paraId="5A2338C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用户反馈</w:t>
                  </w:r>
                </w:p>
              </w:tc>
              <w:tc>
                <w:tcPr>
                  <w:tcW w:w="368" w:type="pct"/>
                  <w:vMerge w:val="continue"/>
                  <w:noWrap/>
                  <w:vAlign w:val="center"/>
                </w:tcPr>
                <w:p w14:paraId="144671D5">
                  <w:pPr>
                    <w:pStyle w:val="104"/>
                    <w:jc w:val="center"/>
                    <w:rPr>
                      <w:rFonts w:hint="eastAsia" w:ascii="仿宋_GB2312" w:hAnsi="仿宋" w:eastAsia="仿宋_GB2312" w:cs="宋体"/>
                      <w:color w:val="auto"/>
                      <w:kern w:val="0"/>
                      <w:sz w:val="21"/>
                      <w:szCs w:val="21"/>
                      <w:lang w:val="en-US" w:eastAsia="zh-CN" w:bidi="ar-SA"/>
                    </w:rPr>
                  </w:pPr>
                </w:p>
              </w:tc>
            </w:tr>
            <w:tr w14:paraId="14B9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5758EDCC">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09A7858D">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警告次数</w:t>
                  </w:r>
                </w:p>
              </w:tc>
              <w:tc>
                <w:tcPr>
                  <w:tcW w:w="1353" w:type="pct"/>
                  <w:noWrap/>
                  <w:vAlign w:val="center"/>
                </w:tcPr>
                <w:p w14:paraId="7ABB2EE9">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运维单位在维护中应该按照运维管理制度进行维护，不应出现被采购人警告现象</w:t>
                  </w:r>
                </w:p>
              </w:tc>
              <w:tc>
                <w:tcPr>
                  <w:tcW w:w="1573" w:type="pct"/>
                  <w:noWrap/>
                  <w:vAlign w:val="center"/>
                </w:tcPr>
                <w:p w14:paraId="7A03A5CA">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警告一次扣除8分。</w:t>
                  </w:r>
                </w:p>
              </w:tc>
              <w:tc>
                <w:tcPr>
                  <w:tcW w:w="717" w:type="pct"/>
                  <w:noWrap/>
                  <w:vAlign w:val="center"/>
                </w:tcPr>
                <w:p w14:paraId="78FC2E0A">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书面警告文件</w:t>
                  </w:r>
                </w:p>
              </w:tc>
              <w:tc>
                <w:tcPr>
                  <w:tcW w:w="368" w:type="pct"/>
                  <w:vMerge w:val="continue"/>
                  <w:noWrap/>
                  <w:vAlign w:val="center"/>
                </w:tcPr>
                <w:p w14:paraId="7D7F38FB">
                  <w:pPr>
                    <w:pStyle w:val="104"/>
                    <w:jc w:val="center"/>
                    <w:rPr>
                      <w:rFonts w:hint="eastAsia" w:ascii="仿宋_GB2312" w:hAnsi="仿宋" w:eastAsia="仿宋_GB2312" w:cs="宋体"/>
                      <w:color w:val="auto"/>
                      <w:kern w:val="0"/>
                      <w:sz w:val="21"/>
                      <w:szCs w:val="21"/>
                      <w:lang w:val="en-US" w:eastAsia="zh-CN" w:bidi="ar-SA"/>
                    </w:rPr>
                  </w:pPr>
                </w:p>
              </w:tc>
            </w:tr>
            <w:tr w14:paraId="18F8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39AF0F40">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0BE8EB10">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应急保障</w:t>
                  </w:r>
                </w:p>
              </w:tc>
              <w:tc>
                <w:tcPr>
                  <w:tcW w:w="1353" w:type="pct"/>
                  <w:noWrap/>
                  <w:vAlign w:val="center"/>
                </w:tcPr>
                <w:p w14:paraId="018E6C01">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重大活动、突发事件等关键活动保障工作。</w:t>
                  </w:r>
                </w:p>
              </w:tc>
              <w:tc>
                <w:tcPr>
                  <w:tcW w:w="1573" w:type="pct"/>
                  <w:noWrap/>
                  <w:vAlign w:val="center"/>
                </w:tcPr>
                <w:p w14:paraId="4FD215C3">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完成保障工作视情况加5-8分，因维护不到位造成重大活动出现故障扣5-8分。</w:t>
                  </w:r>
                </w:p>
              </w:tc>
              <w:tc>
                <w:tcPr>
                  <w:tcW w:w="717" w:type="pct"/>
                  <w:noWrap/>
                  <w:vAlign w:val="center"/>
                </w:tcPr>
                <w:p w14:paraId="4999CAE8">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应急保障记录</w:t>
                  </w:r>
                </w:p>
              </w:tc>
              <w:tc>
                <w:tcPr>
                  <w:tcW w:w="368" w:type="pct"/>
                  <w:vMerge w:val="continue"/>
                  <w:noWrap/>
                  <w:vAlign w:val="center"/>
                </w:tcPr>
                <w:p w14:paraId="2C0A0F42">
                  <w:pPr>
                    <w:pStyle w:val="104"/>
                    <w:jc w:val="center"/>
                    <w:rPr>
                      <w:rFonts w:hint="eastAsia" w:ascii="仿宋_GB2312" w:hAnsi="仿宋" w:eastAsia="仿宋_GB2312" w:cs="宋体"/>
                      <w:color w:val="auto"/>
                      <w:kern w:val="0"/>
                      <w:sz w:val="21"/>
                      <w:szCs w:val="21"/>
                      <w:lang w:val="en-US" w:eastAsia="zh-CN" w:bidi="ar-SA"/>
                    </w:rPr>
                  </w:pPr>
                </w:p>
              </w:tc>
            </w:tr>
            <w:tr w14:paraId="18A2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01761622">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2A3BBD2B">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发现重大隐患</w:t>
                  </w:r>
                </w:p>
              </w:tc>
              <w:tc>
                <w:tcPr>
                  <w:tcW w:w="1353" w:type="pct"/>
                  <w:noWrap/>
                  <w:vAlign w:val="center"/>
                </w:tcPr>
                <w:p w14:paraId="50D4D18B">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发现及解决重大故障隐患。</w:t>
                  </w:r>
                </w:p>
              </w:tc>
              <w:tc>
                <w:tcPr>
                  <w:tcW w:w="1573" w:type="pct"/>
                  <w:noWrap/>
                  <w:vAlign w:val="center"/>
                </w:tcPr>
                <w:p w14:paraId="0F77AC4F">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每次加3分。</w:t>
                  </w:r>
                </w:p>
              </w:tc>
              <w:tc>
                <w:tcPr>
                  <w:tcW w:w="717" w:type="pct"/>
                  <w:noWrap/>
                  <w:vAlign w:val="center"/>
                </w:tcPr>
                <w:p w14:paraId="7D1A1695">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隐患报告</w:t>
                  </w:r>
                </w:p>
              </w:tc>
              <w:tc>
                <w:tcPr>
                  <w:tcW w:w="368" w:type="pct"/>
                  <w:vMerge w:val="continue"/>
                  <w:noWrap/>
                  <w:vAlign w:val="center"/>
                </w:tcPr>
                <w:p w14:paraId="6CE141B2">
                  <w:pPr>
                    <w:pStyle w:val="104"/>
                    <w:jc w:val="center"/>
                    <w:rPr>
                      <w:rFonts w:hint="eastAsia" w:ascii="仿宋_GB2312" w:hAnsi="仿宋" w:eastAsia="仿宋_GB2312" w:cs="宋体"/>
                      <w:color w:val="auto"/>
                      <w:kern w:val="0"/>
                      <w:sz w:val="21"/>
                      <w:szCs w:val="21"/>
                      <w:lang w:val="en-US" w:eastAsia="zh-CN" w:bidi="ar-SA"/>
                    </w:rPr>
                  </w:pPr>
                </w:p>
              </w:tc>
            </w:tr>
            <w:tr w14:paraId="155C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21E4FED5">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6910FC01">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合理化建议</w:t>
                  </w:r>
                </w:p>
              </w:tc>
              <w:tc>
                <w:tcPr>
                  <w:tcW w:w="1353" w:type="pct"/>
                  <w:noWrap/>
                  <w:vAlign w:val="center"/>
                </w:tcPr>
                <w:p w14:paraId="4BA0AF45">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提出好的维护和优化建议或方案、经采纳并付诸实施取得显著效果。</w:t>
                  </w:r>
                </w:p>
              </w:tc>
              <w:tc>
                <w:tcPr>
                  <w:tcW w:w="1573" w:type="pct"/>
                  <w:noWrap/>
                  <w:vAlign w:val="center"/>
                </w:tcPr>
                <w:p w14:paraId="6E70BC09">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每次加3分。</w:t>
                  </w:r>
                </w:p>
              </w:tc>
              <w:tc>
                <w:tcPr>
                  <w:tcW w:w="717" w:type="pct"/>
                  <w:noWrap/>
                  <w:vAlign w:val="center"/>
                </w:tcPr>
                <w:p w14:paraId="75EA9A88">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建议报告</w:t>
                  </w:r>
                </w:p>
              </w:tc>
              <w:tc>
                <w:tcPr>
                  <w:tcW w:w="368" w:type="pct"/>
                  <w:vMerge w:val="continue"/>
                  <w:noWrap/>
                  <w:vAlign w:val="center"/>
                </w:tcPr>
                <w:p w14:paraId="44373796">
                  <w:pPr>
                    <w:pStyle w:val="104"/>
                    <w:jc w:val="center"/>
                    <w:rPr>
                      <w:rFonts w:hint="eastAsia" w:ascii="仿宋_GB2312" w:hAnsi="仿宋" w:eastAsia="仿宋_GB2312" w:cs="宋体"/>
                      <w:color w:val="auto"/>
                      <w:kern w:val="0"/>
                      <w:sz w:val="21"/>
                      <w:szCs w:val="21"/>
                      <w:lang w:val="en-US" w:eastAsia="zh-CN" w:bidi="ar-SA"/>
                    </w:rPr>
                  </w:pPr>
                </w:p>
              </w:tc>
            </w:tr>
            <w:tr w14:paraId="2BF5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pct"/>
                  <w:vMerge w:val="continue"/>
                  <w:noWrap/>
                  <w:vAlign w:val="center"/>
                </w:tcPr>
                <w:p w14:paraId="10878B20">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3AF0FBB4">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用户表扬</w:t>
                  </w:r>
                </w:p>
              </w:tc>
              <w:tc>
                <w:tcPr>
                  <w:tcW w:w="1353" w:type="pct"/>
                  <w:noWrap/>
                  <w:vAlign w:val="center"/>
                </w:tcPr>
                <w:p w14:paraId="49F50141">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态度积极、圆满完成额外任务、工作量，绩效突出得到客户表扬的。</w:t>
                  </w:r>
                </w:p>
              </w:tc>
              <w:tc>
                <w:tcPr>
                  <w:tcW w:w="1573" w:type="pct"/>
                  <w:noWrap/>
                  <w:vAlign w:val="center"/>
                </w:tcPr>
                <w:p w14:paraId="573E04C9">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每次加5分。</w:t>
                  </w:r>
                </w:p>
              </w:tc>
              <w:tc>
                <w:tcPr>
                  <w:tcW w:w="717" w:type="pct"/>
                  <w:noWrap/>
                  <w:vAlign w:val="center"/>
                </w:tcPr>
                <w:p w14:paraId="014A7BA0">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邮件或纸质文件</w:t>
                  </w:r>
                </w:p>
              </w:tc>
              <w:tc>
                <w:tcPr>
                  <w:tcW w:w="368" w:type="pct"/>
                  <w:vMerge w:val="continue"/>
                  <w:noWrap/>
                  <w:vAlign w:val="center"/>
                </w:tcPr>
                <w:p w14:paraId="21754C1E">
                  <w:pPr>
                    <w:pStyle w:val="104"/>
                    <w:jc w:val="center"/>
                    <w:rPr>
                      <w:rFonts w:hint="eastAsia" w:ascii="仿宋_GB2312" w:hAnsi="仿宋" w:eastAsia="仿宋_GB2312" w:cs="宋体"/>
                      <w:color w:val="auto"/>
                      <w:kern w:val="0"/>
                      <w:sz w:val="21"/>
                      <w:szCs w:val="21"/>
                      <w:lang w:val="en-US" w:eastAsia="zh-CN" w:bidi="ar-SA"/>
                    </w:rPr>
                  </w:pPr>
                </w:p>
              </w:tc>
            </w:tr>
            <w:tr w14:paraId="7547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25" w:type="pct"/>
                  <w:vMerge w:val="continue"/>
                  <w:noWrap/>
                  <w:vAlign w:val="center"/>
                </w:tcPr>
                <w:p w14:paraId="14BAFF59">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64E2AA25">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工作执行</w:t>
                  </w:r>
                </w:p>
              </w:tc>
              <w:tc>
                <w:tcPr>
                  <w:tcW w:w="1353" w:type="pct"/>
                  <w:noWrap/>
                  <w:vAlign w:val="center"/>
                </w:tcPr>
                <w:p w14:paraId="66A64776">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在工作中按照计划进行日常巡检、系统和设备的维护工作。</w:t>
                  </w:r>
                </w:p>
              </w:tc>
              <w:tc>
                <w:tcPr>
                  <w:tcW w:w="1573" w:type="pct"/>
                  <w:noWrap/>
                  <w:vAlign w:val="center"/>
                </w:tcPr>
                <w:p w14:paraId="14105F53">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未按照计划进行日常巡检、维护的每次扣3分。</w:t>
                  </w:r>
                </w:p>
              </w:tc>
              <w:tc>
                <w:tcPr>
                  <w:tcW w:w="717" w:type="pct"/>
                  <w:noWrap/>
                  <w:vAlign w:val="center"/>
                </w:tcPr>
                <w:p w14:paraId="5325A461">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运维记录和巡检记录</w:t>
                  </w:r>
                </w:p>
              </w:tc>
              <w:tc>
                <w:tcPr>
                  <w:tcW w:w="368" w:type="pct"/>
                  <w:vMerge w:val="continue"/>
                  <w:noWrap/>
                  <w:vAlign w:val="center"/>
                </w:tcPr>
                <w:p w14:paraId="6620040A">
                  <w:pPr>
                    <w:pStyle w:val="104"/>
                    <w:jc w:val="center"/>
                    <w:rPr>
                      <w:rFonts w:hint="eastAsia" w:ascii="仿宋_GB2312" w:hAnsi="仿宋" w:eastAsia="仿宋_GB2312" w:cs="宋体"/>
                      <w:color w:val="auto"/>
                      <w:kern w:val="0"/>
                      <w:sz w:val="21"/>
                      <w:szCs w:val="21"/>
                      <w:lang w:val="en-US" w:eastAsia="zh-CN" w:bidi="ar-SA"/>
                    </w:rPr>
                  </w:pPr>
                </w:p>
              </w:tc>
            </w:tr>
            <w:tr w14:paraId="7A25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25" w:type="pct"/>
                  <w:vMerge w:val="continue"/>
                  <w:noWrap/>
                  <w:vAlign w:val="center"/>
                </w:tcPr>
                <w:p w14:paraId="5FD8DEA9">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1DE2E239">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故障跟踪处理</w:t>
                  </w:r>
                </w:p>
              </w:tc>
              <w:tc>
                <w:tcPr>
                  <w:tcW w:w="1353" w:type="pct"/>
                  <w:noWrap/>
                  <w:vAlign w:val="center"/>
                </w:tcPr>
                <w:p w14:paraId="240D5C9B">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运维人员遇到疑难故障时，及时向用户汇报，跟踪直至问题处理完毕。</w:t>
                  </w:r>
                </w:p>
              </w:tc>
              <w:tc>
                <w:tcPr>
                  <w:tcW w:w="1573" w:type="pct"/>
                  <w:noWrap/>
                  <w:vAlign w:val="center"/>
                </w:tcPr>
                <w:p w14:paraId="2FA66D1E">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如果运维人员没有及时汇报、跟进处理问题的，发现一次扣3分。</w:t>
                  </w:r>
                </w:p>
              </w:tc>
              <w:tc>
                <w:tcPr>
                  <w:tcW w:w="717" w:type="pct"/>
                  <w:noWrap/>
                  <w:vAlign w:val="center"/>
                </w:tcPr>
                <w:p w14:paraId="1EB4E454">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主管部门与客户反馈</w:t>
                  </w:r>
                </w:p>
              </w:tc>
              <w:tc>
                <w:tcPr>
                  <w:tcW w:w="368" w:type="pct"/>
                  <w:vMerge w:val="continue"/>
                  <w:noWrap/>
                  <w:vAlign w:val="center"/>
                </w:tcPr>
                <w:p w14:paraId="1CA8287C">
                  <w:pPr>
                    <w:pStyle w:val="104"/>
                    <w:jc w:val="center"/>
                    <w:rPr>
                      <w:rFonts w:hint="eastAsia" w:ascii="仿宋_GB2312" w:hAnsi="仿宋" w:eastAsia="仿宋_GB2312" w:cs="宋体"/>
                      <w:color w:val="auto"/>
                      <w:kern w:val="0"/>
                      <w:sz w:val="21"/>
                      <w:szCs w:val="21"/>
                      <w:lang w:val="en-US" w:eastAsia="zh-CN" w:bidi="ar-SA"/>
                    </w:rPr>
                  </w:pPr>
                </w:p>
              </w:tc>
            </w:tr>
            <w:tr w14:paraId="1795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25" w:type="pct"/>
                  <w:vMerge w:val="continue"/>
                  <w:noWrap/>
                  <w:vAlign w:val="center"/>
                </w:tcPr>
                <w:p w14:paraId="18FC8800">
                  <w:pPr>
                    <w:pStyle w:val="104"/>
                    <w:jc w:val="center"/>
                    <w:rPr>
                      <w:rFonts w:hint="eastAsia" w:ascii="仿宋_GB2312" w:hAnsi="仿宋" w:eastAsia="仿宋_GB2312" w:cs="宋体"/>
                      <w:color w:val="auto"/>
                      <w:kern w:val="0"/>
                      <w:sz w:val="21"/>
                      <w:szCs w:val="21"/>
                      <w:lang w:val="en-US" w:eastAsia="zh-CN" w:bidi="ar-SA"/>
                    </w:rPr>
                  </w:pPr>
                </w:p>
              </w:tc>
              <w:tc>
                <w:tcPr>
                  <w:tcW w:w="461" w:type="pct"/>
                  <w:noWrap/>
                  <w:vAlign w:val="center"/>
                </w:tcPr>
                <w:p w14:paraId="2AFA1E06">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文档管理</w:t>
                  </w:r>
                </w:p>
              </w:tc>
              <w:tc>
                <w:tcPr>
                  <w:tcW w:w="1353" w:type="pct"/>
                  <w:noWrap/>
                  <w:vAlign w:val="center"/>
                </w:tcPr>
                <w:p w14:paraId="585EA498">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运维人员应记载并提交相应运维文档</w:t>
                  </w:r>
                </w:p>
              </w:tc>
              <w:tc>
                <w:tcPr>
                  <w:tcW w:w="1573" w:type="pct"/>
                  <w:noWrap/>
                  <w:vAlign w:val="center"/>
                </w:tcPr>
                <w:p w14:paraId="41DD41F2">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发现没有及时提交或者有错误时，每次扣2分。</w:t>
                  </w:r>
                </w:p>
              </w:tc>
              <w:tc>
                <w:tcPr>
                  <w:tcW w:w="717" w:type="pct"/>
                  <w:noWrap/>
                  <w:vAlign w:val="center"/>
                </w:tcPr>
                <w:p w14:paraId="6037BBE0">
                  <w:pPr>
                    <w:pStyle w:val="104"/>
                    <w:jc w:val="center"/>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文档</w:t>
                  </w:r>
                </w:p>
              </w:tc>
              <w:tc>
                <w:tcPr>
                  <w:tcW w:w="368" w:type="pct"/>
                  <w:vMerge w:val="continue"/>
                  <w:noWrap/>
                  <w:vAlign w:val="center"/>
                </w:tcPr>
                <w:p w14:paraId="552F6DD8">
                  <w:pPr>
                    <w:pStyle w:val="104"/>
                    <w:jc w:val="center"/>
                    <w:rPr>
                      <w:rFonts w:hint="eastAsia" w:ascii="仿宋_GB2312" w:hAnsi="仿宋" w:eastAsia="仿宋_GB2312" w:cs="宋体"/>
                      <w:color w:val="auto"/>
                      <w:kern w:val="0"/>
                      <w:sz w:val="21"/>
                      <w:szCs w:val="21"/>
                      <w:lang w:val="en-US" w:eastAsia="zh-CN" w:bidi="ar-SA"/>
                    </w:rPr>
                  </w:pPr>
                </w:p>
              </w:tc>
            </w:tr>
            <w:tr w14:paraId="0C4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5000" w:type="pct"/>
                  <w:gridSpan w:val="6"/>
                  <w:noWrap/>
                  <w:vAlign w:val="center"/>
                </w:tcPr>
                <w:p w14:paraId="4E040BCC">
                  <w:pPr>
                    <w:pStyle w:val="104"/>
                    <w:rPr>
                      <w:rFonts w:hint="eastAsia" w:ascii="仿宋_GB2312" w:hAnsi="仿宋" w:eastAsia="仿宋_GB2312" w:cs="宋体"/>
                      <w:color w:val="auto"/>
                      <w:kern w:val="0"/>
                      <w:sz w:val="21"/>
                      <w:szCs w:val="21"/>
                      <w:lang w:val="en-US" w:eastAsia="zh-CN" w:bidi="ar-SA"/>
                    </w:rPr>
                  </w:pPr>
                  <w:r>
                    <w:rPr>
                      <w:rFonts w:hint="eastAsia" w:ascii="仿宋_GB2312" w:hAnsi="仿宋" w:eastAsia="仿宋_GB2312" w:cs="宋体"/>
                      <w:color w:val="auto"/>
                      <w:kern w:val="0"/>
                      <w:sz w:val="21"/>
                      <w:szCs w:val="21"/>
                      <w:lang w:val="en-US" w:eastAsia="zh-CN" w:bidi="ar-SA"/>
                    </w:rPr>
                    <w:t>总得分：</w:t>
                  </w:r>
                </w:p>
              </w:tc>
            </w:tr>
          </w:tbl>
          <w:p w14:paraId="130DF084">
            <w:pPr>
              <w:pStyle w:val="48"/>
              <w:tabs>
                <w:tab w:val="left" w:pos="851"/>
              </w:tabs>
              <w:ind w:right="105" w:rightChars="50"/>
              <w:rPr>
                <w:rFonts w:hint="eastAsia" w:ascii="仿宋_GB2312" w:hAnsi="仿宋" w:eastAsia="仿宋_GB2312" w:cs="宋体"/>
                <w:kern w:val="0"/>
                <w:szCs w:val="21"/>
              </w:rPr>
            </w:pPr>
          </w:p>
        </w:tc>
      </w:tr>
      <w:tr w14:paraId="22A6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01FBDAF6">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十二、项目验收</w:t>
            </w:r>
          </w:p>
        </w:tc>
      </w:tr>
      <w:tr w14:paraId="6644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5BD45741">
            <w:pPr>
              <w:widowControl/>
              <w:ind w:right="105" w:rightChars="50" w:firstLine="420" w:firstLineChars="200"/>
              <w:rPr>
                <w:rFonts w:hint="eastAsia" w:ascii="仿宋_GB2312" w:hAnsi="仿宋" w:eastAsia="仿宋_GB2312" w:cs="宋体"/>
                <w:kern w:val="0"/>
                <w:szCs w:val="21"/>
              </w:rPr>
            </w:pPr>
            <w:r>
              <w:rPr>
                <w:rFonts w:hint="eastAsia" w:ascii="仿宋_GB2312" w:hAnsi="仿宋" w:eastAsia="仿宋_GB2312" w:cs="宋体"/>
                <w:kern w:val="0"/>
                <w:szCs w:val="21"/>
              </w:rPr>
              <w:t>本项目资金来源为单位自筹资金，在运维服务期满后，运维服务商提交验收申请函和项目总结报告，由建设方（采购人）、运维服务商和监理服务商会同进行项目验收。</w:t>
            </w:r>
          </w:p>
        </w:tc>
      </w:tr>
      <w:tr w14:paraId="1635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7DC7DCCB">
            <w:pPr>
              <w:ind w:left="105" w:leftChars="50" w:right="105" w:rightChars="50"/>
              <w:rPr>
                <w:rFonts w:hint="eastAsia" w:ascii="仿宋_GB2312" w:hAnsi="宋体" w:eastAsia="仿宋_GB2312"/>
                <w:szCs w:val="21"/>
              </w:rPr>
            </w:pPr>
            <w:r>
              <w:rPr>
                <w:rFonts w:hint="eastAsia" w:ascii="仿宋_GB2312" w:hAnsi="仿宋" w:eastAsia="仿宋_GB2312" w:cs="宋体"/>
                <w:b/>
                <w:bCs/>
                <w:kern w:val="0"/>
                <w:sz w:val="24"/>
                <w:szCs w:val="24"/>
              </w:rPr>
              <w:t>十三、付款方式</w:t>
            </w:r>
          </w:p>
        </w:tc>
      </w:tr>
      <w:tr w14:paraId="195F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vAlign w:val="center"/>
          </w:tcPr>
          <w:p w14:paraId="57207295">
            <w:pPr>
              <w:ind w:left="105" w:leftChars="50" w:right="105" w:rightChars="50" w:firstLine="420" w:firstLineChars="200"/>
              <w:jc w:val="left"/>
              <w:rPr>
                <w:rFonts w:hint="eastAsia" w:ascii="仿宋_GB2312" w:hAnsi="宋体" w:eastAsia="仿宋_GB2312" w:cs="Arial"/>
                <w:szCs w:val="21"/>
              </w:rPr>
            </w:pPr>
            <w:r>
              <w:rPr>
                <w:rFonts w:hint="eastAsia" w:ascii="仿宋_GB2312" w:hAnsi="宋体" w:eastAsia="仿宋_GB2312" w:cs="Arial"/>
                <w:szCs w:val="21"/>
              </w:rPr>
              <w:t>1、本合同签订后</w:t>
            </w:r>
            <w:r>
              <w:rPr>
                <w:rFonts w:hint="eastAsia" w:ascii="仿宋_GB2312" w:hAnsi="宋体" w:eastAsia="仿宋_GB2312" w:cs="Arial"/>
                <w:szCs w:val="21"/>
                <w:u w:val="single"/>
              </w:rPr>
              <w:t>15</w:t>
            </w:r>
            <w:r>
              <w:rPr>
                <w:rFonts w:hint="eastAsia" w:ascii="仿宋_GB2312" w:hAnsi="宋体" w:eastAsia="仿宋_GB2312" w:cs="Arial"/>
                <w:szCs w:val="21"/>
              </w:rPr>
              <w:t>个工作日内，采购人办理支付手续，向运维供应商支付合同总额的</w:t>
            </w:r>
            <w:r>
              <w:rPr>
                <w:rFonts w:hint="eastAsia" w:ascii="仿宋_GB2312" w:hAnsi="宋体" w:eastAsia="仿宋_GB2312" w:cs="Arial"/>
                <w:szCs w:val="21"/>
                <w:u w:val="single"/>
              </w:rPr>
              <w:t xml:space="preserve"> 30 </w:t>
            </w:r>
            <w:r>
              <w:rPr>
                <w:rFonts w:hint="eastAsia" w:ascii="仿宋_GB2312" w:hAnsi="宋体" w:eastAsia="仿宋_GB2312" w:cs="Arial"/>
                <w:szCs w:val="21"/>
              </w:rPr>
              <w:t>%；</w:t>
            </w:r>
          </w:p>
          <w:p w14:paraId="64980C9A">
            <w:pPr>
              <w:ind w:left="105" w:leftChars="50" w:right="105" w:rightChars="50" w:firstLine="420" w:firstLineChars="200"/>
              <w:jc w:val="left"/>
              <w:rPr>
                <w:rFonts w:hint="eastAsia" w:ascii="仿宋_GB2312" w:hAnsi="宋体" w:eastAsia="仿宋_GB2312" w:cs="Arial"/>
                <w:szCs w:val="21"/>
              </w:rPr>
            </w:pPr>
            <w:r>
              <w:rPr>
                <w:rFonts w:hint="eastAsia" w:ascii="仿宋_GB2312" w:eastAsia="仿宋_GB2312"/>
                <w:szCs w:val="21"/>
              </w:rPr>
              <w:t>2、服务期到达</w:t>
            </w:r>
            <w:r>
              <w:rPr>
                <w:rFonts w:hint="eastAsia" w:ascii="仿宋_GB2312" w:eastAsia="仿宋_GB2312"/>
                <w:szCs w:val="21"/>
                <w:u w:val="single"/>
              </w:rPr>
              <w:t>6</w:t>
            </w:r>
            <w:r>
              <w:rPr>
                <w:rFonts w:hint="eastAsia" w:ascii="仿宋_GB2312" w:eastAsia="仿宋_GB2312"/>
                <w:szCs w:val="21"/>
              </w:rPr>
              <w:t>个月</w:t>
            </w:r>
            <w:r>
              <w:rPr>
                <w:rFonts w:hint="eastAsia" w:ascii="仿宋_GB2312" w:hAnsi="宋体" w:eastAsia="仿宋_GB2312" w:cs="Arial"/>
                <w:szCs w:val="21"/>
              </w:rPr>
              <w:t>后，</w:t>
            </w:r>
            <w:r>
              <w:rPr>
                <w:rFonts w:hint="eastAsia" w:ascii="仿宋_GB2312" w:hAnsi="宋体" w:eastAsia="仿宋_GB2312" w:cs="Arial"/>
                <w:szCs w:val="21"/>
                <w:u w:val="single"/>
              </w:rPr>
              <w:t xml:space="preserve"> 10 </w:t>
            </w:r>
            <w:r>
              <w:rPr>
                <w:rFonts w:hint="eastAsia" w:ascii="仿宋_GB2312" w:hAnsi="宋体" w:eastAsia="仿宋_GB2312" w:cs="Arial"/>
                <w:szCs w:val="21"/>
              </w:rPr>
              <w:t>个工作日内，向运维供应商支付合同总额的</w:t>
            </w:r>
            <w:r>
              <w:rPr>
                <w:rFonts w:hint="eastAsia" w:ascii="仿宋_GB2312" w:hAnsi="宋体" w:eastAsia="仿宋_GB2312" w:cs="Arial"/>
                <w:szCs w:val="21"/>
                <w:u w:val="single"/>
              </w:rPr>
              <w:t xml:space="preserve"> 25 </w:t>
            </w:r>
            <w:r>
              <w:rPr>
                <w:rFonts w:hint="eastAsia" w:ascii="仿宋_GB2312" w:hAnsi="宋体" w:eastAsia="仿宋_GB2312" w:cs="Arial"/>
                <w:szCs w:val="21"/>
              </w:rPr>
              <w:t>%；</w:t>
            </w:r>
          </w:p>
          <w:p w14:paraId="57F0D8FA">
            <w:pPr>
              <w:ind w:left="105" w:leftChars="50" w:right="105" w:rightChars="50" w:firstLine="420" w:firstLineChars="200"/>
              <w:jc w:val="left"/>
              <w:rPr>
                <w:rFonts w:hint="eastAsia" w:ascii="仿宋_GB2312" w:hAnsi="宋体" w:eastAsia="仿宋_GB2312" w:cs="Arial"/>
                <w:szCs w:val="21"/>
              </w:rPr>
            </w:pPr>
            <w:r>
              <w:rPr>
                <w:rFonts w:hint="eastAsia" w:ascii="仿宋_GB2312" w:eastAsia="仿宋_GB2312"/>
                <w:szCs w:val="21"/>
              </w:rPr>
              <w:t>3、服务期到达</w:t>
            </w:r>
            <w:r>
              <w:rPr>
                <w:rFonts w:hint="eastAsia" w:ascii="仿宋_GB2312" w:eastAsia="仿宋_GB2312"/>
                <w:szCs w:val="21"/>
                <w:u w:val="single"/>
              </w:rPr>
              <w:t>9</w:t>
            </w:r>
            <w:r>
              <w:rPr>
                <w:rFonts w:hint="eastAsia" w:ascii="仿宋_GB2312" w:eastAsia="仿宋_GB2312"/>
                <w:szCs w:val="21"/>
              </w:rPr>
              <w:t>个月</w:t>
            </w:r>
            <w:r>
              <w:rPr>
                <w:rFonts w:hint="eastAsia" w:ascii="仿宋_GB2312" w:hAnsi="宋体" w:eastAsia="仿宋_GB2312" w:cs="Arial"/>
                <w:szCs w:val="21"/>
              </w:rPr>
              <w:t>后，</w:t>
            </w:r>
            <w:r>
              <w:rPr>
                <w:rFonts w:hint="eastAsia" w:ascii="仿宋_GB2312" w:hAnsi="宋体" w:eastAsia="仿宋_GB2312" w:cs="Arial"/>
                <w:szCs w:val="21"/>
                <w:u w:val="single"/>
              </w:rPr>
              <w:t xml:space="preserve"> 10 </w:t>
            </w:r>
            <w:r>
              <w:rPr>
                <w:rFonts w:hint="eastAsia" w:ascii="仿宋_GB2312" w:hAnsi="宋体" w:eastAsia="仿宋_GB2312" w:cs="Arial"/>
                <w:szCs w:val="21"/>
              </w:rPr>
              <w:t>个工作日内，向运维供应商支付合同总额的</w:t>
            </w:r>
            <w:r>
              <w:rPr>
                <w:rFonts w:hint="eastAsia" w:ascii="仿宋_GB2312" w:hAnsi="宋体" w:eastAsia="仿宋_GB2312" w:cs="Arial"/>
                <w:szCs w:val="21"/>
                <w:u w:val="single"/>
              </w:rPr>
              <w:t xml:space="preserve"> 25 </w:t>
            </w:r>
            <w:r>
              <w:rPr>
                <w:rFonts w:hint="eastAsia" w:ascii="仿宋_GB2312" w:hAnsi="宋体" w:eastAsia="仿宋_GB2312" w:cs="Arial"/>
                <w:szCs w:val="21"/>
              </w:rPr>
              <w:t>%；</w:t>
            </w:r>
          </w:p>
          <w:p w14:paraId="69C7C61E">
            <w:pPr>
              <w:ind w:left="105" w:leftChars="50" w:right="105" w:rightChars="50" w:firstLine="420" w:firstLineChars="200"/>
              <w:jc w:val="left"/>
              <w:rPr>
                <w:rFonts w:hint="eastAsia" w:ascii="仿宋_GB2312" w:hAnsi="宋体" w:eastAsia="仿宋_GB2312"/>
                <w:szCs w:val="21"/>
              </w:rPr>
            </w:pPr>
            <w:r>
              <w:rPr>
                <w:rFonts w:hint="eastAsia" w:ascii="仿宋_GB2312" w:eastAsia="仿宋_GB2312"/>
                <w:szCs w:val="21"/>
              </w:rPr>
              <w:t>4、</w:t>
            </w:r>
            <w:r>
              <w:rPr>
                <w:rFonts w:hint="eastAsia" w:ascii="仿宋_GB2312" w:hAnsi="Arial" w:eastAsia="仿宋_GB2312" w:cs="Arial"/>
                <w:szCs w:val="21"/>
              </w:rPr>
              <w:t>服务期满并通过项目合同</w:t>
            </w:r>
            <w:r>
              <w:rPr>
                <w:rFonts w:hint="eastAsia" w:ascii="仿宋_GB2312" w:hAnsi="宋体" w:eastAsia="仿宋_GB2312" w:cs="宋体"/>
                <w:kern w:val="0"/>
                <w:szCs w:val="21"/>
              </w:rPr>
              <w:t>验收</w:t>
            </w:r>
            <w:r>
              <w:rPr>
                <w:rFonts w:hint="eastAsia" w:ascii="仿宋_GB2312" w:hAnsi="宋体" w:eastAsia="仿宋_GB2312" w:cs="Arial"/>
                <w:szCs w:val="21"/>
              </w:rPr>
              <w:t>，向运维供应商支付合同总额的</w:t>
            </w:r>
            <w:r>
              <w:rPr>
                <w:rFonts w:hint="eastAsia" w:ascii="仿宋_GB2312" w:hAnsi="宋体" w:eastAsia="仿宋_GB2312" w:cs="Arial"/>
                <w:szCs w:val="21"/>
                <w:u w:val="single"/>
              </w:rPr>
              <w:t xml:space="preserve"> 20 </w:t>
            </w:r>
            <w:r>
              <w:rPr>
                <w:rFonts w:hint="eastAsia" w:ascii="仿宋_GB2312" w:hAnsi="宋体" w:eastAsia="仿宋_GB2312" w:cs="Arial"/>
                <w:szCs w:val="21"/>
              </w:rPr>
              <w:t>%；</w:t>
            </w:r>
          </w:p>
          <w:p w14:paraId="04A3D3F8">
            <w:pPr>
              <w:ind w:left="105" w:leftChars="50" w:right="105" w:rightChars="50" w:firstLine="420" w:firstLineChars="200"/>
              <w:jc w:val="left"/>
              <w:rPr>
                <w:rFonts w:hint="eastAsia" w:ascii="仿宋_GB2312" w:hAnsi="宋体" w:eastAsia="仿宋_GB2312" w:cs="Arial"/>
                <w:szCs w:val="21"/>
              </w:rPr>
            </w:pPr>
            <w:r>
              <w:rPr>
                <w:rFonts w:hint="eastAsia" w:ascii="仿宋_GB2312" w:eastAsia="仿宋_GB2312"/>
                <w:szCs w:val="21"/>
              </w:rPr>
              <w:t>5、</w:t>
            </w:r>
            <w:r>
              <w:rPr>
                <w:rFonts w:hint="eastAsia" w:ascii="仿宋_GB2312" w:hAnsi="宋体" w:eastAsia="仿宋_GB2312" w:cs="Arial"/>
                <w:szCs w:val="21"/>
              </w:rPr>
              <w:t>达到支付条件后，运维服务商须在采购人办理付款手续之前7个工作日内，提供等额的正式发票给采购人，以便采购人办理付款手续。</w:t>
            </w:r>
          </w:p>
          <w:p w14:paraId="57958364">
            <w:pPr>
              <w:ind w:left="105" w:leftChars="50" w:right="105" w:rightChars="50" w:firstLine="420" w:firstLineChars="200"/>
              <w:jc w:val="left"/>
              <w:rPr>
                <w:rFonts w:hint="eastAsia" w:ascii="仿宋_GB2312" w:hAnsi="宋体" w:eastAsia="仿宋_GB2312" w:cs="Arial"/>
                <w:szCs w:val="21"/>
              </w:rPr>
            </w:pPr>
            <w:r>
              <w:rPr>
                <w:rFonts w:hint="eastAsia" w:ascii="仿宋_GB2312" w:hAnsi="宋体" w:eastAsia="仿宋_GB2312" w:cs="Arial"/>
                <w:szCs w:val="21"/>
              </w:rPr>
              <w:t>6、实际支付额度与服务绩效考核挂钩，项目绩效考核方案详见“十一、项目考核要求”。</w:t>
            </w:r>
          </w:p>
        </w:tc>
      </w:tr>
      <w:bookmarkEnd w:id="0"/>
      <w:bookmarkEnd w:id="1"/>
      <w:bookmarkEnd w:id="2"/>
      <w:bookmarkEnd w:id="3"/>
      <w:bookmarkEnd w:id="4"/>
      <w:bookmarkEnd w:id="5"/>
      <w:bookmarkEnd w:id="6"/>
      <w:bookmarkEnd w:id="7"/>
    </w:tbl>
    <w:p w14:paraId="4E9C711D">
      <w:pPr>
        <w:rPr>
          <w:rFonts w:ascii="仿宋_GB2312" w:hAnsi="Arial" w:eastAsia="仿宋_GB2312" w:cs="Arial"/>
          <w:szCs w:val="21"/>
        </w:rPr>
      </w:pPr>
    </w:p>
    <w:sectPr>
      <w:footerReference r:id="rId4" w:type="first"/>
      <w:footerReference r:id="rId3" w:type="default"/>
      <w:pgSz w:w="11907" w:h="16840"/>
      <w:pgMar w:top="1440" w:right="1800" w:bottom="1440" w:left="1800" w:header="737" w:footer="567" w:gutter="0"/>
      <w:pgBorders>
        <w:top w:val="none" w:sz="0" w:space="0"/>
        <w:left w:val="none" w:sz="0" w:space="0"/>
        <w:bottom w:val="none" w:sz="0" w:space="0"/>
        <w:right w:val="none" w:sz="0" w:space="0"/>
      </w:pgBorders>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DA3A">
    <w:pPr>
      <w:pStyle w:val="15"/>
      <w:jc w:val="center"/>
    </w:pPr>
    <w:r>
      <w:fldChar w:fldCharType="begin"/>
    </w:r>
    <w:r>
      <w:instrText xml:space="preserve"> PAGE   \* MERGEFORMAT </w:instrText>
    </w:r>
    <w:r>
      <w:fldChar w:fldCharType="separate"/>
    </w:r>
    <w:r>
      <w:rPr>
        <w:lang w:val="zh-CN"/>
      </w:rP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6D50">
    <w:pPr>
      <w:pStyle w:val="15"/>
      <w:jc w:val="center"/>
    </w:pPr>
    <w:r>
      <w:fldChar w:fldCharType="begin"/>
    </w:r>
    <w:r>
      <w:instrText xml:space="preserve"> PAGE   \* MERGEFORMAT </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5A22C"/>
    <w:multiLevelType w:val="singleLevel"/>
    <w:tmpl w:val="9D25A22C"/>
    <w:lvl w:ilvl="0" w:tentative="0">
      <w:start w:val="1"/>
      <w:numFmt w:val="bullet"/>
      <w:lvlText w:val=""/>
      <w:lvlJc w:val="left"/>
      <w:pPr>
        <w:ind w:left="420" w:hanging="420"/>
      </w:pPr>
      <w:rPr>
        <w:rFonts w:hint="default" w:ascii="Wingdings" w:hAnsi="Wingdings"/>
      </w:rPr>
    </w:lvl>
  </w:abstractNum>
  <w:abstractNum w:abstractNumId="1">
    <w:nsid w:val="E46ADB64"/>
    <w:multiLevelType w:val="singleLevel"/>
    <w:tmpl w:val="E46ADB64"/>
    <w:lvl w:ilvl="0" w:tentative="0">
      <w:start w:val="1"/>
      <w:numFmt w:val="decimal"/>
      <w:suff w:val="nothing"/>
      <w:lvlText w:val="%1、"/>
      <w:lvlJc w:val="left"/>
    </w:lvl>
  </w:abstractNum>
  <w:abstractNum w:abstractNumId="2">
    <w:nsid w:val="0DB986D8"/>
    <w:multiLevelType w:val="singleLevel"/>
    <w:tmpl w:val="0DB986D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wZDI3OTAwMjc0MjY2OWU2ODBkMDMyZTUzOGNhOWYifQ=="/>
  </w:docVars>
  <w:rsids>
    <w:rsidRoot w:val="00C571DC"/>
    <w:rsid w:val="00001129"/>
    <w:rsid w:val="00011BD2"/>
    <w:rsid w:val="000124F2"/>
    <w:rsid w:val="00015756"/>
    <w:rsid w:val="00017234"/>
    <w:rsid w:val="00030B7E"/>
    <w:rsid w:val="00071009"/>
    <w:rsid w:val="000B1328"/>
    <w:rsid w:val="000B350F"/>
    <w:rsid w:val="000D1254"/>
    <w:rsid w:val="000D2824"/>
    <w:rsid w:val="00115983"/>
    <w:rsid w:val="00133A39"/>
    <w:rsid w:val="00150FF8"/>
    <w:rsid w:val="001531AF"/>
    <w:rsid w:val="001600F3"/>
    <w:rsid w:val="00162378"/>
    <w:rsid w:val="001673B4"/>
    <w:rsid w:val="00194BC9"/>
    <w:rsid w:val="001A0A46"/>
    <w:rsid w:val="001A384D"/>
    <w:rsid w:val="001A6B46"/>
    <w:rsid w:val="001C2AC8"/>
    <w:rsid w:val="001D1369"/>
    <w:rsid w:val="001E1FF3"/>
    <w:rsid w:val="001F0BA4"/>
    <w:rsid w:val="001F5727"/>
    <w:rsid w:val="002056C8"/>
    <w:rsid w:val="002121A7"/>
    <w:rsid w:val="00225199"/>
    <w:rsid w:val="00227591"/>
    <w:rsid w:val="00236406"/>
    <w:rsid w:val="0024332C"/>
    <w:rsid w:val="00245CAB"/>
    <w:rsid w:val="00247C36"/>
    <w:rsid w:val="0025395F"/>
    <w:rsid w:val="00265122"/>
    <w:rsid w:val="0027737F"/>
    <w:rsid w:val="00282E1F"/>
    <w:rsid w:val="00284654"/>
    <w:rsid w:val="002B58E6"/>
    <w:rsid w:val="002B71D4"/>
    <w:rsid w:val="002D6186"/>
    <w:rsid w:val="00303D8B"/>
    <w:rsid w:val="00312689"/>
    <w:rsid w:val="00314FB3"/>
    <w:rsid w:val="00330645"/>
    <w:rsid w:val="00330990"/>
    <w:rsid w:val="0034165D"/>
    <w:rsid w:val="00343A48"/>
    <w:rsid w:val="003468A2"/>
    <w:rsid w:val="003916DB"/>
    <w:rsid w:val="003A3F38"/>
    <w:rsid w:val="003A4588"/>
    <w:rsid w:val="003A6D04"/>
    <w:rsid w:val="003C1B69"/>
    <w:rsid w:val="003D7B83"/>
    <w:rsid w:val="003E0E08"/>
    <w:rsid w:val="003E4F00"/>
    <w:rsid w:val="00402985"/>
    <w:rsid w:val="004169EE"/>
    <w:rsid w:val="00426172"/>
    <w:rsid w:val="004302F7"/>
    <w:rsid w:val="004334A0"/>
    <w:rsid w:val="00435900"/>
    <w:rsid w:val="00457945"/>
    <w:rsid w:val="00464494"/>
    <w:rsid w:val="0047364C"/>
    <w:rsid w:val="004750CC"/>
    <w:rsid w:val="00485950"/>
    <w:rsid w:val="00487682"/>
    <w:rsid w:val="004A6A66"/>
    <w:rsid w:val="004A6C2B"/>
    <w:rsid w:val="004B4485"/>
    <w:rsid w:val="004C331A"/>
    <w:rsid w:val="004D3686"/>
    <w:rsid w:val="004D7DE7"/>
    <w:rsid w:val="004F49ED"/>
    <w:rsid w:val="004F6FEA"/>
    <w:rsid w:val="005222CB"/>
    <w:rsid w:val="0053719D"/>
    <w:rsid w:val="0055677D"/>
    <w:rsid w:val="005571CF"/>
    <w:rsid w:val="00565065"/>
    <w:rsid w:val="005767E2"/>
    <w:rsid w:val="005B3C30"/>
    <w:rsid w:val="005C08E3"/>
    <w:rsid w:val="005C1B04"/>
    <w:rsid w:val="005E2322"/>
    <w:rsid w:val="005E423E"/>
    <w:rsid w:val="005F5688"/>
    <w:rsid w:val="0062235E"/>
    <w:rsid w:val="00623D4C"/>
    <w:rsid w:val="00626919"/>
    <w:rsid w:val="00632EFD"/>
    <w:rsid w:val="00637B1A"/>
    <w:rsid w:val="00643D4F"/>
    <w:rsid w:val="0064655D"/>
    <w:rsid w:val="0065374D"/>
    <w:rsid w:val="00653A5E"/>
    <w:rsid w:val="00674EF5"/>
    <w:rsid w:val="00682C38"/>
    <w:rsid w:val="006865FD"/>
    <w:rsid w:val="00686DF3"/>
    <w:rsid w:val="00693734"/>
    <w:rsid w:val="00694A70"/>
    <w:rsid w:val="006954B8"/>
    <w:rsid w:val="006A45DA"/>
    <w:rsid w:val="006B2BFF"/>
    <w:rsid w:val="006D1062"/>
    <w:rsid w:val="00705A75"/>
    <w:rsid w:val="00710321"/>
    <w:rsid w:val="00710FBD"/>
    <w:rsid w:val="00722102"/>
    <w:rsid w:val="00724B95"/>
    <w:rsid w:val="00736361"/>
    <w:rsid w:val="00741548"/>
    <w:rsid w:val="007439FE"/>
    <w:rsid w:val="00744F96"/>
    <w:rsid w:val="00750BAA"/>
    <w:rsid w:val="00751C8F"/>
    <w:rsid w:val="007560AD"/>
    <w:rsid w:val="007858DD"/>
    <w:rsid w:val="0079293F"/>
    <w:rsid w:val="00794D77"/>
    <w:rsid w:val="00795335"/>
    <w:rsid w:val="007A2A0C"/>
    <w:rsid w:val="007C003B"/>
    <w:rsid w:val="007D01D9"/>
    <w:rsid w:val="007F3171"/>
    <w:rsid w:val="007F600B"/>
    <w:rsid w:val="0080374E"/>
    <w:rsid w:val="008116BD"/>
    <w:rsid w:val="0085423B"/>
    <w:rsid w:val="0086414E"/>
    <w:rsid w:val="00880D69"/>
    <w:rsid w:val="00885563"/>
    <w:rsid w:val="00896284"/>
    <w:rsid w:val="008A174E"/>
    <w:rsid w:val="008E0F4F"/>
    <w:rsid w:val="008E6948"/>
    <w:rsid w:val="008F2D80"/>
    <w:rsid w:val="009103AE"/>
    <w:rsid w:val="009145E8"/>
    <w:rsid w:val="009204A7"/>
    <w:rsid w:val="00934DF2"/>
    <w:rsid w:val="00935F2C"/>
    <w:rsid w:val="009551E9"/>
    <w:rsid w:val="00956ACB"/>
    <w:rsid w:val="0097220E"/>
    <w:rsid w:val="00976903"/>
    <w:rsid w:val="009868A2"/>
    <w:rsid w:val="00997F4F"/>
    <w:rsid w:val="009A18DD"/>
    <w:rsid w:val="009A1EFB"/>
    <w:rsid w:val="009E5457"/>
    <w:rsid w:val="009F47D1"/>
    <w:rsid w:val="00A07174"/>
    <w:rsid w:val="00A3321E"/>
    <w:rsid w:val="00A47160"/>
    <w:rsid w:val="00A703A1"/>
    <w:rsid w:val="00A72296"/>
    <w:rsid w:val="00A74559"/>
    <w:rsid w:val="00A82C58"/>
    <w:rsid w:val="00A875C1"/>
    <w:rsid w:val="00A91BDE"/>
    <w:rsid w:val="00AA2DC8"/>
    <w:rsid w:val="00AB23A6"/>
    <w:rsid w:val="00AB2ACD"/>
    <w:rsid w:val="00AB3526"/>
    <w:rsid w:val="00AB5D1E"/>
    <w:rsid w:val="00AB7AC8"/>
    <w:rsid w:val="00AC2880"/>
    <w:rsid w:val="00AC548E"/>
    <w:rsid w:val="00AD1440"/>
    <w:rsid w:val="00AE12D2"/>
    <w:rsid w:val="00AE4DA8"/>
    <w:rsid w:val="00B026FF"/>
    <w:rsid w:val="00B04366"/>
    <w:rsid w:val="00B17BF5"/>
    <w:rsid w:val="00B43A00"/>
    <w:rsid w:val="00B45D7C"/>
    <w:rsid w:val="00B83BBB"/>
    <w:rsid w:val="00BA12A3"/>
    <w:rsid w:val="00BA47E3"/>
    <w:rsid w:val="00BA5531"/>
    <w:rsid w:val="00BB1992"/>
    <w:rsid w:val="00BC6F55"/>
    <w:rsid w:val="00BD3E70"/>
    <w:rsid w:val="00BE2CFE"/>
    <w:rsid w:val="00BE5107"/>
    <w:rsid w:val="00C1198B"/>
    <w:rsid w:val="00C21137"/>
    <w:rsid w:val="00C27BE8"/>
    <w:rsid w:val="00C44896"/>
    <w:rsid w:val="00C50462"/>
    <w:rsid w:val="00C55F87"/>
    <w:rsid w:val="00C571DC"/>
    <w:rsid w:val="00C61FF3"/>
    <w:rsid w:val="00C629E3"/>
    <w:rsid w:val="00C804DE"/>
    <w:rsid w:val="00C9786D"/>
    <w:rsid w:val="00CA71A4"/>
    <w:rsid w:val="00CB57C7"/>
    <w:rsid w:val="00CE10CA"/>
    <w:rsid w:val="00CF152B"/>
    <w:rsid w:val="00CF158F"/>
    <w:rsid w:val="00CF67B3"/>
    <w:rsid w:val="00D210EE"/>
    <w:rsid w:val="00D323A4"/>
    <w:rsid w:val="00D3280B"/>
    <w:rsid w:val="00D42C8A"/>
    <w:rsid w:val="00D52F90"/>
    <w:rsid w:val="00D66ADC"/>
    <w:rsid w:val="00D82B57"/>
    <w:rsid w:val="00D8305E"/>
    <w:rsid w:val="00D83722"/>
    <w:rsid w:val="00D87ACC"/>
    <w:rsid w:val="00DA7687"/>
    <w:rsid w:val="00DC73AF"/>
    <w:rsid w:val="00DD37E8"/>
    <w:rsid w:val="00DD768A"/>
    <w:rsid w:val="00DE130D"/>
    <w:rsid w:val="00DE63A2"/>
    <w:rsid w:val="00E0194B"/>
    <w:rsid w:val="00E10A9B"/>
    <w:rsid w:val="00E16215"/>
    <w:rsid w:val="00E1793D"/>
    <w:rsid w:val="00E2139E"/>
    <w:rsid w:val="00E27A5B"/>
    <w:rsid w:val="00E35888"/>
    <w:rsid w:val="00E36820"/>
    <w:rsid w:val="00E43A72"/>
    <w:rsid w:val="00E60051"/>
    <w:rsid w:val="00EB370A"/>
    <w:rsid w:val="00EF3DA1"/>
    <w:rsid w:val="00EF45C7"/>
    <w:rsid w:val="00F04225"/>
    <w:rsid w:val="00F0799E"/>
    <w:rsid w:val="00F13BDE"/>
    <w:rsid w:val="00F23090"/>
    <w:rsid w:val="00F26D08"/>
    <w:rsid w:val="00F27BB7"/>
    <w:rsid w:val="00F362F5"/>
    <w:rsid w:val="00F36FFE"/>
    <w:rsid w:val="00F403F8"/>
    <w:rsid w:val="00F42647"/>
    <w:rsid w:val="00F45A08"/>
    <w:rsid w:val="00F53C53"/>
    <w:rsid w:val="00F85C35"/>
    <w:rsid w:val="00F8767C"/>
    <w:rsid w:val="00FE231B"/>
    <w:rsid w:val="00FE629F"/>
    <w:rsid w:val="01BA53D8"/>
    <w:rsid w:val="02D577FE"/>
    <w:rsid w:val="02DA6C7E"/>
    <w:rsid w:val="02F46290"/>
    <w:rsid w:val="03850815"/>
    <w:rsid w:val="03A7303A"/>
    <w:rsid w:val="03B359E7"/>
    <w:rsid w:val="03F36D0A"/>
    <w:rsid w:val="043C7054"/>
    <w:rsid w:val="04871667"/>
    <w:rsid w:val="04BB312A"/>
    <w:rsid w:val="04CF72D7"/>
    <w:rsid w:val="05320DE9"/>
    <w:rsid w:val="076B603C"/>
    <w:rsid w:val="076C21C9"/>
    <w:rsid w:val="07717F46"/>
    <w:rsid w:val="07B8197C"/>
    <w:rsid w:val="089E6732"/>
    <w:rsid w:val="0AB34550"/>
    <w:rsid w:val="0B087AA5"/>
    <w:rsid w:val="0B973E91"/>
    <w:rsid w:val="0BBB5002"/>
    <w:rsid w:val="0BF26547"/>
    <w:rsid w:val="0D1C1ED2"/>
    <w:rsid w:val="0D3A7376"/>
    <w:rsid w:val="0D66059A"/>
    <w:rsid w:val="0D6B27A0"/>
    <w:rsid w:val="0D845C3B"/>
    <w:rsid w:val="0E6D0C0B"/>
    <w:rsid w:val="0EC87609"/>
    <w:rsid w:val="0EF044E3"/>
    <w:rsid w:val="0F22480E"/>
    <w:rsid w:val="0F783BA0"/>
    <w:rsid w:val="0FC22C67"/>
    <w:rsid w:val="117E1047"/>
    <w:rsid w:val="120D32C2"/>
    <w:rsid w:val="12295A49"/>
    <w:rsid w:val="13573157"/>
    <w:rsid w:val="13D23F67"/>
    <w:rsid w:val="14934820"/>
    <w:rsid w:val="14B40070"/>
    <w:rsid w:val="154C23DA"/>
    <w:rsid w:val="156F0D0C"/>
    <w:rsid w:val="15A93017"/>
    <w:rsid w:val="16DD3606"/>
    <w:rsid w:val="19396CF7"/>
    <w:rsid w:val="1C1F74C9"/>
    <w:rsid w:val="1CED0EA9"/>
    <w:rsid w:val="1D0B580F"/>
    <w:rsid w:val="1DB02195"/>
    <w:rsid w:val="1F051C6F"/>
    <w:rsid w:val="1F066139"/>
    <w:rsid w:val="1F871502"/>
    <w:rsid w:val="20104DC5"/>
    <w:rsid w:val="21525778"/>
    <w:rsid w:val="21D02B89"/>
    <w:rsid w:val="22D34965"/>
    <w:rsid w:val="22F96708"/>
    <w:rsid w:val="230C13E6"/>
    <w:rsid w:val="243A6C89"/>
    <w:rsid w:val="2458767B"/>
    <w:rsid w:val="24FF5D67"/>
    <w:rsid w:val="26282678"/>
    <w:rsid w:val="267A034B"/>
    <w:rsid w:val="271228E4"/>
    <w:rsid w:val="279F35CF"/>
    <w:rsid w:val="27F36E76"/>
    <w:rsid w:val="29C3481C"/>
    <w:rsid w:val="2A021BF3"/>
    <w:rsid w:val="2A0240FC"/>
    <w:rsid w:val="2A5A4FB3"/>
    <w:rsid w:val="2C470D0C"/>
    <w:rsid w:val="2C862667"/>
    <w:rsid w:val="2DC317A3"/>
    <w:rsid w:val="30E77F6E"/>
    <w:rsid w:val="311A18CA"/>
    <w:rsid w:val="31973287"/>
    <w:rsid w:val="320873EF"/>
    <w:rsid w:val="327A67B2"/>
    <w:rsid w:val="33333E69"/>
    <w:rsid w:val="334A217E"/>
    <w:rsid w:val="3397616B"/>
    <w:rsid w:val="34EB5A9A"/>
    <w:rsid w:val="350E11CE"/>
    <w:rsid w:val="359C1E05"/>
    <w:rsid w:val="35DF02EF"/>
    <w:rsid w:val="36184A1B"/>
    <w:rsid w:val="36794A56"/>
    <w:rsid w:val="369C16EF"/>
    <w:rsid w:val="36DC1AFB"/>
    <w:rsid w:val="376A1F7C"/>
    <w:rsid w:val="388D7E50"/>
    <w:rsid w:val="3A9C4F34"/>
    <w:rsid w:val="3BAC4273"/>
    <w:rsid w:val="3CBB4430"/>
    <w:rsid w:val="3DDD5B46"/>
    <w:rsid w:val="3DEE31C5"/>
    <w:rsid w:val="3E2E7F06"/>
    <w:rsid w:val="3ECA4A08"/>
    <w:rsid w:val="40637093"/>
    <w:rsid w:val="40A927B4"/>
    <w:rsid w:val="40EA22CA"/>
    <w:rsid w:val="41904238"/>
    <w:rsid w:val="42C03C12"/>
    <w:rsid w:val="42D31F27"/>
    <w:rsid w:val="44174342"/>
    <w:rsid w:val="44E24DC9"/>
    <w:rsid w:val="461C2D23"/>
    <w:rsid w:val="46F53476"/>
    <w:rsid w:val="47847519"/>
    <w:rsid w:val="49736A68"/>
    <w:rsid w:val="49A3785C"/>
    <w:rsid w:val="49A90BB9"/>
    <w:rsid w:val="49EF2461"/>
    <w:rsid w:val="4C96791F"/>
    <w:rsid w:val="4CA42F73"/>
    <w:rsid w:val="4D950505"/>
    <w:rsid w:val="4EBA4FED"/>
    <w:rsid w:val="500A7081"/>
    <w:rsid w:val="501C5748"/>
    <w:rsid w:val="504F6B5E"/>
    <w:rsid w:val="513C2E56"/>
    <w:rsid w:val="52A71FEF"/>
    <w:rsid w:val="52E67912"/>
    <w:rsid w:val="542625A0"/>
    <w:rsid w:val="543E7C47"/>
    <w:rsid w:val="54EC02BA"/>
    <w:rsid w:val="55FD1411"/>
    <w:rsid w:val="56051625"/>
    <w:rsid w:val="578F3AC6"/>
    <w:rsid w:val="5793310E"/>
    <w:rsid w:val="58133A90"/>
    <w:rsid w:val="58283218"/>
    <w:rsid w:val="586425DD"/>
    <w:rsid w:val="58D678E0"/>
    <w:rsid w:val="5A6C14DB"/>
    <w:rsid w:val="5AF82806"/>
    <w:rsid w:val="5B615B2C"/>
    <w:rsid w:val="5B7369D5"/>
    <w:rsid w:val="5C02503B"/>
    <w:rsid w:val="5C496A7B"/>
    <w:rsid w:val="5D5E4D9F"/>
    <w:rsid w:val="5F4F1760"/>
    <w:rsid w:val="5F9C359F"/>
    <w:rsid w:val="5FA2694E"/>
    <w:rsid w:val="5FB16D0D"/>
    <w:rsid w:val="5FEA42D1"/>
    <w:rsid w:val="603538EA"/>
    <w:rsid w:val="60B97BAF"/>
    <w:rsid w:val="624A2B22"/>
    <w:rsid w:val="6338621B"/>
    <w:rsid w:val="64216D42"/>
    <w:rsid w:val="644349B3"/>
    <w:rsid w:val="64E95694"/>
    <w:rsid w:val="66626FAE"/>
    <w:rsid w:val="66A441E4"/>
    <w:rsid w:val="67BB30B6"/>
    <w:rsid w:val="68130414"/>
    <w:rsid w:val="681A5B0F"/>
    <w:rsid w:val="687C08DA"/>
    <w:rsid w:val="690565AA"/>
    <w:rsid w:val="69DA226D"/>
    <w:rsid w:val="6A093CC7"/>
    <w:rsid w:val="6A1046B5"/>
    <w:rsid w:val="6A736F31"/>
    <w:rsid w:val="6A9D2496"/>
    <w:rsid w:val="6B3D4CEE"/>
    <w:rsid w:val="6B594C8A"/>
    <w:rsid w:val="6B6D0141"/>
    <w:rsid w:val="6BA2708C"/>
    <w:rsid w:val="6BA8152C"/>
    <w:rsid w:val="6C3D7DC6"/>
    <w:rsid w:val="6CDD2D16"/>
    <w:rsid w:val="6D670A7B"/>
    <w:rsid w:val="6DAF3EB7"/>
    <w:rsid w:val="6E2A15CB"/>
    <w:rsid w:val="6FE8705C"/>
    <w:rsid w:val="712736E8"/>
    <w:rsid w:val="73235A7C"/>
    <w:rsid w:val="73285AA9"/>
    <w:rsid w:val="739F6EB0"/>
    <w:rsid w:val="73AC41D5"/>
    <w:rsid w:val="73B6131B"/>
    <w:rsid w:val="742F6867"/>
    <w:rsid w:val="74BB1497"/>
    <w:rsid w:val="74C920AB"/>
    <w:rsid w:val="75DB7AFE"/>
    <w:rsid w:val="75ED1B90"/>
    <w:rsid w:val="76F6723F"/>
    <w:rsid w:val="779E71CD"/>
    <w:rsid w:val="7859500A"/>
    <w:rsid w:val="785E4509"/>
    <w:rsid w:val="78AE3F8F"/>
    <w:rsid w:val="799625A9"/>
    <w:rsid w:val="7A7E5483"/>
    <w:rsid w:val="7AE534E4"/>
    <w:rsid w:val="7AF26642"/>
    <w:rsid w:val="7C28453F"/>
    <w:rsid w:val="7D5762BC"/>
    <w:rsid w:val="7DE35E34"/>
    <w:rsid w:val="7E3A6560"/>
    <w:rsid w:val="7EE84089"/>
    <w:rsid w:val="7F7917BB"/>
    <w:rsid w:val="7FAE5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8"/>
    <w:qFormat/>
    <w:uiPriority w:val="9"/>
    <w:pPr>
      <w:widowControl/>
      <w:tabs>
        <w:tab w:val="left" w:pos="0"/>
      </w:tabs>
      <w:spacing w:after="360"/>
      <w:jc w:val="center"/>
      <w:outlineLvl w:val="0"/>
    </w:pPr>
    <w:rPr>
      <w:rFonts w:ascii="宋体" w:hAnsi="宋体" w:eastAsia="黑体"/>
      <w:b/>
      <w:bCs/>
      <w:kern w:val="44"/>
      <w:sz w:val="32"/>
      <w:szCs w:val="48"/>
    </w:rPr>
  </w:style>
  <w:style w:type="paragraph" w:styleId="3">
    <w:name w:val="heading 2"/>
    <w:basedOn w:val="1"/>
    <w:next w:val="1"/>
    <w:link w:val="29"/>
    <w:qFormat/>
    <w:uiPriority w:val="9"/>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30"/>
    <w:qFormat/>
    <w:uiPriority w:val="9"/>
    <w:pPr>
      <w:widowControl/>
      <w:spacing w:beforeAutospacing="1" w:afterAutospacing="1"/>
      <w:jc w:val="left"/>
      <w:outlineLvl w:val="2"/>
    </w:pPr>
    <w:rPr>
      <w:rFonts w:ascii="宋体" w:hAnsi="宋体"/>
      <w:b/>
      <w:kern w:val="0"/>
      <w:sz w:val="27"/>
      <w:szCs w:val="27"/>
    </w:rPr>
  </w:style>
  <w:style w:type="paragraph" w:styleId="5">
    <w:name w:val="heading 4"/>
    <w:basedOn w:val="1"/>
    <w:next w:val="1"/>
    <w:link w:val="31"/>
    <w:qFormat/>
    <w:uiPriority w:val="9"/>
    <w:pPr>
      <w:widowControl/>
      <w:tabs>
        <w:tab w:val="left" w:pos="0"/>
      </w:tabs>
      <w:spacing w:line="400" w:lineRule="exact"/>
      <w:jc w:val="left"/>
      <w:outlineLvl w:val="3"/>
    </w:pPr>
    <w:rPr>
      <w:rFonts w:ascii="宋体" w:hAnsi="宋体" w:eastAsia="黑体"/>
      <w:bCs/>
      <w:kern w:val="0"/>
      <w:sz w:val="24"/>
      <w:szCs w:val="24"/>
    </w:rPr>
  </w:style>
  <w:style w:type="paragraph" w:styleId="6">
    <w:name w:val="heading 5"/>
    <w:basedOn w:val="1"/>
    <w:next w:val="1"/>
    <w:link w:val="32"/>
    <w:qFormat/>
    <w:uiPriority w:val="9"/>
    <w:pPr>
      <w:widowControl/>
      <w:tabs>
        <w:tab w:val="left" w:pos="0"/>
      </w:tabs>
      <w:spacing w:line="400" w:lineRule="exact"/>
      <w:jc w:val="left"/>
      <w:outlineLvl w:val="4"/>
    </w:pPr>
    <w:rPr>
      <w:rFonts w:ascii="宋体" w:hAnsi="宋体" w:eastAsia="黑体"/>
      <w:bCs/>
      <w:kern w:val="0"/>
      <w:sz w:val="24"/>
      <w:szCs w:val="20"/>
    </w:rPr>
  </w:style>
  <w:style w:type="paragraph" w:styleId="7">
    <w:name w:val="heading 6"/>
    <w:basedOn w:val="1"/>
    <w:next w:val="1"/>
    <w:link w:val="33"/>
    <w:qFormat/>
    <w:uiPriority w:val="9"/>
    <w:pPr>
      <w:widowControl/>
      <w:tabs>
        <w:tab w:val="left" w:pos="0"/>
      </w:tabs>
      <w:spacing w:beforeAutospacing="1" w:afterAutospacing="1"/>
      <w:jc w:val="left"/>
      <w:outlineLvl w:val="5"/>
    </w:pPr>
    <w:rPr>
      <w:rFonts w:ascii="宋体" w:hAnsi="宋体"/>
      <w:b/>
      <w:bCs/>
      <w:kern w:val="0"/>
      <w:sz w:val="15"/>
      <w:szCs w:val="15"/>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34"/>
    <w:qFormat/>
    <w:uiPriority w:val="0"/>
    <w:pPr>
      <w:autoSpaceDE w:val="0"/>
      <w:autoSpaceDN w:val="0"/>
      <w:spacing w:line="360" w:lineRule="auto"/>
      <w:ind w:left="181" w:firstLine="420"/>
    </w:pPr>
    <w:rPr>
      <w:sz w:val="24"/>
      <w:szCs w:val="20"/>
    </w:rPr>
  </w:style>
  <w:style w:type="paragraph" w:styleId="9">
    <w:name w:val="caption"/>
    <w:basedOn w:val="1"/>
    <w:next w:val="1"/>
    <w:link w:val="35"/>
    <w:qFormat/>
    <w:uiPriority w:val="0"/>
    <w:rPr>
      <w:rFonts w:ascii="Arial" w:hAnsi="Arial" w:eastAsia="黑体"/>
      <w:sz w:val="20"/>
      <w:szCs w:val="21"/>
    </w:rPr>
  </w:style>
  <w:style w:type="paragraph" w:styleId="10">
    <w:name w:val="Document Map"/>
    <w:basedOn w:val="1"/>
    <w:link w:val="36"/>
    <w:qFormat/>
    <w:uiPriority w:val="0"/>
    <w:rPr>
      <w:rFonts w:ascii="宋体" w:hAnsi="等线"/>
      <w:sz w:val="18"/>
      <w:szCs w:val="18"/>
    </w:rPr>
  </w:style>
  <w:style w:type="paragraph" w:styleId="11">
    <w:name w:val="annotation text"/>
    <w:basedOn w:val="1"/>
    <w:link w:val="37"/>
    <w:unhideWhenUsed/>
    <w:qFormat/>
    <w:uiPriority w:val="0"/>
    <w:pPr>
      <w:jc w:val="left"/>
    </w:pPr>
  </w:style>
  <w:style w:type="paragraph" w:styleId="12">
    <w:name w:val="Body Text"/>
    <w:basedOn w:val="1"/>
    <w:link w:val="38"/>
    <w:qFormat/>
    <w:uiPriority w:val="0"/>
    <w:pPr>
      <w:spacing w:after="120"/>
    </w:pPr>
    <w:rPr>
      <w:rFonts w:ascii="等线" w:hAnsi="等线" w:eastAsia="等线"/>
      <w:szCs w:val="21"/>
    </w:rPr>
  </w:style>
  <w:style w:type="paragraph" w:styleId="13">
    <w:name w:val="Body Text Indent"/>
    <w:basedOn w:val="1"/>
    <w:link w:val="39"/>
    <w:unhideWhenUsed/>
    <w:qFormat/>
    <w:uiPriority w:val="99"/>
    <w:pPr>
      <w:spacing w:after="120"/>
      <w:ind w:left="420" w:leftChars="200"/>
    </w:pPr>
  </w:style>
  <w:style w:type="paragraph" w:styleId="14">
    <w:name w:val="Balloon Text"/>
    <w:basedOn w:val="1"/>
    <w:link w:val="40"/>
    <w:unhideWhenUsed/>
    <w:qFormat/>
    <w:uiPriority w:val="0"/>
    <w:rPr>
      <w:sz w:val="18"/>
      <w:szCs w:val="18"/>
    </w:rPr>
  </w:style>
  <w:style w:type="paragraph" w:styleId="15">
    <w:name w:val="footer"/>
    <w:basedOn w:val="1"/>
    <w:link w:val="41"/>
    <w:unhideWhenUsed/>
    <w:qFormat/>
    <w:uiPriority w:val="99"/>
    <w:pPr>
      <w:tabs>
        <w:tab w:val="center" w:pos="4153"/>
        <w:tab w:val="right" w:pos="8306"/>
      </w:tabs>
      <w:snapToGrid w:val="0"/>
      <w:jc w:val="left"/>
    </w:pPr>
    <w:rPr>
      <w:sz w:val="18"/>
      <w:szCs w:val="18"/>
    </w:rPr>
  </w:style>
  <w:style w:type="paragraph" w:styleId="16">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2"/>
    <w:basedOn w:val="1"/>
    <w:next w:val="1"/>
    <w:qFormat/>
    <w:uiPriority w:val="39"/>
    <w:pPr>
      <w:spacing w:line="360" w:lineRule="auto"/>
      <w:ind w:left="200" w:leftChars="200"/>
      <w:jc w:val="left"/>
    </w:pPr>
    <w:rPr>
      <w:rFonts w:hint="eastAsia" w:ascii="等线" w:hAnsi="等线" w:eastAsia="仿宋_GB2312"/>
      <w:bCs/>
      <w:sz w:val="22"/>
    </w:rPr>
  </w:style>
  <w:style w:type="paragraph" w:styleId="18">
    <w:name w:val="HTML Preformatted"/>
    <w:basedOn w:val="1"/>
    <w:link w:val="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9">
    <w:name w:val="Normal (Web)"/>
    <w:basedOn w:val="1"/>
    <w:qFormat/>
    <w:uiPriority w:val="0"/>
    <w:pPr>
      <w:widowControl/>
      <w:spacing w:before="100" w:beforeAutospacing="1" w:after="100" w:afterAutospacing="1"/>
      <w:jc w:val="left"/>
    </w:pPr>
    <w:rPr>
      <w:rFonts w:ascii="宋体" w:hAnsi="宋体"/>
      <w:kern w:val="0"/>
      <w:sz w:val="24"/>
    </w:rPr>
  </w:style>
  <w:style w:type="paragraph" w:styleId="20">
    <w:name w:val="annotation subject"/>
    <w:basedOn w:val="11"/>
    <w:next w:val="11"/>
    <w:link w:val="44"/>
    <w:unhideWhenUsed/>
    <w:qFormat/>
    <w:uiPriority w:val="0"/>
    <w:rPr>
      <w:b/>
      <w:bCs/>
    </w:rPr>
  </w:style>
  <w:style w:type="paragraph" w:styleId="21">
    <w:name w:val="Body Text First Indent 2"/>
    <w:basedOn w:val="13"/>
    <w:link w:val="45"/>
    <w:qFormat/>
    <w:uiPriority w:val="0"/>
    <w:pPr>
      <w:ind w:firstLine="420"/>
    </w:pPr>
    <w:rPr>
      <w:rFonts w:ascii="Calibri" w:hAnsi="Calibri" w:eastAsia="等线"/>
      <w:szCs w:val="21"/>
    </w:rPr>
  </w:style>
  <w:style w:type="character" w:styleId="24">
    <w:name w:val="Strong"/>
    <w:basedOn w:val="23"/>
    <w:qFormat/>
    <w:uiPriority w:val="22"/>
    <w:rPr>
      <w:b/>
    </w:rPr>
  </w:style>
  <w:style w:type="character" w:styleId="25">
    <w:name w:val="FollowedHyperlink"/>
    <w:unhideWhenUsed/>
    <w:qFormat/>
    <w:uiPriority w:val="99"/>
    <w:rPr>
      <w:color w:val="800080"/>
      <w:u w:val="single"/>
    </w:rPr>
  </w:style>
  <w:style w:type="character" w:styleId="26">
    <w:name w:val="Hyperlink"/>
    <w:qFormat/>
    <w:uiPriority w:val="99"/>
    <w:rPr>
      <w:color w:val="0000FF"/>
      <w:u w:val="single"/>
    </w:rPr>
  </w:style>
  <w:style w:type="character" w:styleId="27">
    <w:name w:val="annotation reference"/>
    <w:unhideWhenUsed/>
    <w:qFormat/>
    <w:uiPriority w:val="99"/>
    <w:rPr>
      <w:sz w:val="21"/>
      <w:szCs w:val="21"/>
    </w:rPr>
  </w:style>
  <w:style w:type="character" w:customStyle="1" w:styleId="28">
    <w:name w:val="标题 1 字符"/>
    <w:link w:val="2"/>
    <w:qFormat/>
    <w:uiPriority w:val="9"/>
    <w:rPr>
      <w:rFonts w:ascii="宋体" w:hAnsi="宋体" w:eastAsia="黑体" w:cs="宋体"/>
      <w:b/>
      <w:bCs/>
      <w:kern w:val="44"/>
      <w:sz w:val="32"/>
      <w:szCs w:val="48"/>
    </w:rPr>
  </w:style>
  <w:style w:type="character" w:customStyle="1" w:styleId="29">
    <w:name w:val="标题 2 字符"/>
    <w:link w:val="3"/>
    <w:semiHidden/>
    <w:qFormat/>
    <w:uiPriority w:val="9"/>
    <w:rPr>
      <w:rFonts w:ascii="Calibri Light" w:hAnsi="Calibri Light" w:eastAsia="宋体" w:cs="Times New Roman"/>
      <w:b/>
      <w:bCs/>
      <w:kern w:val="2"/>
      <w:sz w:val="32"/>
      <w:szCs w:val="32"/>
    </w:rPr>
  </w:style>
  <w:style w:type="character" w:customStyle="1" w:styleId="30">
    <w:name w:val="标题 3 字符"/>
    <w:link w:val="4"/>
    <w:qFormat/>
    <w:uiPriority w:val="9"/>
    <w:rPr>
      <w:rFonts w:ascii="宋体" w:hAnsi="宋体"/>
      <w:b/>
      <w:sz w:val="27"/>
      <w:szCs w:val="27"/>
    </w:rPr>
  </w:style>
  <w:style w:type="character" w:customStyle="1" w:styleId="31">
    <w:name w:val="标题 4 字符"/>
    <w:link w:val="5"/>
    <w:qFormat/>
    <w:uiPriority w:val="9"/>
    <w:rPr>
      <w:rFonts w:ascii="宋体" w:hAnsi="宋体" w:eastAsia="黑体" w:cs="宋体"/>
      <w:bCs/>
      <w:sz w:val="24"/>
      <w:szCs w:val="24"/>
    </w:rPr>
  </w:style>
  <w:style w:type="character" w:customStyle="1" w:styleId="32">
    <w:name w:val="标题 5 字符"/>
    <w:link w:val="6"/>
    <w:qFormat/>
    <w:uiPriority w:val="9"/>
    <w:rPr>
      <w:rFonts w:ascii="宋体" w:hAnsi="宋体" w:eastAsia="黑体" w:cs="宋体"/>
      <w:bCs/>
      <w:sz w:val="24"/>
    </w:rPr>
  </w:style>
  <w:style w:type="character" w:customStyle="1" w:styleId="33">
    <w:name w:val="标题 6 字符"/>
    <w:link w:val="7"/>
    <w:qFormat/>
    <w:uiPriority w:val="9"/>
    <w:rPr>
      <w:rFonts w:ascii="宋体" w:hAnsi="宋体"/>
      <w:b/>
      <w:bCs/>
      <w:sz w:val="15"/>
      <w:szCs w:val="15"/>
    </w:rPr>
  </w:style>
  <w:style w:type="character" w:customStyle="1" w:styleId="34">
    <w:name w:val="正文缩进 字符"/>
    <w:link w:val="8"/>
    <w:qFormat/>
    <w:uiPriority w:val="0"/>
    <w:rPr>
      <w:kern w:val="2"/>
      <w:sz w:val="24"/>
    </w:rPr>
  </w:style>
  <w:style w:type="character" w:customStyle="1" w:styleId="35">
    <w:name w:val="题注 字符1"/>
    <w:link w:val="9"/>
    <w:qFormat/>
    <w:uiPriority w:val="0"/>
    <w:rPr>
      <w:rFonts w:ascii="Arial" w:hAnsi="Arial" w:eastAsia="黑体"/>
      <w:kern w:val="2"/>
      <w:szCs w:val="21"/>
    </w:rPr>
  </w:style>
  <w:style w:type="character" w:customStyle="1" w:styleId="36">
    <w:name w:val="文档结构图 字符"/>
    <w:link w:val="10"/>
    <w:qFormat/>
    <w:uiPriority w:val="0"/>
    <w:rPr>
      <w:rFonts w:ascii="宋体" w:hAnsi="等线"/>
      <w:kern w:val="2"/>
      <w:sz w:val="18"/>
      <w:szCs w:val="18"/>
    </w:rPr>
  </w:style>
  <w:style w:type="character" w:customStyle="1" w:styleId="37">
    <w:name w:val="批注文字 字符2"/>
    <w:link w:val="11"/>
    <w:qFormat/>
    <w:uiPriority w:val="0"/>
    <w:rPr>
      <w:kern w:val="2"/>
      <w:sz w:val="21"/>
      <w:szCs w:val="22"/>
    </w:rPr>
  </w:style>
  <w:style w:type="character" w:customStyle="1" w:styleId="38">
    <w:name w:val="正文文本 字符"/>
    <w:link w:val="12"/>
    <w:qFormat/>
    <w:uiPriority w:val="0"/>
    <w:rPr>
      <w:rFonts w:ascii="等线" w:hAnsi="等线" w:eastAsia="等线"/>
      <w:kern w:val="2"/>
      <w:sz w:val="21"/>
      <w:szCs w:val="21"/>
    </w:rPr>
  </w:style>
  <w:style w:type="character" w:customStyle="1" w:styleId="39">
    <w:name w:val="正文文本缩进 字符2"/>
    <w:link w:val="13"/>
    <w:semiHidden/>
    <w:qFormat/>
    <w:uiPriority w:val="99"/>
    <w:rPr>
      <w:kern w:val="2"/>
      <w:sz w:val="21"/>
      <w:szCs w:val="22"/>
    </w:rPr>
  </w:style>
  <w:style w:type="character" w:customStyle="1" w:styleId="40">
    <w:name w:val="批注框文本 字符1"/>
    <w:link w:val="14"/>
    <w:qFormat/>
    <w:uiPriority w:val="0"/>
    <w:rPr>
      <w:kern w:val="2"/>
      <w:sz w:val="18"/>
      <w:szCs w:val="18"/>
    </w:rPr>
  </w:style>
  <w:style w:type="character" w:customStyle="1" w:styleId="41">
    <w:name w:val="页脚 字符1"/>
    <w:link w:val="15"/>
    <w:qFormat/>
    <w:uiPriority w:val="99"/>
    <w:rPr>
      <w:kern w:val="2"/>
      <w:sz w:val="18"/>
      <w:szCs w:val="18"/>
    </w:rPr>
  </w:style>
  <w:style w:type="character" w:customStyle="1" w:styleId="42">
    <w:name w:val="页眉 字符"/>
    <w:link w:val="16"/>
    <w:qFormat/>
    <w:uiPriority w:val="99"/>
    <w:rPr>
      <w:kern w:val="2"/>
      <w:sz w:val="18"/>
      <w:szCs w:val="18"/>
    </w:rPr>
  </w:style>
  <w:style w:type="character" w:customStyle="1" w:styleId="43">
    <w:name w:val="HTML 预设格式 字符"/>
    <w:link w:val="18"/>
    <w:qFormat/>
    <w:uiPriority w:val="0"/>
    <w:rPr>
      <w:rFonts w:ascii="宋体" w:hAnsi="宋体"/>
      <w:sz w:val="24"/>
      <w:szCs w:val="24"/>
    </w:rPr>
  </w:style>
  <w:style w:type="character" w:customStyle="1" w:styleId="44">
    <w:name w:val="批注主题 字符1"/>
    <w:link w:val="20"/>
    <w:qFormat/>
    <w:uiPriority w:val="0"/>
    <w:rPr>
      <w:b/>
      <w:bCs/>
      <w:kern w:val="2"/>
      <w:sz w:val="21"/>
      <w:szCs w:val="22"/>
    </w:rPr>
  </w:style>
  <w:style w:type="character" w:customStyle="1" w:styleId="45">
    <w:name w:val="正文文本首行缩进 2 字符"/>
    <w:link w:val="21"/>
    <w:qFormat/>
    <w:uiPriority w:val="0"/>
    <w:rPr>
      <w:rFonts w:ascii="Calibri" w:hAnsi="Calibri" w:eastAsia="等线"/>
      <w:kern w:val="2"/>
      <w:sz w:val="21"/>
      <w:szCs w:val="21"/>
    </w:rPr>
  </w:style>
  <w:style w:type="paragraph" w:customStyle="1" w:styleId="46">
    <w:name w:val="0正文"/>
    <w:basedOn w:val="1"/>
    <w:qFormat/>
    <w:uiPriority w:val="0"/>
    <w:pPr>
      <w:adjustRightInd w:val="0"/>
      <w:spacing w:line="360" w:lineRule="auto"/>
      <w:ind w:firstLine="420" w:firstLineChars="200"/>
      <w:textAlignment w:val="baseline"/>
    </w:pPr>
    <w:rPr>
      <w:rFonts w:ascii="宋体" w:hAnsi="宋体"/>
      <w:kern w:val="0"/>
      <w:sz w:val="20"/>
      <w:szCs w:val="21"/>
    </w:rPr>
  </w:style>
  <w:style w:type="paragraph" w:customStyle="1" w:styleId="47">
    <w:name w:val="正文缩进1"/>
    <w:basedOn w:val="1"/>
    <w:qFormat/>
    <w:uiPriority w:val="0"/>
    <w:pPr>
      <w:autoSpaceDE w:val="0"/>
      <w:autoSpaceDN w:val="0"/>
      <w:spacing w:line="360" w:lineRule="auto"/>
      <w:ind w:left="181" w:firstLine="420"/>
    </w:pPr>
    <w:rPr>
      <w:kern w:val="0"/>
      <w:sz w:val="24"/>
      <w:szCs w:val="20"/>
    </w:rPr>
  </w:style>
  <w:style w:type="paragraph" w:customStyle="1" w:styleId="4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规划正文"/>
    <w:basedOn w:val="1"/>
    <w:qFormat/>
    <w:uiPriority w:val="0"/>
    <w:pPr>
      <w:spacing w:line="360" w:lineRule="auto"/>
      <w:ind w:firstLine="200" w:firstLineChars="200"/>
    </w:pPr>
    <w:rPr>
      <w:szCs w:val="20"/>
    </w:rPr>
  </w:style>
  <w:style w:type="paragraph" w:customStyle="1" w:styleId="5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普通(网站) Char"/>
    <w:basedOn w:val="1"/>
    <w:qFormat/>
    <w:uiPriority w:val="0"/>
    <w:pPr>
      <w:widowControl/>
      <w:spacing w:beforeAutospacing="1" w:afterAutospacing="1"/>
      <w:jc w:val="left"/>
    </w:pPr>
    <w:rPr>
      <w:rFonts w:hint="eastAsia" w:ascii="等线" w:hAnsi="等线" w:eastAsia="等线"/>
      <w:kern w:val="0"/>
      <w:sz w:val="24"/>
      <w:szCs w:val="24"/>
    </w:rPr>
  </w:style>
  <w:style w:type="paragraph" w:customStyle="1" w:styleId="52">
    <w:name w:val="HTML 预设格式 Char"/>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character" w:customStyle="1" w:styleId="53">
    <w:name w:val="17"/>
    <w:qFormat/>
    <w:uiPriority w:val="0"/>
    <w:rPr>
      <w:rFonts w:hint="eastAsia" w:ascii="等线" w:hAnsi="等线" w:eastAsia="等线" w:cs="等线"/>
    </w:rPr>
  </w:style>
  <w:style w:type="character" w:customStyle="1" w:styleId="54">
    <w:name w:val="15"/>
    <w:qFormat/>
    <w:uiPriority w:val="0"/>
    <w:rPr>
      <w:rFonts w:hint="default" w:ascii="Times New Roman" w:hAnsi="Times New Roman" w:cs="Times New Roman"/>
      <w:color w:val="0000FF"/>
      <w:u w:val="single"/>
    </w:rPr>
  </w:style>
  <w:style w:type="character" w:customStyle="1" w:styleId="55">
    <w:name w:val="10"/>
    <w:qFormat/>
    <w:uiPriority w:val="0"/>
    <w:rPr>
      <w:rFonts w:hint="default" w:ascii="Times New Roman" w:hAnsi="Times New Roman" w:cs="Times New Roman"/>
    </w:rPr>
  </w:style>
  <w:style w:type="character" w:customStyle="1" w:styleId="56">
    <w:name w:val="16"/>
    <w:qFormat/>
    <w:uiPriority w:val="0"/>
    <w:rPr>
      <w:rFonts w:hint="eastAsia" w:ascii="等线" w:hAnsi="等线" w:eastAsia="等线" w:cs="等线"/>
      <w:color w:val="0000FF"/>
      <w:u w:val="single"/>
    </w:rPr>
  </w:style>
  <w:style w:type="paragraph" w:customStyle="1" w:styleId="57">
    <w:name w:val="pre Char"/>
    <w:basedOn w:val="1"/>
    <w:qFormat/>
    <w:uiPriority w:val="0"/>
    <w:pPr>
      <w:widowControl/>
      <w:jc w:val="left"/>
    </w:pPr>
    <w:rPr>
      <w:rFonts w:hint="eastAsia" w:ascii="宋体" w:hAnsi="宋体"/>
      <w:kern w:val="0"/>
      <w:sz w:val="24"/>
      <w:szCs w:val="24"/>
    </w:rPr>
  </w:style>
  <w:style w:type="paragraph" w:customStyle="1" w:styleId="58">
    <w:name w:val="样式1"/>
    <w:basedOn w:val="59"/>
    <w:qFormat/>
    <w:uiPriority w:val="0"/>
    <w:pPr>
      <w:widowControl/>
      <w:spacing w:beforeLines="50" w:after="156" w:line="480" w:lineRule="auto"/>
      <w:ind w:firstLine="0"/>
      <w:jc w:val="center"/>
    </w:pPr>
    <w:rPr>
      <w:rFonts w:ascii="Arial" w:hAnsi="Arial"/>
      <w:b/>
      <w:kern w:val="0"/>
      <w:sz w:val="44"/>
      <w:szCs w:val="20"/>
    </w:rPr>
  </w:style>
  <w:style w:type="paragraph" w:styleId="59">
    <w:name w:val="List Paragraph"/>
    <w:basedOn w:val="1"/>
    <w:qFormat/>
    <w:uiPriority w:val="34"/>
    <w:pPr>
      <w:ind w:firstLine="420"/>
    </w:pPr>
    <w:rPr>
      <w:rFonts w:hint="eastAsia"/>
      <w:sz w:val="28"/>
      <w:szCs w:val="24"/>
    </w:rPr>
  </w:style>
  <w:style w:type="paragraph" w:customStyle="1" w:styleId="60">
    <w:name w:val="样式2"/>
    <w:basedOn w:val="1"/>
    <w:qFormat/>
    <w:uiPriority w:val="0"/>
    <w:pPr>
      <w:widowControl/>
      <w:spacing w:beforeLines="50" w:after="156" w:line="480" w:lineRule="auto"/>
      <w:ind w:left="1133" w:leftChars="472" w:firstLine="34" w:firstLineChars="12"/>
      <w:jc w:val="left"/>
    </w:pPr>
    <w:rPr>
      <w:rFonts w:hint="eastAsia" w:ascii="宋体" w:hAnsi="宋体"/>
      <w:sz w:val="28"/>
      <w:szCs w:val="32"/>
    </w:rPr>
  </w:style>
  <w:style w:type="character" w:customStyle="1" w:styleId="61">
    <w:name w:val="font31"/>
    <w:qFormat/>
    <w:uiPriority w:val="0"/>
    <w:rPr>
      <w:rFonts w:hint="eastAsia" w:ascii="仿宋" w:hAnsi="仿宋" w:eastAsia="仿宋" w:cs="仿宋"/>
      <w:color w:val="000000"/>
      <w:sz w:val="21"/>
      <w:szCs w:val="21"/>
      <w:u w:val="none"/>
    </w:rPr>
  </w:style>
  <w:style w:type="character" w:customStyle="1" w:styleId="62">
    <w:name w:val="font11"/>
    <w:qFormat/>
    <w:uiPriority w:val="0"/>
    <w:rPr>
      <w:rFonts w:ascii="等线" w:hAnsi="等线" w:eastAsia="等线" w:cs="等线"/>
      <w:color w:val="000000"/>
      <w:sz w:val="21"/>
      <w:szCs w:val="21"/>
      <w:u w:val="none"/>
    </w:rPr>
  </w:style>
  <w:style w:type="paragraph" w:customStyle="1" w:styleId="63">
    <w:name w:val="_Style 61"/>
    <w:unhideWhenUsed/>
    <w:qFormat/>
    <w:uiPriority w:val="99"/>
    <w:rPr>
      <w:rFonts w:ascii="Times New Roman" w:hAnsi="Times New Roman" w:eastAsia="宋体" w:cs="Times New Roman"/>
      <w:kern w:val="2"/>
      <w:sz w:val="21"/>
      <w:szCs w:val="22"/>
      <w:lang w:val="en-US" w:eastAsia="zh-CN" w:bidi="ar-SA"/>
    </w:rPr>
  </w:style>
  <w:style w:type="paragraph" w:customStyle="1" w:styleId="64">
    <w:name w:val="正文首行缩进 21"/>
    <w:basedOn w:val="13"/>
    <w:link w:val="65"/>
    <w:qFormat/>
    <w:uiPriority w:val="99"/>
    <w:pPr>
      <w:ind w:firstLine="420"/>
    </w:pPr>
    <w:rPr>
      <w:rFonts w:ascii="Calibri" w:hAnsi="Calibri" w:eastAsia="等线"/>
      <w:szCs w:val="21"/>
    </w:rPr>
  </w:style>
  <w:style w:type="character" w:customStyle="1" w:styleId="65">
    <w:name w:val="正文首行缩进 2 字符1"/>
    <w:link w:val="64"/>
    <w:qFormat/>
    <w:uiPriority w:val="99"/>
    <w:rPr>
      <w:rFonts w:ascii="Calibri" w:hAnsi="Calibri" w:eastAsia="等线"/>
      <w:kern w:val="2"/>
      <w:sz w:val="21"/>
      <w:szCs w:val="21"/>
    </w:rPr>
  </w:style>
  <w:style w:type="character" w:customStyle="1" w:styleId="66">
    <w:name w:val="批注文字 字符"/>
    <w:qFormat/>
    <w:uiPriority w:val="0"/>
    <w:rPr>
      <w:rFonts w:ascii="等线" w:hAnsi="等线" w:eastAsia="等线"/>
      <w:kern w:val="2"/>
      <w:sz w:val="21"/>
      <w:szCs w:val="21"/>
    </w:rPr>
  </w:style>
  <w:style w:type="character" w:customStyle="1" w:styleId="67">
    <w:name w:val="正文文本缩进 字符1"/>
    <w:semiHidden/>
    <w:qFormat/>
    <w:uiPriority w:val="99"/>
    <w:rPr>
      <w:rFonts w:ascii="等线" w:hAnsi="等线" w:eastAsia="等线"/>
      <w:kern w:val="2"/>
      <w:sz w:val="21"/>
      <w:szCs w:val="21"/>
    </w:rPr>
  </w:style>
  <w:style w:type="character" w:customStyle="1" w:styleId="68">
    <w:name w:val="批注框文本 字符"/>
    <w:qFormat/>
    <w:uiPriority w:val="0"/>
    <w:rPr>
      <w:rFonts w:ascii="等线" w:hAnsi="等线" w:eastAsia="等线"/>
      <w:kern w:val="2"/>
      <w:sz w:val="18"/>
      <w:szCs w:val="18"/>
    </w:rPr>
  </w:style>
  <w:style w:type="paragraph" w:customStyle="1" w:styleId="69">
    <w:name w:val="目录 21"/>
    <w:basedOn w:val="1"/>
    <w:next w:val="1"/>
    <w:qFormat/>
    <w:uiPriority w:val="39"/>
    <w:pPr>
      <w:spacing w:line="360" w:lineRule="auto"/>
      <w:ind w:left="200" w:leftChars="200"/>
      <w:jc w:val="left"/>
    </w:pPr>
    <w:rPr>
      <w:rFonts w:hint="eastAsia" w:ascii="等线" w:hAnsi="等线" w:eastAsia="仿宋_GB2312"/>
      <w:bCs/>
      <w:sz w:val="22"/>
    </w:rPr>
  </w:style>
  <w:style w:type="character" w:customStyle="1" w:styleId="70">
    <w:name w:val="批注主题 字符"/>
    <w:qFormat/>
    <w:uiPriority w:val="0"/>
    <w:rPr>
      <w:rFonts w:ascii="等线" w:hAnsi="等线" w:eastAsia="等线"/>
      <w:b/>
      <w:bCs/>
      <w:kern w:val="2"/>
      <w:sz w:val="21"/>
      <w:szCs w:val="21"/>
    </w:rPr>
  </w:style>
  <w:style w:type="paragraph" w:customStyle="1" w:styleId="71">
    <w:name w:val="正文首行缩进1"/>
    <w:basedOn w:val="12"/>
    <w:link w:val="72"/>
    <w:qFormat/>
    <w:uiPriority w:val="0"/>
    <w:pPr>
      <w:ind w:firstLine="420" w:firstLineChars="100"/>
    </w:pPr>
  </w:style>
  <w:style w:type="character" w:customStyle="1" w:styleId="72">
    <w:name w:val="正文首行缩进 字符"/>
    <w:link w:val="71"/>
    <w:qFormat/>
    <w:uiPriority w:val="0"/>
    <w:rPr>
      <w:rFonts w:ascii="等线" w:hAnsi="等线" w:eastAsia="等线"/>
      <w:kern w:val="2"/>
      <w:sz w:val="21"/>
      <w:szCs w:val="21"/>
    </w:rPr>
  </w:style>
  <w:style w:type="paragraph" w:customStyle="1" w:styleId="73">
    <w:name w:val="列出段落1"/>
    <w:basedOn w:val="1"/>
    <w:qFormat/>
    <w:uiPriority w:val="34"/>
    <w:pPr>
      <w:ind w:firstLine="420"/>
    </w:pPr>
    <w:rPr>
      <w:rFonts w:hint="eastAsia"/>
      <w:sz w:val="28"/>
      <w:szCs w:val="24"/>
    </w:rPr>
  </w:style>
  <w:style w:type="paragraph" w:customStyle="1" w:styleId="7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24"/>
      <w:szCs w:val="24"/>
    </w:rPr>
  </w:style>
  <w:style w:type="paragraph" w:customStyle="1" w:styleId="7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77">
    <w:name w:val="xl65"/>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7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b/>
      <w:bCs/>
      <w:kern w:val="0"/>
      <w:sz w:val="24"/>
      <w:szCs w:val="24"/>
    </w:rPr>
  </w:style>
  <w:style w:type="paragraph" w:customStyle="1" w:styleId="7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8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8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8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8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4"/>
      <w:szCs w:val="24"/>
    </w:rPr>
  </w:style>
  <w:style w:type="paragraph" w:customStyle="1" w:styleId="8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s="宋体"/>
      <w:kern w:val="0"/>
      <w:sz w:val="24"/>
      <w:szCs w:val="24"/>
    </w:rPr>
  </w:style>
  <w:style w:type="paragraph" w:customStyle="1" w:styleId="8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24"/>
      <w:szCs w:val="24"/>
    </w:rPr>
  </w:style>
  <w:style w:type="paragraph" w:customStyle="1" w:styleId="8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s="宋体"/>
      <w:b/>
      <w:bCs/>
      <w:kern w:val="0"/>
      <w:sz w:val="24"/>
      <w:szCs w:val="24"/>
    </w:rPr>
  </w:style>
  <w:style w:type="paragraph" w:customStyle="1" w:styleId="8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8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s="宋体"/>
      <w:kern w:val="0"/>
      <w:sz w:val="24"/>
      <w:szCs w:val="24"/>
    </w:rPr>
  </w:style>
  <w:style w:type="character" w:customStyle="1" w:styleId="89">
    <w:name w:val="正文文本缩进 2 Char"/>
    <w:link w:val="90"/>
    <w:qFormat/>
    <w:uiPriority w:val="0"/>
    <w:rPr>
      <w:rFonts w:ascii="Verdana" w:hAnsi="Verdana"/>
      <w:kern w:val="2"/>
      <w:sz w:val="24"/>
      <w:szCs w:val="24"/>
    </w:rPr>
  </w:style>
  <w:style w:type="paragraph" w:customStyle="1" w:styleId="90">
    <w:name w:val="正文文本缩进 21"/>
    <w:basedOn w:val="1"/>
    <w:link w:val="89"/>
    <w:qFormat/>
    <w:uiPriority w:val="0"/>
    <w:pPr>
      <w:adjustRightInd w:val="0"/>
      <w:spacing w:after="120" w:line="480" w:lineRule="auto"/>
      <w:ind w:left="420" w:leftChars="200" w:firstLine="200" w:firstLineChars="200"/>
      <w:textAlignment w:val="baseline"/>
    </w:pPr>
    <w:rPr>
      <w:rFonts w:ascii="Verdana" w:hAnsi="Verdana"/>
      <w:sz w:val="24"/>
      <w:szCs w:val="24"/>
    </w:rPr>
  </w:style>
  <w:style w:type="paragraph" w:customStyle="1" w:styleId="91">
    <w:name w:val="正文缩进11"/>
    <w:basedOn w:val="1"/>
    <w:qFormat/>
    <w:uiPriority w:val="0"/>
    <w:pPr>
      <w:adjustRightInd w:val="0"/>
      <w:spacing w:line="360" w:lineRule="auto"/>
      <w:ind w:firstLine="420" w:firstLineChars="200"/>
      <w:textAlignment w:val="baseline"/>
    </w:pPr>
    <w:rPr>
      <w:rFonts w:ascii="Verdana" w:hAnsi="Verdana"/>
      <w:sz w:val="24"/>
      <w:szCs w:val="24"/>
    </w:rPr>
  </w:style>
  <w:style w:type="paragraph" w:customStyle="1" w:styleId="92">
    <w:name w:val="中文正文"/>
    <w:basedOn w:val="1"/>
    <w:qFormat/>
    <w:uiPriority w:val="0"/>
    <w:pPr>
      <w:adjustRightInd w:val="0"/>
      <w:spacing w:line="360" w:lineRule="auto"/>
      <w:ind w:firstLine="425" w:firstLineChars="200"/>
      <w:textAlignment w:val="baseline"/>
    </w:pPr>
    <w:rPr>
      <w:rFonts w:ascii="Verdana" w:hAnsi="Verdana"/>
      <w:sz w:val="24"/>
      <w:szCs w:val="20"/>
    </w:rPr>
  </w:style>
  <w:style w:type="paragraph" w:customStyle="1" w:styleId="93">
    <w:name w:val="6"/>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4">
    <w:name w:val="正文文本缩进 字符"/>
    <w:semiHidden/>
    <w:qFormat/>
    <w:uiPriority w:val="99"/>
    <w:rPr>
      <w:rFonts w:ascii="等线" w:hAnsi="等线" w:eastAsia="等线"/>
      <w:kern w:val="2"/>
      <w:sz w:val="21"/>
      <w:szCs w:val="21"/>
    </w:rPr>
  </w:style>
  <w:style w:type="character" w:customStyle="1" w:styleId="95">
    <w:name w:val="正文首行缩进 2 字符"/>
    <w:semiHidden/>
    <w:qFormat/>
    <w:uiPriority w:val="99"/>
  </w:style>
  <w:style w:type="paragraph" w:customStyle="1" w:styleId="96">
    <w:name w:val="_Style 94"/>
    <w:basedOn w:val="2"/>
    <w:next w:val="1"/>
    <w:qFormat/>
    <w:uiPriority w:val="39"/>
    <w:pPr>
      <w:keepNext/>
      <w:keepLines/>
      <w:spacing w:before="240" w:after="0" w:line="259" w:lineRule="auto"/>
      <w:jc w:val="left"/>
      <w:outlineLvl w:val="9"/>
    </w:pPr>
    <w:rPr>
      <w:rFonts w:ascii="等线 Light" w:hAnsi="等线 Light" w:eastAsia="等线 Light"/>
      <w:b w:val="0"/>
      <w:bCs w:val="0"/>
      <w:color w:val="2E74B5"/>
      <w:kern w:val="0"/>
      <w:szCs w:val="32"/>
    </w:rPr>
  </w:style>
  <w:style w:type="paragraph" w:customStyle="1" w:styleId="97">
    <w:name w:val="目录 11"/>
    <w:basedOn w:val="1"/>
    <w:next w:val="1"/>
    <w:qFormat/>
    <w:uiPriority w:val="39"/>
    <w:rPr>
      <w:rFonts w:hint="eastAsia" w:ascii="等线" w:hAnsi="等线" w:eastAsia="等线"/>
      <w:szCs w:val="21"/>
    </w:rPr>
  </w:style>
  <w:style w:type="paragraph" w:customStyle="1" w:styleId="98">
    <w:name w:val="目录 31"/>
    <w:basedOn w:val="1"/>
    <w:next w:val="1"/>
    <w:qFormat/>
    <w:uiPriority w:val="39"/>
    <w:pPr>
      <w:ind w:left="840" w:leftChars="400"/>
    </w:pPr>
    <w:rPr>
      <w:rFonts w:hint="eastAsia" w:ascii="等线" w:hAnsi="等线" w:eastAsia="等线"/>
      <w:szCs w:val="21"/>
    </w:rPr>
  </w:style>
  <w:style w:type="character" w:customStyle="1" w:styleId="99">
    <w:name w:val="页脚 字符"/>
    <w:qFormat/>
    <w:uiPriority w:val="99"/>
    <w:rPr>
      <w:rFonts w:ascii="等线" w:hAnsi="等线" w:eastAsia="等线"/>
      <w:kern w:val="2"/>
      <w:sz w:val="18"/>
      <w:szCs w:val="21"/>
    </w:rPr>
  </w:style>
  <w:style w:type="paragraph" w:customStyle="1" w:styleId="100">
    <w:name w:val="正文_1"/>
    <w:next w:val="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1">
    <w:name w:val="题注 字符"/>
    <w:qFormat/>
    <w:uiPriority w:val="0"/>
    <w:rPr>
      <w:rFonts w:ascii="Arial" w:hAnsi="Arial" w:eastAsia="黑体"/>
      <w:kern w:val="2"/>
      <w:szCs w:val="21"/>
    </w:rPr>
  </w:style>
  <w:style w:type="character" w:customStyle="1" w:styleId="102">
    <w:name w:val="批注文字 字符1"/>
    <w:qFormat/>
    <w:uiPriority w:val="0"/>
    <w:rPr>
      <w:kern w:val="2"/>
      <w:sz w:val="21"/>
      <w:szCs w:val="22"/>
    </w:rPr>
  </w:style>
  <w:style w:type="paragraph" w:customStyle="1" w:styleId="103">
    <w:name w:val="Revision"/>
    <w:hidden/>
    <w:unhideWhenUsed/>
    <w:qFormat/>
    <w:uiPriority w:val="99"/>
    <w:rPr>
      <w:rFonts w:ascii="Times New Roman" w:hAnsi="Times New Roman" w:eastAsia="宋体" w:cs="Times New Roman"/>
      <w:kern w:val="2"/>
      <w:sz w:val="21"/>
      <w:szCs w:val="22"/>
      <w:lang w:val="en-US" w:eastAsia="zh-CN" w:bidi="ar-SA"/>
    </w:rPr>
  </w:style>
  <w:style w:type="paragraph" w:customStyle="1" w:styleId="104">
    <w:name w:val="正文_0_0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9567</Words>
  <Characters>13621</Characters>
  <Lines>1826</Lines>
  <Paragraphs>2399</Paragraphs>
  <TotalTime>4</TotalTime>
  <ScaleCrop>false</ScaleCrop>
  <LinksUpToDate>false</LinksUpToDate>
  <CharactersWithSpaces>13818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2025-07-04T02:51:00Z</dcterms:created>
  <dc:creator>管理员</dc:creator>
  <cp:lastModifiedBy> </cp:lastModifiedBy>
  <dcterms:modified xsi:type="dcterms:W3CDTF">2026-09-07T03:17:15Z</dcterms:modified>
  <dc:title>2020年广州市民政局机关业务系统维护项目采购需求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8384C21355FD404C9097ED88833BC2CC_13</vt:lpwstr>
  </property>
  <property fmtid="{D5CDD505-2E9C-101B-9397-08002B2CF9AE}" pid="4" name="KSOTemplateDocerSaveRecord">
    <vt:lpwstr>eyJoZGlkIjoiZDBhNjAzNDRmY2E3ZGE3M2VkY2IzODI5NGZhZmZmZDMiLCJ1c2VySWQiOiI4Njg4NjEifQ==</vt:lpwstr>
  </property>
</Properties>
</file>