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0"/>
          <w:szCs w:val="24"/>
        </w:rPr>
      </w:pPr>
      <w:r>
        <w:rPr>
          <w:rFonts w:hint="eastAsia"/>
          <w:b/>
          <w:bCs/>
          <w:sz w:val="40"/>
          <w:szCs w:val="24"/>
        </w:rPr>
        <w:t>采购需求基本内容</w:t>
      </w:r>
    </w:p>
    <w:p>
      <w:pPr>
        <w:rPr>
          <w:b/>
          <w:bCs/>
          <w:sz w:val="24"/>
          <w:szCs w:val="24"/>
        </w:rPr>
      </w:pPr>
    </w:p>
    <w:p>
      <w:pPr>
        <w:rPr>
          <w:b/>
          <w:bCs/>
          <w:color w:val="FF0000"/>
          <w:sz w:val="24"/>
          <w:szCs w:val="24"/>
        </w:rPr>
      </w:pPr>
      <w:r>
        <w:rPr>
          <w:rFonts w:hint="eastAsia"/>
          <w:b/>
          <w:bCs/>
          <w:color w:val="FF0000"/>
          <w:sz w:val="24"/>
          <w:szCs w:val="24"/>
        </w:rPr>
        <w:t>一、项目预算：</w:t>
      </w:r>
      <w:r>
        <w:rPr>
          <w:rFonts w:hint="eastAsia"/>
          <w:b/>
          <w:bCs/>
          <w:color w:val="FF0000"/>
          <w:sz w:val="24"/>
          <w:szCs w:val="24"/>
          <w:lang w:val="en-US" w:eastAsia="zh-CN"/>
        </w:rPr>
        <w:t>70</w:t>
      </w:r>
      <w:r>
        <w:rPr>
          <w:rFonts w:hint="eastAsia"/>
          <w:b/>
          <w:bCs/>
          <w:color w:val="FF0000"/>
          <w:sz w:val="24"/>
          <w:szCs w:val="24"/>
        </w:rPr>
        <w:t>万元</w:t>
      </w:r>
    </w:p>
    <w:p>
      <w:pPr>
        <w:rPr>
          <w:rFonts w:hint="eastAsia"/>
          <w:b/>
          <w:bCs/>
          <w:sz w:val="24"/>
          <w:szCs w:val="24"/>
        </w:rPr>
      </w:pPr>
      <w:r>
        <w:rPr>
          <w:rFonts w:hint="eastAsia"/>
          <w:b/>
          <w:bCs/>
          <w:sz w:val="24"/>
          <w:szCs w:val="24"/>
        </w:rPr>
        <w:t>二、技术参数要求</w:t>
      </w:r>
    </w:p>
    <w:tbl>
      <w:tblPr>
        <w:tblStyle w:val="8"/>
        <w:tblW w:w="536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99"/>
        <w:gridCol w:w="1032"/>
        <w:gridCol w:w="712"/>
        <w:gridCol w:w="6437"/>
        <w:gridCol w:w="55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218" w:type="pct"/>
            <w:noWrap w:val="0"/>
            <w:vAlign w:val="top"/>
          </w:tcPr>
          <w:p>
            <w:pPr>
              <w:autoSpaceDE w:val="0"/>
              <w:autoSpaceDN w:val="0"/>
              <w:adjustRightInd w:val="0"/>
              <w:jc w:val="center"/>
              <w:rPr>
                <w:b/>
                <w:color w:val="FF0000"/>
                <w:sz w:val="21"/>
                <w:szCs w:val="21"/>
                <w:highlight w:val="yellow"/>
              </w:rPr>
            </w:pPr>
            <w:r>
              <w:rPr>
                <w:rFonts w:hint="eastAsia" w:ascii="宋体" w:cs="宋体"/>
                <w:b/>
                <w:color w:val="FF0000"/>
                <w:sz w:val="21"/>
                <w:szCs w:val="21"/>
                <w:highlight w:val="yellow"/>
                <w:lang w:val="zh-CN"/>
              </w:rPr>
              <w:t>序号</w:t>
            </w:r>
          </w:p>
        </w:tc>
        <w:tc>
          <w:tcPr>
            <w:tcW w:w="564" w:type="pct"/>
            <w:noWrap w:val="0"/>
            <w:vAlign w:val="top"/>
          </w:tcPr>
          <w:p>
            <w:pPr>
              <w:autoSpaceDE w:val="0"/>
              <w:autoSpaceDN w:val="0"/>
              <w:adjustRightInd w:val="0"/>
              <w:jc w:val="center"/>
              <w:rPr>
                <w:rFonts w:hint="eastAsia" w:ascii="宋体" w:cs="宋体"/>
                <w:b/>
                <w:color w:val="FF0000"/>
                <w:sz w:val="21"/>
                <w:szCs w:val="21"/>
                <w:highlight w:val="yellow"/>
                <w:lang w:val="zh-CN"/>
              </w:rPr>
            </w:pPr>
            <w:r>
              <w:rPr>
                <w:rFonts w:hint="eastAsia" w:ascii="宋体" w:cs="宋体"/>
                <w:b/>
                <w:color w:val="FF0000"/>
                <w:sz w:val="21"/>
                <w:szCs w:val="21"/>
                <w:highlight w:val="yellow"/>
                <w:lang w:val="zh-CN"/>
              </w:rPr>
              <w:t>设备及主要配件名称</w:t>
            </w:r>
          </w:p>
        </w:tc>
        <w:tc>
          <w:tcPr>
            <w:tcW w:w="389" w:type="pct"/>
            <w:noWrap w:val="0"/>
            <w:vAlign w:val="top"/>
          </w:tcPr>
          <w:p>
            <w:pPr>
              <w:autoSpaceDE w:val="0"/>
              <w:autoSpaceDN w:val="0"/>
              <w:adjustRightInd w:val="0"/>
              <w:jc w:val="center"/>
              <w:rPr>
                <w:b/>
                <w:color w:val="FF0000"/>
                <w:sz w:val="21"/>
                <w:szCs w:val="21"/>
                <w:highlight w:val="yellow"/>
              </w:rPr>
            </w:pPr>
            <w:r>
              <w:rPr>
                <w:rFonts w:hint="eastAsia" w:ascii="宋体" w:cs="宋体"/>
                <w:b/>
                <w:color w:val="FF0000"/>
                <w:sz w:val="21"/>
                <w:szCs w:val="21"/>
                <w:highlight w:val="yellow"/>
                <w:lang w:val="zh-CN"/>
              </w:rPr>
              <w:t>指标重要性</w:t>
            </w:r>
          </w:p>
        </w:tc>
        <w:tc>
          <w:tcPr>
            <w:tcW w:w="3522" w:type="pct"/>
            <w:noWrap w:val="0"/>
            <w:vAlign w:val="top"/>
          </w:tcPr>
          <w:p>
            <w:pPr>
              <w:autoSpaceDE w:val="0"/>
              <w:autoSpaceDN w:val="0"/>
              <w:adjustRightInd w:val="0"/>
              <w:jc w:val="center"/>
              <w:rPr>
                <w:b/>
                <w:color w:val="FF0000"/>
                <w:sz w:val="21"/>
                <w:szCs w:val="21"/>
                <w:highlight w:val="yellow"/>
              </w:rPr>
            </w:pPr>
            <w:r>
              <w:rPr>
                <w:rFonts w:hint="eastAsia" w:ascii="宋体" w:cs="宋体"/>
                <w:b/>
                <w:color w:val="FF0000"/>
                <w:sz w:val="21"/>
                <w:szCs w:val="21"/>
                <w:highlight w:val="yellow"/>
                <w:lang w:val="zh-CN"/>
              </w:rPr>
              <w:t>技术指标</w:t>
            </w:r>
          </w:p>
        </w:tc>
        <w:tc>
          <w:tcPr>
            <w:tcW w:w="304" w:type="pct"/>
            <w:noWrap w:val="0"/>
            <w:vAlign w:val="top"/>
          </w:tcPr>
          <w:p>
            <w:pPr>
              <w:autoSpaceDE w:val="0"/>
              <w:autoSpaceDN w:val="0"/>
              <w:adjustRightInd w:val="0"/>
              <w:jc w:val="center"/>
              <w:rPr>
                <w:b/>
                <w:color w:val="FF0000"/>
                <w:sz w:val="21"/>
                <w:szCs w:val="21"/>
                <w:highlight w:val="yellow"/>
              </w:rPr>
            </w:pPr>
            <w:r>
              <w:rPr>
                <w:rFonts w:hint="eastAsia" w:ascii="宋体" w:cs="宋体"/>
                <w:b/>
                <w:color w:val="FF0000"/>
                <w:sz w:val="21"/>
                <w:szCs w:val="21"/>
                <w:highlight w:val="yellow"/>
                <w:lang w:val="zh-CN"/>
              </w:rPr>
              <w:t>数量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restart"/>
            <w:noWrap w:val="0"/>
            <w:vAlign w:val="top"/>
          </w:tcPr>
          <w:p>
            <w:pPr>
              <w:autoSpaceDE w:val="0"/>
              <w:autoSpaceDN w:val="0"/>
              <w:adjustRightInd w:val="0"/>
              <w:jc w:val="center"/>
              <w:rPr>
                <w:rFonts w:hint="eastAsia" w:eastAsia="宋体"/>
                <w:sz w:val="21"/>
                <w:szCs w:val="21"/>
                <w:lang w:val="en-US" w:eastAsia="zh-CN"/>
              </w:rPr>
            </w:pPr>
            <w:r>
              <w:rPr>
                <w:rFonts w:hint="eastAsia" w:ascii="Calibri" w:eastAsia="宋体"/>
                <w:sz w:val="21"/>
                <w:szCs w:val="21"/>
                <w:lang w:val="en-US" w:eastAsia="zh-CN"/>
              </w:rPr>
              <w:t>1</w:t>
            </w:r>
          </w:p>
        </w:tc>
        <w:tc>
          <w:tcPr>
            <w:tcW w:w="564" w:type="pct"/>
            <w:vMerge w:val="restart"/>
            <w:noWrap w:val="0"/>
            <w:vAlign w:val="top"/>
          </w:tcPr>
          <w:p>
            <w:pPr>
              <w:autoSpaceDE w:val="0"/>
              <w:autoSpaceDN w:val="0"/>
              <w:adjustRightInd w:val="0"/>
              <w:jc w:val="center"/>
              <w:rPr>
                <w:sz w:val="21"/>
                <w:szCs w:val="21"/>
              </w:rPr>
            </w:pPr>
            <w:r>
              <w:rPr>
                <w:rFonts w:hint="eastAsia"/>
                <w:sz w:val="21"/>
                <w:szCs w:val="21"/>
                <w:lang w:eastAsia="zh-CN"/>
              </w:rPr>
              <w:t>肌电诱发电位监测系统</w:t>
            </w: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1.设备名称：肌电诱发电位监测系统</w:t>
            </w:r>
            <w:bookmarkStart w:id="0" w:name="_GoBack"/>
            <w:bookmarkEnd w:id="0"/>
          </w:p>
        </w:tc>
        <w:tc>
          <w:tcPr>
            <w:tcW w:w="304" w:type="pct"/>
            <w:vMerge w:val="restart"/>
            <w:noWrap w:val="0"/>
            <w:vAlign w:val="top"/>
          </w:tcPr>
          <w:p>
            <w:pPr>
              <w:autoSpaceDE w:val="0"/>
              <w:autoSpaceDN w:val="0"/>
              <w:adjustRightInd w:val="0"/>
              <w:jc w:val="center"/>
              <w:rPr>
                <w:rFonts w:hint="default" w:eastAsia="宋体"/>
                <w:sz w:val="21"/>
                <w:szCs w:val="21"/>
                <w:lang w:val="en-US" w:eastAsia="zh-CN"/>
              </w:rPr>
            </w:pPr>
            <w:r>
              <w:rPr>
                <w:rFonts w:hint="eastAsia" w:ascii="Calibri" w:eastAsia="宋体"/>
                <w:sz w:val="21"/>
                <w:szCs w:val="21"/>
                <w:lang w:val="en-US" w:eastAsia="zh-CN"/>
              </w:rPr>
              <w:t>1套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rFonts w:hint="eastAsia"/>
                <w:sz w:val="21"/>
                <w:szCs w:val="21"/>
                <w:lang w:val="en-US" w:eastAsia="zh-CN"/>
              </w:rPr>
            </w:pPr>
          </w:p>
        </w:tc>
        <w:tc>
          <w:tcPr>
            <w:tcW w:w="564" w:type="pct"/>
            <w:vMerge w:val="continue"/>
            <w:noWrap w:val="0"/>
            <w:vAlign w:val="top"/>
          </w:tcPr>
          <w:p>
            <w:pPr>
              <w:autoSpaceDE w:val="0"/>
              <w:autoSpaceDN w:val="0"/>
              <w:adjustRightInd w:val="0"/>
              <w:jc w:val="center"/>
              <w:rPr>
                <w:rFonts w:hint="eastAsia"/>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1.2设备用途：用于肌电图、神经电图和视听体感诱发电位检查；</w:t>
            </w:r>
          </w:p>
        </w:tc>
        <w:tc>
          <w:tcPr>
            <w:tcW w:w="304" w:type="pct"/>
            <w:vMerge w:val="continue"/>
            <w:noWrap w:val="0"/>
            <w:vAlign w:val="top"/>
          </w:tcPr>
          <w:p>
            <w:pPr>
              <w:autoSpaceDE w:val="0"/>
              <w:autoSpaceDN w:val="0"/>
              <w:adjustRightInd w:val="0"/>
              <w:jc w:val="center"/>
              <w:rPr>
                <w:rFonts w:hint="eastAsia"/>
                <w:sz w:val="21"/>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default"/>
                <w:sz w:val="21"/>
                <w:szCs w:val="21"/>
                <w:lang w:val="en-US" w:eastAsia="zh-CN"/>
              </w:rPr>
            </w:pPr>
            <w:r>
              <w:rPr>
                <w:rFonts w:hint="eastAsia" w:ascii="宋体" w:hAnsi="宋体" w:eastAsia="宋体" w:cs="宋体"/>
                <w:i w:val="0"/>
                <w:iCs w:val="0"/>
                <w:color w:val="000000"/>
                <w:kern w:val="0"/>
                <w:sz w:val="21"/>
                <w:szCs w:val="21"/>
                <w:u w:val="none"/>
                <w:lang w:val="en-US" w:eastAsia="zh-CN" w:bidi="ar"/>
              </w:rPr>
              <w:t>1.3通过CE、FDA 、ISO13485认证；</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default"/>
                <w:sz w:val="21"/>
                <w:szCs w:val="21"/>
                <w:lang w:val="en-US" w:eastAsia="zh-CN"/>
              </w:rPr>
            </w:pPr>
            <w:r>
              <w:rPr>
                <w:rFonts w:hint="eastAsia" w:ascii="宋体" w:hAnsi="宋体" w:eastAsia="宋体" w:cs="宋体"/>
                <w:i w:val="0"/>
                <w:iCs w:val="0"/>
                <w:color w:val="000000"/>
                <w:kern w:val="0"/>
                <w:sz w:val="21"/>
                <w:szCs w:val="21"/>
                <w:u w:val="none"/>
                <w:lang w:val="en-US" w:eastAsia="zh-CN" w:bidi="ar"/>
              </w:rPr>
              <w:t>1.4产品通过电磁兼容要求和试验标准YY0505/IEC60601-1；</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default"/>
                <w:sz w:val="21"/>
                <w:szCs w:val="21"/>
                <w:lang w:val="en-US" w:eastAsia="zh-CN"/>
              </w:rPr>
            </w:pPr>
            <w:r>
              <w:rPr>
                <w:rFonts w:hint="eastAsia" w:ascii="宋体" w:hAnsi="宋体" w:eastAsia="宋体" w:cs="宋体"/>
                <w:i w:val="0"/>
                <w:iCs w:val="0"/>
                <w:color w:val="000000"/>
                <w:kern w:val="0"/>
                <w:sz w:val="21"/>
                <w:szCs w:val="21"/>
                <w:u w:val="none"/>
                <w:lang w:val="en-US" w:eastAsia="zh-CN" w:bidi="ar"/>
              </w:rPr>
              <w:t>1.5国际知名品牌，在省内有10家以上用户</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default"/>
                <w:sz w:val="21"/>
                <w:szCs w:val="21"/>
                <w:lang w:val="en-US" w:eastAsia="zh-CN"/>
              </w:rPr>
            </w:pPr>
            <w:r>
              <w:rPr>
                <w:rFonts w:hint="eastAsia" w:ascii="宋体" w:hAnsi="宋体" w:eastAsia="宋体" w:cs="宋体"/>
                <w:i w:val="0"/>
                <w:iCs w:val="0"/>
                <w:color w:val="000000"/>
                <w:kern w:val="0"/>
                <w:sz w:val="21"/>
                <w:szCs w:val="21"/>
                <w:u w:val="none"/>
                <w:lang w:val="en-US" w:eastAsia="zh-CN" w:bidi="ar"/>
              </w:rPr>
              <w:t>2. 主要技术要求：</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default"/>
                <w:sz w:val="21"/>
                <w:szCs w:val="21"/>
                <w:lang w:val="en-US" w:eastAsia="zh-CN"/>
              </w:rPr>
            </w:pPr>
            <w:r>
              <w:rPr>
                <w:rFonts w:hint="eastAsia" w:ascii="宋体" w:hAnsi="宋体" w:eastAsia="宋体" w:cs="宋体"/>
                <w:i w:val="0"/>
                <w:iCs w:val="0"/>
                <w:color w:val="000000"/>
                <w:kern w:val="0"/>
                <w:sz w:val="21"/>
                <w:szCs w:val="21"/>
                <w:u w:val="none"/>
                <w:lang w:val="en-US" w:eastAsia="zh-CN" w:bidi="ar"/>
              </w:rPr>
              <w:t>2.1 电脑主机：台式电脑, Windows 7/10，酷睿i7处理器, 128G SSD+1TB硬盘,8G内存；</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default"/>
                <w:sz w:val="21"/>
                <w:szCs w:val="21"/>
                <w:lang w:val="en-US" w:eastAsia="zh-CN"/>
              </w:rPr>
            </w:pPr>
            <w:r>
              <w:rPr>
                <w:rFonts w:hint="eastAsia" w:ascii="宋体" w:hAnsi="宋体" w:eastAsia="宋体" w:cs="宋体"/>
                <w:i w:val="0"/>
                <w:iCs w:val="0"/>
                <w:color w:val="000000"/>
                <w:kern w:val="0"/>
                <w:sz w:val="21"/>
                <w:szCs w:val="21"/>
                <w:u w:val="none"/>
                <w:lang w:val="en-US" w:eastAsia="zh-CN" w:bidi="ar"/>
              </w:rPr>
              <w:t>2.2 主机部分：主机内置监听扬声器和音量控制，独立专用控制键盘，具备听觉、视觉、电刺激接口，内置USB接口≥4，内置外触发、內触发接口数分别≥4，便于连接外源设备；</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default"/>
                <w:sz w:val="21"/>
                <w:szCs w:val="21"/>
                <w:lang w:val="en-US" w:eastAsia="zh-CN"/>
              </w:rPr>
            </w:pPr>
            <w:r>
              <w:rPr>
                <w:rFonts w:hint="eastAsia" w:ascii="宋体" w:hAnsi="宋体" w:eastAsia="宋体" w:cs="宋体"/>
                <w:i w:val="0"/>
                <w:iCs w:val="0"/>
                <w:color w:val="000000"/>
                <w:kern w:val="0"/>
                <w:sz w:val="21"/>
                <w:szCs w:val="21"/>
                <w:u w:val="none"/>
                <w:lang w:val="en-US" w:eastAsia="zh-CN" w:bidi="ar"/>
              </w:rPr>
              <w:t>2.3医用隔离电源一套；</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2.4 推车一套；</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both"/>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2.5 激光打印机一台；</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both"/>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3 放大器技术要求：</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both"/>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left"/>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3.1放大器硬件通道≥12通道，放大器软件通道数≥4通道，放大器内置信号采集的标准5芯DIN插孔≥4；（拒绝外接）</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3.2具备国际10-20标准的电极输入，用户可自由定义输入通道；（图片证明）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3.3高强度自锁雷莫接口确保信号传输稳定，支持热插拔，不更换放大器可升级到12通道；</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3.4 采样率≥100kHz/通道；</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left"/>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3.5所有通道噪声水平：≤0.4uV；（提供国药局检测报告证明）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rFonts w:hint="eastAsia" w:eastAsia="宋体"/>
                <w:sz w:val="21"/>
                <w:szCs w:val="21"/>
                <w:lang w:val="en-US" w:eastAsia="zh-CN"/>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3.6 灵敏度：0.05μV/div—10mV/div；</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sz w:val="21"/>
                <w:szCs w:val="21"/>
                <w:lang w:val="en-US" w:eastAsia="zh-CN"/>
              </w:rPr>
            </w:pPr>
            <w:r>
              <w:rPr>
                <w:rFonts w:hint="eastAsia" w:ascii="宋体" w:hAnsi="宋体" w:eastAsia="宋体" w:cs="宋体"/>
                <w:i w:val="0"/>
                <w:iCs w:val="0"/>
                <w:color w:val="000000"/>
                <w:kern w:val="0"/>
                <w:sz w:val="21"/>
                <w:szCs w:val="21"/>
                <w:u w:val="none"/>
                <w:lang w:val="en-US" w:eastAsia="zh-CN" w:bidi="ar"/>
              </w:rPr>
              <w:t>3.7 所有通道输入阻抗&gt;1000M</w:t>
            </w:r>
            <w:r>
              <w:rPr>
                <w:rFonts w:ascii="Symbol" w:hAnsi="Symbol" w:eastAsia="宋体" w:cs="Symbol"/>
                <w:i w:val="0"/>
                <w:iCs w:val="0"/>
                <w:color w:val="000000"/>
                <w:kern w:val="0"/>
                <w:sz w:val="21"/>
                <w:szCs w:val="21"/>
                <w:u w:val="none"/>
                <w:lang w:val="en-US" w:eastAsia="zh-CN" w:bidi="ar"/>
              </w:rPr>
              <w:t>W</w:t>
            </w:r>
            <w:r>
              <w:rPr>
                <w:rFonts w:hint="eastAsia" w:ascii="宋体" w:hAnsi="宋体" w:eastAsia="宋体" w:cs="宋体"/>
                <w:i w:val="0"/>
                <w:iCs w:val="0"/>
                <w:color w:val="000000"/>
                <w:kern w:val="0"/>
                <w:sz w:val="21"/>
                <w:szCs w:val="21"/>
                <w:u w:val="none"/>
                <w:lang w:val="en-US" w:eastAsia="zh-CN" w:bidi="ar"/>
              </w:rPr>
              <w:t>；</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left"/>
              <w:textAlignment w:val="center"/>
              <w:rPr>
                <w:sz w:val="21"/>
                <w:szCs w:val="21"/>
              </w:rPr>
            </w:pPr>
            <w:r>
              <w:rPr>
                <w:rFonts w:hint="eastAsia" w:ascii="宋体" w:hAnsi="宋体" w:eastAsia="宋体" w:cs="宋体"/>
                <w:i w:val="0"/>
                <w:iCs w:val="0"/>
                <w:color w:val="000000"/>
                <w:kern w:val="0"/>
                <w:sz w:val="21"/>
                <w:szCs w:val="21"/>
                <w:u w:val="none"/>
                <w:lang w:val="en-US" w:eastAsia="zh-CN" w:bidi="ar"/>
              </w:rPr>
              <w:t>3.8所有通道共模抑制比&gt; 125dB；（提供国药局检测报告证明）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3.9 平均器：1-10000平均数/通道；</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3.10内置电极线完好性快速测试模块（非阻抗测试功能），并有声音和屏幕显示；（提供图片证明）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3.11内置温度传感器接口、延长头盒接口；</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3.12放大器内置电源开关,可独立控制放大器通电；（提供图片证明）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 电刺激器技术要求：</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4.1 内置电刺激器1个，可升级到内置双电流刺激器；</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4.2刺激频率：0.1Hz～200Hz；</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4.3 脉冲宽度：50-1000us，步长50us；</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4.4 电流范围： 0-100mA,400V最大电压；</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4.5陷波功能：50Hz、60Hz、开和关及自定义不同频率的陷波器，图片证明；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4.6 输出极性：单相或双相；</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4.7 输出模式：单、对刺激，串刺激，双刺激，双串刺激，三重刺激；</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4.8 多功能手柄刺激器一个；</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4.9手柄刺激器内置强度控制、刺激触发、储存控制、极性切换，具有3个自定义功能按钮，手柄刺激器可实现遥控功能≥15种</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left"/>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4.10手柄刺激器内置标准1.5mmTP孔≥3个；不更换刺激头，只需调整金属探针即可实现成人&amp;儿童不同刺激间距的调整，刺激头可实现连续角度调整≥135度；（附图片证明）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5 听觉刺激器：</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5.1标准声学耳机一套；</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5.2刺激器输出单位：nHL、SPL；</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5.3刺激呈现：左耳，右耳或双耳；</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5.4刺激类型：喀喇音、爆发音、Pips；</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5.5喀喇音极性：疏波，密波，交替波；</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5.6刺激程度：0～141dB SPL；（提供国药局检测报告证明）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5.7声学耳机采用高强度雷莫接口，支持热插拔</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6 视频刺激器：</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6.1刺激模式：棋盘格，水平线，垂直线；</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6.2刺激输出：22寸视觉刺激器；</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6.3视野：全野，左半，右半，上半，下半，左上，左下，右上，右下野；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6.4注视焦点：多种可选，可自定义图片；</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6.5棋盘格颜色：黑、灰以及其他科自定义颜色≥20种；</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6.6具备原厂视觉诱发电位屏幕校准器，可实现LED屏幕物理延迟校准，确保结果准确；（提供图片证明）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 软件功能：</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7.1三维解剖诊断图和云图分析: 三维彩色神经肌肉诊断解剖图，直观显示功能异常的肌肉或神经并用颜色进行标注；IPA云图分析可直观显示异常区域（肌源性或神经源性病变）；</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7.2听觉诱发电位：脑干诱发电位、耳蜗电图、40Hz、客观测听，前庭诱发肌源性电位，听阈测试功能等；</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7.3体感诱发电位：上肢体感、下肢体感、脊髓诱发、三叉神经体感、皮节体感诱发、阴部神经诱发等；</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7.4视觉诱发电位；</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7.5事件相关电位P300、运动诱发电位；</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7.6数据一键恢复：实时检查界面，不小心删掉的波形数据可以立刻一键找回；</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7.7重复频率电刺激需能够完成刺激一根神经同时记录两块肌肉信息的操作,附图证明；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7.8神经电图：运动神经传导速度 ，感觉神经传导速度，多模式神经电图测试，F波、H反射，瞬目反射，重复频率电刺激，冲撞实验，三重（冲）刺激，微移inching，植物神经电反应；</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7.9神经电图可以同屏显示运动传导速度、感觉传导速度、F波、H反射多种测试；（提供图片证明）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7.10肌电图：常规和定量肌电图；常规肌电图界面可以查看电位发放率、发放曲线、稳定性，直方图、原始肌电信号及声音同步存储和回放再分析功能，每个片段可连续记录≥10分钟；肌电图里面缓冲片段可以转换成WAV和AVI格式，便于演示交流；（提供图片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7.11内置音频均衡器能够定制EMG音频输出的频率，更精准诊断EMG；（提供图片证明）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7.12具备进针质量和肌肉收缩强度提示功能；</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7.13全智能动运动单位电位高速提取，一次可提取＞20个不同的MUP；（提供图片证明）</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7.14内置肉毒素注射程序，全面展示肉毒素治疗信息（注射肌肉、相关神经，波形，注射药品、次数、剂量，历史信息），并可生成肉毒素治疗报告；</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7.15软件界面：具有便捷的应用与设置界面，放大器、刺激器、解剖等参数设置直观简洁分布在同一个界面上，系统参数、检测流程、报告模板等设置可进行一键备份/还原功能；</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7.16硬件诊断程序：内置定标信号，可检测放大器、控制键盘、听觉、视觉刺激器、手柄刺激器等各类部件，可完成放大器校准定标等功能；</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7.17参照值：内置病人数据库及正常人参照值，自动判定正常异常 ；</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7.18左右侧对比：F波、H反射、诱发电位等项目左右侧对比，对比信息包含波形和数据；</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r>
              <w:rPr>
                <w:rFonts w:hint="eastAsia" w:ascii="Calibri" w:eastAsia="宋体"/>
                <w:sz w:val="21"/>
                <w:szCs w:val="21"/>
                <w:lang w:val="en-US" w:eastAsia="zh-CN"/>
              </w:rPr>
              <w:t>▲</w:t>
            </w: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7.19数据格式：所有检查的数据格式可转换国际通用ASCII码格式，方便科研和学术交流，可升级API开发接口，满足高端科研应用；</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7.20软件帮助功能：需配有具有临床指导价值的帮助功能，不仅指导解剖走形，刺激位置，还在同一页面显示放大器、刺激器参数设置信息等；</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7.21可定制数据窗：用户可定制数据窗，可编辑不同的公式对NCV，F波，H反射等数据的潜伏期、波幅、速度等做特殊用途的计算，如正中神经、尺神经的波幅对照；</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7.22原厂全中文软件系统及全中文报告系统，可根据需要自定义报告格式，表格、数据、图形自动进入中文报告系统，不需要手工输入数据或屏幕抓图粘贴完成中文报告，报告结果可转入微软办公软件读取分析；</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7.23硬件诊断程序：内置定标信号，可检测放大器、控制键盘、听觉、视觉刺激器、手柄刺激器等各类部件，可完成放大器校准定标等功能。</w:t>
            </w:r>
          </w:p>
        </w:tc>
        <w:tc>
          <w:tcPr>
            <w:tcW w:w="304" w:type="pct"/>
            <w:vMerge w:val="continue"/>
            <w:noWrap w:val="0"/>
            <w:vAlign w:val="top"/>
          </w:tcPr>
          <w:p>
            <w:pPr>
              <w:autoSpaceDE w:val="0"/>
              <w:autoSpaceDN w:val="0"/>
              <w:adjustRightInd w:val="0"/>
              <w:jc w:val="center"/>
              <w:rPr>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18" w:type="pct"/>
            <w:vMerge w:val="continue"/>
            <w:noWrap w:val="0"/>
            <w:vAlign w:val="top"/>
          </w:tcPr>
          <w:p>
            <w:pPr>
              <w:autoSpaceDE w:val="0"/>
              <w:autoSpaceDN w:val="0"/>
              <w:adjustRightInd w:val="0"/>
              <w:jc w:val="center"/>
              <w:rPr>
                <w:sz w:val="21"/>
                <w:szCs w:val="21"/>
              </w:rPr>
            </w:pPr>
          </w:p>
        </w:tc>
        <w:tc>
          <w:tcPr>
            <w:tcW w:w="564" w:type="pct"/>
            <w:vMerge w:val="continue"/>
            <w:noWrap w:val="0"/>
            <w:vAlign w:val="top"/>
          </w:tcPr>
          <w:p>
            <w:pPr>
              <w:autoSpaceDE w:val="0"/>
              <w:autoSpaceDN w:val="0"/>
              <w:adjustRightInd w:val="0"/>
              <w:jc w:val="center"/>
              <w:rPr>
                <w:sz w:val="21"/>
                <w:szCs w:val="21"/>
              </w:rPr>
            </w:pPr>
          </w:p>
        </w:tc>
        <w:tc>
          <w:tcPr>
            <w:tcW w:w="389" w:type="pct"/>
            <w:noWrap w:val="0"/>
            <w:vAlign w:val="top"/>
          </w:tcPr>
          <w:p>
            <w:pPr>
              <w:autoSpaceDE w:val="0"/>
              <w:autoSpaceDN w:val="0"/>
              <w:adjustRightInd w:val="0"/>
              <w:jc w:val="center"/>
              <w:rPr>
                <w:sz w:val="21"/>
                <w:szCs w:val="21"/>
              </w:rPr>
            </w:pPr>
          </w:p>
        </w:tc>
        <w:tc>
          <w:tcPr>
            <w:tcW w:w="3522" w:type="pct"/>
            <w:noWrap w:val="0"/>
            <w:vAlign w:val="center"/>
          </w:tcPr>
          <w:p>
            <w:pPr>
              <w:keepNext w:val="0"/>
              <w:keepLines w:val="0"/>
              <w:widowControl/>
              <w:suppressLineNumbers w:val="0"/>
              <w:jc w:val="both"/>
              <w:textAlignment w:val="center"/>
              <w:rPr>
                <w:rFonts w:hint="eastAsia" w:eastAsia="宋体"/>
                <w:sz w:val="21"/>
                <w:szCs w:val="21"/>
                <w:lang w:val="en-US" w:eastAsia="zh-CN"/>
              </w:rPr>
            </w:pPr>
            <w:r>
              <w:rPr>
                <w:rFonts w:hint="eastAsia" w:eastAsia="宋体"/>
                <w:sz w:val="21"/>
                <w:szCs w:val="21"/>
                <w:lang w:val="en-US" w:eastAsia="zh-CN"/>
              </w:rPr>
              <w:t>3配置要求：</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4677"/>
              <w:gridCol w:w="2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rPr>
                      <w:rFonts w:hint="eastAsia" w:ascii="宋体" w:hAnsi="宋体" w:eastAsia="宋体" w:cs="宋体"/>
                      <w:sz w:val="21"/>
                      <w:szCs w:val="21"/>
                    </w:rPr>
                  </w:pPr>
                  <w:r>
                    <w:rPr>
                      <w:rFonts w:hint="eastAsia" w:ascii="宋体" w:hAnsi="宋体" w:eastAsia="宋体" w:cs="宋体"/>
                      <w:sz w:val="21"/>
                      <w:szCs w:val="21"/>
                    </w:rPr>
                    <w:t>序号</w:t>
                  </w:r>
                </w:p>
              </w:tc>
              <w:tc>
                <w:tcPr>
                  <w:tcW w:w="4677" w:type="dxa"/>
                  <w:noWrap w:val="0"/>
                  <w:vAlign w:val="top"/>
                </w:tcPr>
                <w:p>
                  <w:pPr>
                    <w:jc w:val="center"/>
                    <w:rPr>
                      <w:rFonts w:hint="eastAsia" w:ascii="宋体" w:hAnsi="宋体" w:eastAsia="宋体" w:cs="宋体"/>
                      <w:sz w:val="21"/>
                      <w:szCs w:val="21"/>
                    </w:rPr>
                  </w:pPr>
                  <w:r>
                    <w:rPr>
                      <w:rFonts w:hint="eastAsia" w:ascii="宋体" w:hAnsi="宋体" w:eastAsia="宋体" w:cs="宋体"/>
                      <w:sz w:val="21"/>
                      <w:szCs w:val="21"/>
                    </w:rPr>
                    <w:t>配置规格</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主机</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系统软件</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隔离变压器</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台式电脑</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22寸液晶显示器</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黑白激光打印机</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推车</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4通道放大器</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放大器电缆</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放大器支臂</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软件：肌电图</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软件：神经电图</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刺激器</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软件：听觉诱发电位</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软件：体感诱发电位</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软件：视觉诱发电位</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标准声学耳机</w:t>
                  </w:r>
                </w:p>
              </w:tc>
              <w:tc>
                <w:tcPr>
                  <w:tcW w:w="2773" w:type="dxa"/>
                  <w:noWrap w:val="0"/>
                  <w:vAlign w:val="top"/>
                </w:tcPr>
                <w:p>
                  <w:pPr>
                    <w:jc w:val="center"/>
                    <w:rPr>
                      <w:rFonts w:hint="eastAsia" w:ascii="宋体" w:hAnsi="宋体" w:eastAsia="宋体" w:cs="宋体"/>
                      <w:sz w:val="21"/>
                      <w:szCs w:val="21"/>
                      <w:lang w:eastAsia="zh-CN"/>
                    </w:rPr>
                  </w:pPr>
                  <w:r>
                    <w:rPr>
                      <w:rFonts w:hint="eastAsia" w:ascii="宋体" w:hAnsi="宋体" w:eastAsia="宋体" w:cs="宋体"/>
                      <w:color w:val="000000"/>
                      <w:kern w:val="0"/>
                      <w:sz w:val="21"/>
                      <w:szCs w:val="21"/>
                    </w:rPr>
                    <w:t>1</w:t>
                  </w:r>
                  <w:r>
                    <w:rPr>
                      <w:rFonts w:hint="eastAsia" w:ascii="宋体" w:hAnsi="宋体" w:eastAsia="宋体" w:cs="宋体"/>
                      <w:color w:val="000000"/>
                      <w:kern w:val="0"/>
                      <w:sz w:val="21"/>
                      <w:szCs w:val="21"/>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4677" w:type="dxa"/>
                  <w:noWrap w:val="0"/>
                  <w:vAlign w:val="top"/>
                </w:tcPr>
                <w:p>
                  <w:pPr>
                    <w:rPr>
                      <w:rFonts w:hint="eastAsia" w:ascii="宋体" w:hAnsi="宋体" w:eastAsia="宋体" w:cs="宋体"/>
                      <w:sz w:val="21"/>
                      <w:szCs w:val="21"/>
                    </w:rPr>
                  </w:pPr>
                  <w:r>
                    <w:rPr>
                      <w:rFonts w:hint="eastAsia" w:ascii="宋体" w:hAnsi="宋体" w:eastAsia="宋体" w:cs="宋体"/>
                      <w:color w:val="000000"/>
                      <w:kern w:val="0"/>
                      <w:sz w:val="21"/>
                      <w:szCs w:val="21"/>
                    </w:rPr>
                    <w:t>标准耗材</w:t>
                  </w:r>
                </w:p>
              </w:tc>
              <w:tc>
                <w:tcPr>
                  <w:tcW w:w="2773" w:type="dxa"/>
                  <w:noWrap w:val="0"/>
                  <w:vAlign w:val="top"/>
                </w:tcPr>
                <w:p>
                  <w:pPr>
                    <w:jc w:val="center"/>
                    <w:rPr>
                      <w:rFonts w:hint="eastAsia" w:ascii="宋体" w:hAnsi="宋体" w:eastAsia="宋体" w:cs="宋体"/>
                      <w:sz w:val="21"/>
                      <w:szCs w:val="21"/>
                    </w:rPr>
                  </w:pPr>
                  <w:r>
                    <w:rPr>
                      <w:rFonts w:hint="eastAsia" w:ascii="宋体" w:hAnsi="宋体" w:eastAsia="宋体" w:cs="宋体"/>
                      <w:color w:val="000000"/>
                      <w:kern w:val="0"/>
                      <w:sz w:val="21"/>
                      <w:szCs w:val="21"/>
                    </w:rPr>
                    <w:t>1套</w:t>
                  </w:r>
                </w:p>
              </w:tc>
            </w:tr>
          </w:tbl>
          <w:p>
            <w:pPr>
              <w:keepNext w:val="0"/>
              <w:keepLines w:val="0"/>
              <w:widowControl/>
              <w:suppressLineNumbers w:val="0"/>
              <w:jc w:val="both"/>
              <w:textAlignment w:val="center"/>
              <w:rPr>
                <w:rFonts w:hint="eastAsia" w:eastAsia="宋体"/>
                <w:sz w:val="21"/>
                <w:szCs w:val="21"/>
                <w:lang w:val="en-US" w:eastAsia="zh-CN"/>
              </w:rPr>
            </w:pPr>
          </w:p>
        </w:tc>
        <w:tc>
          <w:tcPr>
            <w:tcW w:w="304" w:type="pct"/>
            <w:vMerge w:val="continue"/>
            <w:noWrap w:val="0"/>
            <w:vAlign w:val="top"/>
          </w:tcPr>
          <w:p>
            <w:pPr>
              <w:autoSpaceDE w:val="0"/>
              <w:autoSpaceDN w:val="0"/>
              <w:adjustRightInd w:val="0"/>
              <w:jc w:val="center"/>
              <w:rPr>
                <w:sz w:val="21"/>
                <w:szCs w:val="21"/>
              </w:rPr>
            </w:pPr>
          </w:p>
        </w:tc>
      </w:tr>
    </w:tbl>
    <w:p>
      <w:pPr>
        <w:rPr>
          <w:rFonts w:hint="eastAsia"/>
          <w:b/>
          <w:bCs/>
          <w:sz w:val="24"/>
          <w:szCs w:val="24"/>
        </w:rPr>
      </w:pPr>
    </w:p>
    <w:p>
      <w:pPr>
        <w:rPr>
          <w:b/>
          <w:bCs/>
          <w:sz w:val="24"/>
          <w:szCs w:val="24"/>
        </w:rPr>
      </w:pPr>
      <w:r>
        <w:rPr>
          <w:rFonts w:hint="eastAsia"/>
          <w:b/>
          <w:bCs/>
          <w:sz w:val="24"/>
          <w:szCs w:val="24"/>
        </w:rPr>
        <w:t>二、交货期</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合同签订后</w:t>
      </w:r>
      <w:r>
        <w:rPr>
          <w:rFonts w:hint="eastAsia" w:ascii="宋体" w:hAnsi="宋体" w:cs="宋体"/>
          <w:kern w:val="0"/>
          <w:lang w:val="en-US" w:eastAsia="zh-CN"/>
        </w:rPr>
        <w:t>30</w:t>
      </w:r>
      <w:r>
        <w:rPr>
          <w:rFonts w:hint="eastAsia" w:ascii="宋体" w:hAnsi="宋体" w:cs="宋体"/>
          <w:kern w:val="0"/>
        </w:rPr>
        <w:t>日内完成设备及系统安装、调试、测试、培训、验收。</w:t>
      </w:r>
    </w:p>
    <w:p/>
    <w:p>
      <w:pPr>
        <w:rPr>
          <w:b/>
          <w:bCs/>
          <w:sz w:val="24"/>
          <w:szCs w:val="24"/>
        </w:rPr>
      </w:pPr>
      <w:r>
        <w:rPr>
          <w:rFonts w:hint="eastAsia"/>
          <w:b/>
          <w:bCs/>
          <w:sz w:val="24"/>
          <w:szCs w:val="24"/>
        </w:rPr>
        <w:t>三、付款方式</w:t>
      </w:r>
    </w:p>
    <w:p>
      <w:pPr>
        <w:widowControl/>
        <w:shd w:val="clear" w:color="auto" w:fill="FFFFFF"/>
        <w:spacing w:line="360" w:lineRule="auto"/>
        <w:ind w:firstLine="480"/>
        <w:textAlignment w:val="baseline"/>
        <w:rPr>
          <w:rFonts w:ascii="宋体" w:hAnsi="宋体"/>
          <w:highlight w:val="yellow"/>
        </w:rPr>
      </w:pPr>
      <w:r>
        <w:rPr>
          <w:rFonts w:hint="eastAsia" w:ascii="宋体" w:hAnsi="宋体"/>
          <w:highlight w:val="yellow"/>
          <w:lang w:val="en-US" w:eastAsia="zh-CN"/>
        </w:rPr>
        <w:t>按照广州医科大学附属市八医院</w:t>
      </w:r>
      <w:r>
        <w:rPr>
          <w:rFonts w:hint="eastAsia" w:ascii="宋体" w:hAnsi="宋体"/>
          <w:highlight w:val="yellow"/>
        </w:rPr>
        <w:t>规定</w:t>
      </w:r>
    </w:p>
    <w:p/>
    <w:p>
      <w:pPr>
        <w:rPr>
          <w:b/>
          <w:bCs/>
          <w:sz w:val="24"/>
          <w:szCs w:val="24"/>
        </w:rPr>
      </w:pPr>
      <w:r>
        <w:rPr>
          <w:rFonts w:hint="eastAsia"/>
          <w:b/>
          <w:bCs/>
          <w:sz w:val="24"/>
          <w:szCs w:val="24"/>
        </w:rPr>
        <w:t>四、</w:t>
      </w:r>
      <w:r>
        <w:rPr>
          <w:rFonts w:hint="eastAsia"/>
          <w:b/>
          <w:bCs/>
          <w:sz w:val="24"/>
          <w:szCs w:val="24"/>
          <w:lang w:val="en-US" w:eastAsia="zh-CN"/>
        </w:rPr>
        <w:t>资格</w:t>
      </w:r>
      <w:r>
        <w:rPr>
          <w:rFonts w:hint="eastAsia"/>
          <w:b/>
          <w:bCs/>
          <w:sz w:val="24"/>
          <w:szCs w:val="24"/>
        </w:rPr>
        <w:t>要求</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w:t>
      </w:r>
      <w:r>
        <w:rPr>
          <w:rFonts w:hint="eastAsia" w:ascii="宋体" w:hAnsi="宋体"/>
        </w:rPr>
        <w:t>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2）具有良好的商业信誉和健全的财务会计制度：提供2021年度财务状况报告或基本开户行出具的资信证明，或</w:t>
      </w:r>
      <w:r>
        <w:rPr>
          <w:rFonts w:hint="eastAsia" w:ascii="宋体" w:hAnsi="宋体" w:cs="宋体"/>
        </w:rPr>
        <w:t>最近一期财务报表（适用在上一年度或本财务年度成立的法人或其他组织）</w:t>
      </w:r>
      <w:r>
        <w:rPr>
          <w:rFonts w:hint="eastAsia" w:ascii="宋体" w:hAnsi="宋体" w:cs="宋体"/>
          <w:kern w:val="0"/>
        </w:rPr>
        <w:t>，或</w:t>
      </w:r>
      <w:r>
        <w:rPr>
          <w:rFonts w:hint="eastAsia" w:ascii="宋体" w:hAnsi="宋体"/>
        </w:rPr>
        <w:t>人民银行出具的个人信用报告（适用于自然人）</w:t>
      </w:r>
      <w:r>
        <w:rPr>
          <w:rFonts w:hint="eastAsia" w:ascii="宋体" w:hAnsi="宋体" w:cs="宋体"/>
          <w:kern w:val="0"/>
        </w:rPr>
        <w:t>。</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3）有依法缴纳税收和社会保障资金的良好记录：提供投标截止日前6个月内任意1个月依法缴纳税收和社会保障资金的相关材料。如依法免税或不需要缴纳社会保障资金的，提供相应证明材料。</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4）具有履行合同所必须的设备和专业技术能力：按投标文件格式填报设备及专业技术能力情况或提供《供应商资格声明函》。</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5）参加采购活动前三年内，在经营活动中没有重大违法记录：提供《供应商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 号）执行））</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6）信用记录：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7）供应商必须符合法律、行政法规规定的其他条件：单位负责人为同一人或者存在直接控股、管理关系的不同供应商，不得同时参加本采购项目（采购包）投标。为本项目提供整体设计、规范编制或者项目管理、监理、检测等服务的供应商，不得再参与本项目投标。</w:t>
      </w:r>
      <w:r>
        <w:rPr>
          <w:rFonts w:hint="eastAsia" w:ascii="宋体" w:hAnsi="宋体"/>
        </w:rPr>
        <w:t>（提供《供应商资格声明函》</w:t>
      </w:r>
      <w:r>
        <w:rPr>
          <w:rFonts w:hint="eastAsia" w:ascii="宋体" w:hAnsi="宋体" w:cs="宋体"/>
          <w:kern w:val="0"/>
        </w:rPr>
        <w:t>。</w:t>
      </w:r>
    </w:p>
    <w:p>
      <w:pPr>
        <w:rPr>
          <w:b/>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ZmM4MjZlZTViMDg2ZGI4NGEyYzU2NWIyOTkwZGYifQ=="/>
  </w:docVars>
  <w:rsids>
    <w:rsidRoot w:val="00FC210F"/>
    <w:rsid w:val="00071885"/>
    <w:rsid w:val="00076AEA"/>
    <w:rsid w:val="000B0124"/>
    <w:rsid w:val="000B089F"/>
    <w:rsid w:val="000C3082"/>
    <w:rsid w:val="000E1F14"/>
    <w:rsid w:val="00110681"/>
    <w:rsid w:val="001262D7"/>
    <w:rsid w:val="00130B56"/>
    <w:rsid w:val="00193A2F"/>
    <w:rsid w:val="001A6C3F"/>
    <w:rsid w:val="001F0322"/>
    <w:rsid w:val="00213510"/>
    <w:rsid w:val="002173A3"/>
    <w:rsid w:val="002339A9"/>
    <w:rsid w:val="002C3A6D"/>
    <w:rsid w:val="0031757A"/>
    <w:rsid w:val="003530B7"/>
    <w:rsid w:val="003710F3"/>
    <w:rsid w:val="003B41D4"/>
    <w:rsid w:val="0040691E"/>
    <w:rsid w:val="00462F84"/>
    <w:rsid w:val="00495E00"/>
    <w:rsid w:val="00496DAB"/>
    <w:rsid w:val="004B57CD"/>
    <w:rsid w:val="004D1025"/>
    <w:rsid w:val="005039C5"/>
    <w:rsid w:val="00511E2C"/>
    <w:rsid w:val="00536DA3"/>
    <w:rsid w:val="00555AE5"/>
    <w:rsid w:val="005A1B1F"/>
    <w:rsid w:val="005E541E"/>
    <w:rsid w:val="00623297"/>
    <w:rsid w:val="006520C5"/>
    <w:rsid w:val="0065714A"/>
    <w:rsid w:val="00673D28"/>
    <w:rsid w:val="006A26F4"/>
    <w:rsid w:val="006A4A7F"/>
    <w:rsid w:val="006A70FF"/>
    <w:rsid w:val="006B1606"/>
    <w:rsid w:val="006C6649"/>
    <w:rsid w:val="006D6DD4"/>
    <w:rsid w:val="006F3DBB"/>
    <w:rsid w:val="00707DEA"/>
    <w:rsid w:val="0074730A"/>
    <w:rsid w:val="007860E3"/>
    <w:rsid w:val="007926FA"/>
    <w:rsid w:val="008278C5"/>
    <w:rsid w:val="0083102D"/>
    <w:rsid w:val="0086573B"/>
    <w:rsid w:val="008A7245"/>
    <w:rsid w:val="008B01E7"/>
    <w:rsid w:val="008B449E"/>
    <w:rsid w:val="008D73F6"/>
    <w:rsid w:val="008E27F7"/>
    <w:rsid w:val="00900FBB"/>
    <w:rsid w:val="00920AD9"/>
    <w:rsid w:val="00933893"/>
    <w:rsid w:val="00934B8C"/>
    <w:rsid w:val="00965B5D"/>
    <w:rsid w:val="00980BCA"/>
    <w:rsid w:val="009A3355"/>
    <w:rsid w:val="009B65A7"/>
    <w:rsid w:val="009E6F76"/>
    <w:rsid w:val="00A06454"/>
    <w:rsid w:val="00A9391F"/>
    <w:rsid w:val="00AC29DF"/>
    <w:rsid w:val="00AD2E0B"/>
    <w:rsid w:val="00AE4172"/>
    <w:rsid w:val="00AE7112"/>
    <w:rsid w:val="00B3445E"/>
    <w:rsid w:val="00B80E1A"/>
    <w:rsid w:val="00BE1735"/>
    <w:rsid w:val="00C34C9B"/>
    <w:rsid w:val="00C405BC"/>
    <w:rsid w:val="00C614D0"/>
    <w:rsid w:val="00CE5F31"/>
    <w:rsid w:val="00CE64A0"/>
    <w:rsid w:val="00D008DA"/>
    <w:rsid w:val="00D7409D"/>
    <w:rsid w:val="00D7502A"/>
    <w:rsid w:val="00D943F9"/>
    <w:rsid w:val="00DE6F24"/>
    <w:rsid w:val="00E60740"/>
    <w:rsid w:val="00E7065A"/>
    <w:rsid w:val="00EB23B5"/>
    <w:rsid w:val="00EC094C"/>
    <w:rsid w:val="00EE0E88"/>
    <w:rsid w:val="00F000B4"/>
    <w:rsid w:val="00F3016F"/>
    <w:rsid w:val="00F3146C"/>
    <w:rsid w:val="00F605C9"/>
    <w:rsid w:val="00F86549"/>
    <w:rsid w:val="00F961CC"/>
    <w:rsid w:val="00FC210F"/>
    <w:rsid w:val="00FD4632"/>
    <w:rsid w:val="00FD7211"/>
    <w:rsid w:val="00FE6E3E"/>
    <w:rsid w:val="013C0E8B"/>
    <w:rsid w:val="02AF78DA"/>
    <w:rsid w:val="06830E67"/>
    <w:rsid w:val="09073E84"/>
    <w:rsid w:val="09EF1EE4"/>
    <w:rsid w:val="0C2A3F33"/>
    <w:rsid w:val="0C47137C"/>
    <w:rsid w:val="14A23938"/>
    <w:rsid w:val="16E84360"/>
    <w:rsid w:val="1F3F789D"/>
    <w:rsid w:val="255161E2"/>
    <w:rsid w:val="275A19B7"/>
    <w:rsid w:val="29D64EA3"/>
    <w:rsid w:val="29E43B93"/>
    <w:rsid w:val="2B6E121D"/>
    <w:rsid w:val="2D0401AD"/>
    <w:rsid w:val="2FF40230"/>
    <w:rsid w:val="317720E5"/>
    <w:rsid w:val="339F159F"/>
    <w:rsid w:val="35D6167F"/>
    <w:rsid w:val="36145188"/>
    <w:rsid w:val="40005CEB"/>
    <w:rsid w:val="417E3DFD"/>
    <w:rsid w:val="451E0AF1"/>
    <w:rsid w:val="4B7C1ABB"/>
    <w:rsid w:val="52B7716F"/>
    <w:rsid w:val="554E52A4"/>
    <w:rsid w:val="586A4CC3"/>
    <w:rsid w:val="59F34F35"/>
    <w:rsid w:val="5DC4175D"/>
    <w:rsid w:val="5F0C558A"/>
    <w:rsid w:val="6ACF3ED3"/>
    <w:rsid w:val="6EB425CF"/>
    <w:rsid w:val="71327C95"/>
    <w:rsid w:val="72A73535"/>
    <w:rsid w:val="7B930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rPr>
      <w:rFonts w:asciiTheme="minorHAnsi" w:hAnsiTheme="minorHAnsi" w:eastAsiaTheme="minorEastAsia" w:cstheme="minorBidi"/>
      <w:szCs w:val="22"/>
    </w:rPr>
  </w:style>
  <w:style w:type="paragraph" w:styleId="3">
    <w:name w:val="Plain Text"/>
    <w:basedOn w:val="1"/>
    <w:next w:val="1"/>
    <w:qFormat/>
    <w:uiPriority w:val="99"/>
    <w:rPr>
      <w:rFonts w:ascii="宋体" w:hAnsi="Courier New" w:cs="Courier New"/>
      <w:szCs w:val="21"/>
    </w:rPr>
  </w:style>
  <w:style w:type="paragraph" w:styleId="4">
    <w:name w:val="Balloon Text"/>
    <w:basedOn w:val="1"/>
    <w:link w:val="16"/>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annotation subject"/>
    <w:basedOn w:val="2"/>
    <w:next w:val="2"/>
    <w:link w:val="17"/>
    <w:semiHidden/>
    <w:unhideWhenUsed/>
    <w:qFormat/>
    <w:uiPriority w:val="99"/>
    <w:rPr>
      <w:rFonts w:ascii="Times New Roman" w:hAnsi="Times New Roman" w:eastAsia="宋体" w:cs="Times New Roman"/>
      <w:b/>
      <w:bCs/>
      <w:szCs w:val="21"/>
    </w:rPr>
  </w:style>
  <w:style w:type="table" w:styleId="9">
    <w:name w:val="Table Grid"/>
    <w:basedOn w:val="8"/>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annotation reference"/>
    <w:basedOn w:val="10"/>
    <w:semiHidden/>
    <w:unhideWhenUsed/>
    <w:qFormat/>
    <w:uiPriority w:val="99"/>
    <w:rPr>
      <w:sz w:val="21"/>
      <w:szCs w:val="21"/>
    </w:rPr>
  </w:style>
  <w:style w:type="character" w:customStyle="1" w:styleId="13">
    <w:name w:val="页眉 Char"/>
    <w:basedOn w:val="10"/>
    <w:link w:val="6"/>
    <w:qFormat/>
    <w:uiPriority w:val="99"/>
    <w:rPr>
      <w:sz w:val="18"/>
      <w:szCs w:val="18"/>
    </w:rPr>
  </w:style>
  <w:style w:type="character" w:customStyle="1" w:styleId="14">
    <w:name w:val="页脚 Char"/>
    <w:basedOn w:val="10"/>
    <w:link w:val="5"/>
    <w:qFormat/>
    <w:uiPriority w:val="99"/>
    <w:rPr>
      <w:sz w:val="18"/>
      <w:szCs w:val="18"/>
    </w:rPr>
  </w:style>
  <w:style w:type="character" w:customStyle="1" w:styleId="15">
    <w:name w:val="批注文字 Char"/>
    <w:basedOn w:val="10"/>
    <w:link w:val="2"/>
    <w:semiHidden/>
    <w:qFormat/>
    <w:uiPriority w:val="99"/>
    <w:rPr>
      <w:kern w:val="2"/>
      <w:sz w:val="21"/>
      <w:szCs w:val="22"/>
    </w:rPr>
  </w:style>
  <w:style w:type="character" w:customStyle="1" w:styleId="16">
    <w:name w:val="批注框文本 Char"/>
    <w:basedOn w:val="10"/>
    <w:link w:val="4"/>
    <w:semiHidden/>
    <w:qFormat/>
    <w:uiPriority w:val="99"/>
    <w:rPr>
      <w:rFonts w:ascii="Times New Roman" w:hAnsi="Times New Roman" w:eastAsia="宋体" w:cs="Times New Roman"/>
      <w:kern w:val="2"/>
      <w:sz w:val="18"/>
      <w:szCs w:val="18"/>
    </w:rPr>
  </w:style>
  <w:style w:type="character" w:customStyle="1" w:styleId="17">
    <w:name w:val="批注主题 Char"/>
    <w:basedOn w:val="15"/>
    <w:link w:val="7"/>
    <w:semiHidden/>
    <w:qFormat/>
    <w:uiPriority w:val="99"/>
    <w:rPr>
      <w:rFonts w:ascii="Times New Roman" w:hAnsi="Times New Roman" w:eastAsia="宋体" w:cs="Times New Roman"/>
      <w:b/>
      <w:bCs/>
      <w:kern w:val="2"/>
      <w:sz w:val="21"/>
      <w:szCs w:val="21"/>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3915</Words>
  <Characters>4817</Characters>
  <Lines>36</Lines>
  <Paragraphs>10</Paragraphs>
  <TotalTime>0</TotalTime>
  <ScaleCrop>false</ScaleCrop>
  <LinksUpToDate>false</LinksUpToDate>
  <CharactersWithSpaces>4924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2022-10-13T07:47:00Z</dcterms:created>
  <dc:creator>hl</dc:creator>
  <cp:lastModifiedBy>AC</cp:lastModifiedBy>
  <dcterms:modified xsi:type="dcterms:W3CDTF">2023-09-14T06:17:11Z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F04EC6BFBB0245DA9EE054ADC9BD4F29</vt:lpwstr>
  </property>
</Properties>
</file>