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440606-2024-03023</w:t>
      </w:r>
    </w:p>
    <w:p>
      <w:pPr>
        <w:pStyle w:val="null3"/>
        <w:jc w:val="center"/>
        <w:outlineLvl w:val="3"/>
      </w:pPr>
      <w:r>
        <w:rPr>
          <w:sz w:val="24"/>
          <w:b/>
        </w:rPr>
        <w:t>采购项目编号：</w:t>
      </w:r>
      <w:r>
        <w:rPr>
          <w:sz w:val="24"/>
          <w:b/>
        </w:rPr>
        <w:t>440606-2024-03023</w:t>
      </w:r>
    </w:p>
    <w:p>
      <w:pPr>
        <w:pStyle w:val="null3"/>
        <w:jc w:val="center"/>
        <w:outlineLvl w:val="3"/>
      </w:pPr>
      <w:r>
        <w:rPr>
          <w:sz w:val="24"/>
          <w:b/>
        </w:rPr>
        <w:t>项目名称：</w:t>
      </w:r>
      <w:r>
        <w:rPr>
          <w:sz w:val="24"/>
          <w:b/>
        </w:rPr>
        <w:t>佛山市顺德区X波段双极化相控阵天气雷达采购项目</w:t>
      </w:r>
    </w:p>
    <w:p>
      <w:pPr>
        <w:pStyle w:val="null3"/>
        <w:jc w:val="center"/>
        <w:outlineLvl w:val="3"/>
      </w:pPr>
      <w:r>
        <w:rPr>
          <w:sz w:val="24"/>
          <w:b/>
        </w:rPr>
        <w:t>采购人：</w:t>
      </w:r>
      <w:r>
        <w:rPr>
          <w:sz w:val="24"/>
          <w:b/>
        </w:rPr>
        <w:t>佛山市顺德区气象局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佛山市顺德区气象局</w:t>
      </w:r>
      <w:r>
        <w:rPr/>
        <w:t>的委托，采用</w:t>
      </w:r>
      <w:r>
        <w:rPr/>
        <w:t>公开招标</w:t>
      </w:r>
      <w:r>
        <w:rPr/>
        <w:t>方式组织采购</w:t>
      </w:r>
      <w:r>
        <w:rPr/>
        <w:t>佛山市顺德区X波段双极化相控阵天气雷达采购项目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佛山市顺德区X波段双极化相控阵天气雷达采购项目</w:t>
      </w:r>
    </w:p>
    <w:p>
      <w:pPr>
        <w:pStyle w:val="null3"/>
        <w:ind w:firstLine="480"/>
      </w:pPr>
      <w:r>
        <w:rPr/>
        <w:t>采购计划编号：</w:t>
      </w:r>
      <w:r>
        <w:rPr/>
        <w:t>440606-2024-03023</w:t>
      </w:r>
    </w:p>
    <w:p>
      <w:pPr>
        <w:pStyle w:val="null3"/>
        <w:ind w:firstLine="480"/>
      </w:pPr>
      <w:r>
        <w:rPr/>
        <w:t>采购项目编号：</w:t>
      </w:r>
      <w:r>
        <w:rPr/>
        <w:t>440606-2024-03023</w:t>
      </w:r>
    </w:p>
    <w:p>
      <w:pPr>
        <w:pStyle w:val="null3"/>
        <w:ind w:firstLine="480"/>
      </w:pPr>
      <w:r>
        <w:rPr/>
        <w:t>采购方式：</w:t>
      </w:r>
      <w:r>
        <w:rPr/>
        <w:t>公开招标</w:t>
      </w:r>
    </w:p>
    <w:p>
      <w:pPr>
        <w:pStyle w:val="null3"/>
        <w:ind w:firstLine="480"/>
      </w:pPr>
      <w:r>
        <w:rPr/>
        <w:t>预算金额：</w:t>
      </w:r>
      <w:r>
        <w:rPr/>
        <w:t>10,310,000.00</w:t>
      </w:r>
      <w:r>
        <w:rPr/>
        <w:t>元</w:t>
      </w:r>
    </w:p>
    <w:p>
      <w:pPr>
        <w:pStyle w:val="null3"/>
        <w:outlineLvl w:val="3"/>
      </w:pPr>
      <w:r>
        <w:rPr>
          <w:sz w:val="24"/>
          <w:b/>
        </w:rPr>
        <w:t>2.项目内容及需求情况（采购项目技术规格、参数及要求）</w:t>
      </w:r>
    </w:p>
    <w:p>
      <w:pPr>
        <w:pStyle w:val="null3"/>
      </w:pPr>
      <w:r>
        <w:rPr/>
        <w:t>采购包1(佛山市顺德区X波段双极化相控阵天气雷达采购项目):</w:t>
      </w:r>
    </w:p>
    <w:p>
      <w:pPr>
        <w:pStyle w:val="null3"/>
      </w:pPr>
      <w:r>
        <w:rPr/>
        <w:t>采购包预算金额：10,310,000.00元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地面相控阵雷达</w:t>
            </w:r>
          </w:p>
        </w:tc>
        <w:tc>
          <w:tcPr>
            <w:tcW w:type="dxa" w:w="2136"/>
          </w:tcPr>
          <w:p>
            <w:pPr>
              <w:pStyle w:val="null3"/>
            </w:pPr>
            <w:r>
              <w:rPr/>
              <w:t>X波段双极化相控阵天气雷达</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合同履行期限：详见采购文件。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提供以下四种证明材料之一：1、提供《政府采购供应商资格信用承诺函》（承诺函格式见采购公告附件）；2、提供2022年度或2023年度财务状况报告；3、提供投标截止日前6个月内基本开户行出具的资信证明；4、财政部门认可的政府采购专业担保机构出具的投标担保函。</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采购包1（佛山市顺德区X波段双极化相控阵天气雷达采购项目）：</w:t>
      </w:r>
      <w:r>
        <w:rPr/>
        <w:t>采购包整体专门面向中小企业，货物的制造商须为中小微企业或监狱企业或残疾人福利性单位。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工业。</w:t>
      </w:r>
    </w:p>
    <w:p>
      <w:pPr>
        <w:pStyle w:val="null3"/>
        <w:outlineLvl w:val="3"/>
      </w:pPr>
      <w:r>
        <w:rPr>
          <w:sz w:val="24"/>
          <w:b/>
        </w:rPr>
        <w:t>3.本项目特定的资格要求：</w:t>
      </w:r>
    </w:p>
    <w:p>
      <w:pPr>
        <w:pStyle w:val="null3"/>
      </w:pPr>
      <w:r>
        <w:rPr/>
        <w:t>采购包1（佛山市顺德区X波段双极化相控阵天气雷达采购项目）：</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佛山市顺德区气象局</w:t>
      </w:r>
    </w:p>
    <w:p>
      <w:pPr>
        <w:pStyle w:val="null3"/>
        <w:ind w:firstLine="480"/>
      </w:pPr>
      <w:r>
        <w:rPr/>
        <w:t xml:space="preserve"> 地址：</w:t>
      </w:r>
      <w:r>
        <w:rPr/>
        <w:t>佛山市顺德区蓬莱路72号</w:t>
      </w:r>
    </w:p>
    <w:p>
      <w:pPr>
        <w:pStyle w:val="null3"/>
        <w:ind w:firstLine="480"/>
      </w:pPr>
      <w:r>
        <w:rPr/>
        <w:t xml:space="preserve"> 联系方式：</w:t>
      </w:r>
      <w:r>
        <w:rPr/>
        <w:t>0757-22333013</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0757-22332900</w:t>
      </w:r>
    </w:p>
    <w:p>
      <w:pPr>
        <w:pStyle w:val="null3"/>
        <w:outlineLvl w:val="3"/>
      </w:pPr>
      <w:r>
        <w:rPr>
          <w:sz w:val="24"/>
          <w:b/>
        </w:rPr>
        <w:t xml:space="preserve"> 3.项目联系方式</w:t>
      </w:r>
    </w:p>
    <w:p>
      <w:pPr>
        <w:pStyle w:val="null3"/>
        <w:ind w:firstLine="480"/>
      </w:pPr>
      <w:r>
        <w:rPr/>
        <w:t xml:space="preserve"> 项目联系人：</w:t>
      </w:r>
      <w:r>
        <w:rPr/>
        <w:t>傅先生</w:t>
      </w:r>
    </w:p>
    <w:p>
      <w:pPr>
        <w:pStyle w:val="null3"/>
        <w:ind w:firstLine="480"/>
      </w:pPr>
      <w:r>
        <w:rPr/>
        <w:t xml:space="preserve"> 电话：</w:t>
      </w:r>
      <w:r>
        <w:rPr/>
        <w:t>0757-22332900</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为切实提升顺德区龙卷、冰雹、局地强降水、雷雨大风、暴雨等强对流天气监测预警能力，按照国家、省、市、区有关规划文件要求，本项目</w:t>
      </w:r>
      <w:r>
        <w:rPr>
          <w:sz w:val="21"/>
        </w:rPr>
        <w:t>拟采购</w:t>
      </w:r>
      <w:r>
        <w:rPr>
          <w:sz w:val="21"/>
        </w:rPr>
        <w:t>1</w:t>
      </w:r>
      <w:r>
        <w:rPr>
          <w:sz w:val="21"/>
        </w:rPr>
        <w:t>套</w:t>
      </w:r>
      <w:r>
        <w:rPr>
          <w:sz w:val="21"/>
        </w:rPr>
        <w:t>X</w:t>
      </w:r>
      <w:r>
        <w:rPr>
          <w:sz w:val="21"/>
        </w:rPr>
        <w:t>波段双极化相控阵天气雷达系统。</w:t>
      </w:r>
    </w:p>
    <w:p>
      <w:pPr>
        <w:pStyle w:val="null3"/>
      </w:pPr>
      <w:r>
        <w:rPr/>
        <w:t>采购包1（佛山市顺德区X波段双极化相控阵天气雷达采购项目）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个日历天内采购人对雷达设备进行验货，验货合格后中标人将雷达设备运送到采购人指定地点。整体项目包括但不限于X波段双极化相控阵天气雷达系统、雷达塔、其他配套设施，在签订合同，且现场具备进场施工条件后，90个日历日内完工并系统验收合格。</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1期：支付比例50%,合同签订生效后，采购人支付中标人合同总额的50%作为预付款。</w:t>
            </w:r>
          </w:p>
          <w:p>
            <w:pPr>
              <w:pStyle w:val="null3"/>
            </w:pPr>
            <w:r>
              <w:rPr/>
              <w:t>2期：支付比例10%,中标人取得项目系统验收报告后，书面向采购人提出付款申请，采购人接到中标人付款申请及验收报告等资料并审核合格后，支付中标人合同总额的10%。</w:t>
            </w:r>
          </w:p>
          <w:p>
            <w:pPr>
              <w:pStyle w:val="null3"/>
            </w:pPr>
            <w:r>
              <w:rPr/>
              <w:t>3期：支付比例40%,中标人取得项目终期验收报告后，书面向采购人提出付款申请，采购人接到中标人付款申请及验收报告等资料并审核合格后，支付中标人合同总额的40%。 中标人凭以下有效文件与采购人结算： （1）采购合同； （2）中标人开具的正式发票； （3）验收报告（项目预付款除外）； （4）中标通知书。 注：上述款项均不计算利息。因采购人使用的是财政资金，采购人在前款规定的付款时间为向政府采购支付部门提出办理财政支付申请手续的时间（不含政府财政支付部门审核的时间），在规定时间内提出支付申请手续后即视为采购人已经按期支付。若由于财政拨款不到位或该项目相关手续和程序因流转政府采购审批流程及办理手续而造成项目支付进度有所推延的，采购人不承担违约责任，并且此情况不能成为中标人拒绝履约的理由。</w:t>
            </w:r>
          </w:p>
        </w:tc>
      </w:tr>
      <w:tr>
        <w:tc>
          <w:tcPr>
            <w:tcW w:type="dxa" w:w="4153"/>
          </w:tcPr>
          <w:p>
            <w:pPr>
              <w:pStyle w:val="null3"/>
            </w:pPr>
            <w:r>
              <w:rPr/>
              <w:t>验收要求</w:t>
            </w:r>
          </w:p>
        </w:tc>
        <w:tc>
          <w:tcPr>
            <w:tcW w:type="dxa" w:w="4153"/>
          </w:tcPr>
          <w:p>
            <w:pPr>
              <w:pStyle w:val="null3"/>
            </w:pPr>
            <w:r>
              <w:rPr/>
              <w:t>1期：1.货物特性：货物为原制造商制造的全新产品，无污染，无侵权行为、表面无划损、无任何缺陷隐患，在中国境内可依规安全合法使用。 2. 签订合同后60个日历天内采购人对雷达设备进行验货，验货合格后中标人将雷达设备运送到采购人指定地点。 3.系统验收：雷达安装调试完成，达到可使用状态后，投入观测业务试运行，系统运行稳定，气象数据收发正常，气象产品符合合同要求时，中标人书面向采购人提出验收申请，采购人接到申请后3个工作日内组织人员对雷达系统进行系统验收，并在5个工作日内出具系统验收报告。采购人出具系统验收报告后，视为中标方已完成该期项目的交付。 4.终期验收：X波段双极化相控阵天气雷达项目系统验收后，中标人准备好所有相关材料，书面向采购方提出验收申请，采购人接到申请后15个工作日内，组织人员对采购项目（除运维保障服务以外的全部建设内容）进行终期验收，并在5个工作日内出具项目终期验收报告。 5.如因第三方不可控原因导致工期延迟，中标人可视情况向采购人书面递交延期申请，采购人批复同意后，方可延期。 6.验收人员： （1）采购人，或专家或其委托的第三方机构（如有）； （2）中标人。 7.技术资料 （1）交货时，应同时交付产品使用手册、质量检验证书（合格证）等相关资料。 （2）验收后，应提供验收报告。 （3）资料提供方：中标人；资料受理方：采购人。 8.验收结果确认：验收完毕由采购人及中标人在验收报告上签名确认。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报价要求，1.本项目报价为广东省佛山市目的地竣工验收交付价。 2.投标报价指投标人为完成本项目所收取的全部费用，包含但不限于以下费用：项目深化设计、货物及零配件成本费、相关配套软件费用、基础建设及安装（含相关辅材和人工费用）、保险费、运输费、装卸费、保险费、安装费、调试费、材料费、技术服务费、验收（包含专家验收所涉及的一切费用）、培训费用、质保期内的保修、售后服务、各项税费及不可预见费等完成本招标内容所需的一切费用，并包含本项目的招标代理费（中标服务费）。 3.投标人须考虑本项目在实施期间的一切可能产生的费用。 4.报价不得高于本项目的采购项目预算金额人民币10,310,000.00元，否则视为无效报价，作无效投标处理。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4.调试：按行业相关验收规范进行。 5.其他：设备的拆箱、安装、通电、调试等项工作由中标人负责，但必须在采购人指定人员的参与下进行。调试的原始记录须经各方签字后作为验收的文件之一。</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4.培训费用：培训场地由采购人提供，其他与本项目有关的培训费用包括差旅、食宿、教材、资料等由中标人负责，均计入投标报价中。</w:t>
            </w:r>
          </w:p>
          <w:p>
            <w:pPr>
              <w:pStyle w:val="null3"/>
            </w:pPr>
            <w:r>
              <w:rPr/>
              <w:t>质保期，1.自项目系统验收合格次日起1年。 2.若国家或生产厂家对本项目所涉及货物的质保期的规定高于本项目的要求，应按国家或生产厂家的规定执行。 3.在质保期内中标人免费提供货物正常使用情况下的维修及保养服务。</w:t>
            </w:r>
          </w:p>
          <w:p>
            <w:pPr>
              <w:pStyle w:val="null3"/>
            </w:pPr>
            <w:r>
              <w:rPr/>
              <w:t>质量保证及售后服务，1.质保及售后服务期内，系统如有任何异常或故障发生，中标人应调查原因并及时修复。中标人应提供7×24小时技术支持热线电话，在发生故障的情况下，中标人应承诺在8个小时内响应，确定需现场解决后，48小时内赶到故障现场。 2.质保期内，在非人为因素情况下，一切维修换件保养费用和备品备件均由中标人提供。 3.如因货物自身故障致停用时间每年累计超过20天时，则质保期在状态恢复正常时重新计算或对故障设备予以重新更换。 4.任何时候，中标人均不能免除因货物本身的缺陷所应负的责任。 5.在质保期内中标人应提供系统升级方面的技术支持服务。 6.质保期内，中标人承担雷达运行期间的电费、通讯费、标定费、各项安全检测费、巡检、维护保养费用。 7.考虑到项目范围周边正在施工建设，若采购人有需要，中标人需提供两次免费移机服务（不含雷达天线主体及铁塔的移动，含方舱机房移位、机柜及相关设备的移机和安装调试、电源及信号线路的调整敷设）。 8.在3年内，雷达非易损耗核心部件（雷达天线、系统软件）出现非人为因素造成的故障时，中标人应免费承担维修、换件等相关费用。 9.本项上述情况的产生费用由中标人负责。 注：投标人在报价时可单独列出此项目，若没有列出此项目报价的，视为此项报价已摊分在各分项报价中。</w:t>
            </w:r>
          </w:p>
          <w:p>
            <w:pPr>
              <w:pStyle w:val="null3"/>
            </w:pPr>
            <w:r>
              <w:rPr/>
              <w:t>知识产权，采购人在中华人民共和国境内使用投标人提供的货物及服务时免受第三方提出的侵犯其专利权或其它知识产权的起诉。如果第三方提出侵权指控，中标人应承担由此而引起的一切法律责任和费用。</w:t>
            </w:r>
          </w:p>
          <w:p>
            <w:pPr>
              <w:pStyle w:val="null3"/>
            </w:pPr>
            <w:r>
              <w:rPr/>
              <w:t>分包要求，本项目中“X波段双极化相控阵天气雷达系统”为主体、关键性内容，不允许分包，其他内容为非主体、非关键性内容，在合同履行中，如涉及需要第三方实施，可由中标人聘请有资质的第三方实施，但实施前需经得采购人的审核并书面同意方可实施，否则视为违约，采购人有权单方面终止合同，由此造成的损失由中标人自行承担，采购人保留追究其法律责任的权利。</w:t>
            </w:r>
          </w:p>
          <w:p>
            <w:pPr>
              <w:pStyle w:val="null3"/>
            </w:pPr>
            <w:r>
              <w:rPr/>
              <w:t>违约责任，1.中标人交付的物品不符合招标文件、投标文件或合同约定的，采购人有权拒收或要求中标人退货、减价、重修等，中标人应在采购人限定期限内重新交付符合规定的物品，逾期不能交付或者交付不符合规定的，采购人有权单方解除合同，中标人需向采购人支付合同价款总额 5%的违约金。 2.中标人逾期交货，每逾期一日，则每日按合同总额 0.05 %向采购人支付违约金，逾期交付超过 30 天，甲方有权单方解除合同。 3.采购人无正当理由拒收货物/接受服务，到期拒付货物/服务款项的，采购人向中标人偿付合同总额 5%的违约金。 4.违约方除承担违约责任，还应当承担守约方维权支出费用，维权支出费用包括但不限于律师费、诉讼（仲裁）费、鉴定费、财产保全保险费等。</w:t>
            </w:r>
          </w:p>
          <w:p>
            <w:pPr>
              <w:pStyle w:val="null3"/>
            </w:pPr>
            <w:r>
              <w:rPr/>
              <w:t>其他，1.合同响应要求：响应招标文件的合同文本或合同条款。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 4.其他要求详见招标文件第四部分《合同书范本》的规定。</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地面相控阵雷达</w:t>
            </w:r>
          </w:p>
        </w:tc>
        <w:tc>
          <w:tcPr>
            <w:tcW w:type="dxa" w:w="831"/>
          </w:tcPr>
          <w:p>
            <w:pPr>
              <w:pStyle w:val="null3"/>
              <w:jc w:val="left"/>
            </w:pPr>
            <w:r>
              <w:rPr/>
              <w:t>X波段双极化相控阵天气雷达</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10,310,000.00</w:t>
            </w:r>
          </w:p>
        </w:tc>
        <w:tc>
          <w:tcPr>
            <w:tcW w:type="dxa" w:w="831"/>
          </w:tcPr>
          <w:p>
            <w:pPr>
              <w:pStyle w:val="null3"/>
              <w:jc w:val="right"/>
            </w:pPr>
            <w:r>
              <w:rPr/>
              <w:t>10,310,000.00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X波段双极化相控阵天气雷达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w:t>
            </w:r>
            <w:r>
              <w:rPr>
                <w:sz w:val="21"/>
              </w:rPr>
              <w:t>佛山市顺德区</w:t>
            </w:r>
            <w:r>
              <w:rPr>
                <w:sz w:val="21"/>
              </w:rPr>
              <w:t>X</w:t>
            </w:r>
            <w:r>
              <w:rPr>
                <w:sz w:val="21"/>
              </w:rPr>
              <w:t>波段双极化相控阵天气雷达采购项目</w:t>
            </w:r>
            <w:r>
              <w:rPr>
                <w:sz w:val="21"/>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444"/>
              <w:gridCol w:w="1402"/>
              <w:gridCol w:w="432"/>
              <w:gridCol w:w="432"/>
              <w:gridCol w:w="2863"/>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w:t>
                  </w:r>
                  <w:r>
                    <w:rPr>
                      <w:sz w:val="21"/>
                    </w:rPr>
                    <w:t>波段双极化相控阵天气雷达系统</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包括雷达设备及配套软件</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雷达塔</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w:t>
                  </w:r>
                </w:p>
              </w:tc>
              <w:tc>
                <w:tcPr>
                  <w:tcW w:type="dxa" w:w="2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雷达塔高</w:t>
                  </w:r>
                  <w:r>
                    <w:rPr>
                      <w:sz w:val="21"/>
                    </w:rPr>
                    <w:t>30</w:t>
                  </w:r>
                  <w:r>
                    <w:rPr>
                      <w:sz w:val="21"/>
                    </w:rPr>
                    <w:t>米。</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其他配套设施</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包括雷达站防雷</w:t>
                  </w:r>
                  <w:r>
                    <w:rPr>
                      <w:sz w:val="21"/>
                    </w:rPr>
                    <w:t>设施</w:t>
                  </w:r>
                  <w:r>
                    <w:rPr>
                      <w:sz w:val="21"/>
                    </w:rPr>
                    <w:t>、配供电、通信、安防要求、温控系统以及消防设施等。</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雷达系统安装调试服务</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2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雷达系统安装调试服务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雷达设备和应用软件培训服务</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2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雷达基本原理、操作、维护和设备配套软件应用技术培训。</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二</w:t>
            </w:r>
            <w:r>
              <w:rPr>
                <w:sz w:val="21"/>
                <w:b/>
              </w:rPr>
              <w:t>、</w:t>
            </w:r>
            <w:r>
              <w:rPr>
                <w:sz w:val="21"/>
                <w:b/>
              </w:rPr>
              <w:t>X</w:t>
            </w:r>
            <w:r>
              <w:rPr>
                <w:sz w:val="21"/>
                <w:b/>
              </w:rPr>
              <w:t>波段双极化相控阵天气雷达设备技术指标要求</w:t>
            </w:r>
          </w:p>
          <w:p>
            <w:pPr>
              <w:pStyle w:val="null3"/>
              <w:ind w:firstLine="420"/>
              <w:jc w:val="both"/>
            </w:pPr>
            <w:r>
              <w:rPr>
                <w:sz w:val="21"/>
              </w:rPr>
              <w:t>中标人须提供</w:t>
            </w:r>
            <w:r>
              <w:rPr>
                <w:sz w:val="21"/>
              </w:rPr>
              <w:t>1</w:t>
            </w:r>
            <w:r>
              <w:rPr>
                <w:sz w:val="21"/>
              </w:rPr>
              <w:t>套</w:t>
            </w:r>
            <w:r>
              <w:rPr>
                <w:sz w:val="21"/>
              </w:rPr>
              <w:t>X</w:t>
            </w:r>
            <w:r>
              <w:rPr>
                <w:sz w:val="21"/>
              </w:rPr>
              <w:t>波段双极化相控阵天气雷达设备，其技术指标如下表</w:t>
            </w:r>
            <w:r>
              <w:rPr>
                <w:sz w:val="21"/>
              </w:rPr>
              <w:t>1</w:t>
            </w:r>
            <w:r>
              <w:rPr>
                <w:sz w:val="21"/>
              </w:rPr>
              <w:t>所列。</w:t>
            </w:r>
          </w:p>
          <w:p>
            <w:pPr>
              <w:pStyle w:val="null3"/>
              <w:ind w:firstLine="420"/>
              <w:jc w:val="both"/>
            </w:pPr>
            <w:r>
              <w:rPr>
                <w:sz w:val="21"/>
              </w:rPr>
              <w:t xml:space="preserve">        </w:t>
            </w:r>
            <w:r>
              <w:rPr>
                <w:sz w:val="21"/>
              </w:rPr>
              <w:t>表</w:t>
            </w:r>
            <w:r>
              <w:rPr>
                <w:sz w:val="21"/>
              </w:rPr>
              <w:t>1</w:t>
            </w:r>
            <w:r>
              <w:rPr>
                <w:sz w:val="21"/>
              </w:rPr>
              <w:t xml:space="preserve"> </w:t>
            </w:r>
            <w:r>
              <w:rPr>
                <w:sz w:val="21"/>
              </w:rPr>
              <w:t>X</w:t>
            </w:r>
            <w:r>
              <w:rPr>
                <w:sz w:val="21"/>
              </w:rPr>
              <w:t>波段双极化相控阵天气雷达设备技术指标要求</w:t>
            </w:r>
          </w:p>
          <w:tbl>
            <w:tblPr>
              <w:tblInd w:type="dxa" w:w="240"/>
              <w:tblBorders>
                <w:top w:val="none" w:color="000000" w:sz="4"/>
                <w:left w:val="none" w:color="000000" w:sz="4"/>
                <w:bottom w:val="none" w:color="000000" w:sz="4"/>
                <w:right w:val="none" w:color="000000" w:sz="4"/>
                <w:insideH w:val="none"/>
                <w:insideV w:val="none"/>
              </w:tblBorders>
            </w:tblPr>
            <w:tblGrid>
              <w:gridCol w:w="1720"/>
              <w:gridCol w:w="2096"/>
              <w:gridCol w:w="1782"/>
            </w:tblGrid>
            <w:tr>
              <w:tc>
                <w:tcPr>
                  <w:tcW w:type="dxa" w:w="1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c>
                <w:tcPr>
                  <w:tcW w:type="dxa" w:w="2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c>
                <w:tcPr>
                  <w:tcW w:type="dxa" w:w="1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证明材料要求</w:t>
                  </w: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技术体制</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全相参多普勒、一维机扫、一维相扫、双极化（双线偏振）</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天线形式</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双线偏振相控阵阵列天线</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投标人提供所投的天气雷达的天线实物正面及侧面照片</w:t>
                  </w: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增益（法向）</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≥36dB</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第一副瓣电平（水平）</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≤-23dB</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交叉极化隔离度</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≥30dB</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波束水平宽度（水平偏振和垂直偏振）（法向）</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波束垂直宽度（水平偏振和垂直偏振）（法向）</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工作频率</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 GHz</w:t>
                  </w:r>
                  <w:r>
                    <w:rPr>
                      <w:sz w:val="21"/>
                    </w:rPr>
                    <w:t>～</w:t>
                  </w:r>
                  <w:r>
                    <w:rPr>
                      <w:sz w:val="21"/>
                    </w:rPr>
                    <w:t>9.5GHz</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极化方式</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水平极化、垂直极化、水平</w:t>
                  </w:r>
                  <w:r>
                    <w:rPr>
                      <w:sz w:val="21"/>
                    </w:rPr>
                    <w:t>&amp;</w:t>
                  </w:r>
                  <w:r>
                    <w:rPr>
                      <w:sz w:val="21"/>
                    </w:rPr>
                    <w:t>垂直双极化</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同时接收波束数</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r>
                    <w:rPr>
                      <w:sz w:val="21"/>
                    </w:rPr>
                    <w:t>个波束</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投标人提供第三方检测机构出具的检测报告复印件或扫描件</w:t>
                  </w: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距离分辨率</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≤30m</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探测距离</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0km</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脉冲峰值功率（每个极化）</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w:t>
                  </w:r>
                  <w:r>
                    <w:rPr>
                      <w:sz w:val="21"/>
                    </w:rPr>
                    <w:t>00W</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投标人提供第三方检测机构出具的检测报告复印件或扫描件</w:t>
                  </w: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体扫时间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≤60s</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扫描范围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方位：</w:t>
                  </w:r>
                  <w:r>
                    <w:rPr>
                      <w:sz w:val="21"/>
                    </w:rPr>
                    <w:t>0°</w:t>
                  </w:r>
                  <w:r>
                    <w:rPr>
                      <w:sz w:val="21"/>
                    </w:rPr>
                    <w:t>～</w:t>
                  </w:r>
                  <w:r>
                    <w:rPr>
                      <w:sz w:val="21"/>
                    </w:rPr>
                    <w:t>360°</w:t>
                  </w:r>
                  <w:r>
                    <w:rPr>
                      <w:sz w:val="21"/>
                    </w:rPr>
                    <w:t>，俯仰：</w:t>
                  </w:r>
                  <w:r>
                    <w:rPr>
                      <w:sz w:val="21"/>
                    </w:rPr>
                    <w:t>-2°</w:t>
                  </w:r>
                  <w:r>
                    <w:rPr>
                      <w:sz w:val="21"/>
                    </w:rPr>
                    <w:t>～</w:t>
                  </w:r>
                  <w:r>
                    <w:rPr>
                      <w:sz w:val="21"/>
                    </w:rPr>
                    <w:t>60°</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接收系统动态范围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≥95dB</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强度：</w:t>
                  </w:r>
                  <w:r>
                    <w:rPr>
                      <w:sz w:val="21"/>
                    </w:rPr>
                    <w:t>-15</w:t>
                  </w:r>
                  <w:r>
                    <w:rPr>
                      <w:sz w:val="21"/>
                    </w:rPr>
                    <w:t>～</w:t>
                  </w:r>
                  <w:r>
                    <w:rPr>
                      <w:sz w:val="21"/>
                    </w:rPr>
                    <w:t>+80dBZ</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tcBorders>
                    <w:top w:val="none" w:color="000000" w:sz="4"/>
                    <w:left w:val="single" w:color="000000" w:sz="4"/>
                    <w:bottom w:val="single" w:color="000000" w:sz="4"/>
                    <w:right w:val="single" w:color="000000" w:sz="4"/>
                  </w:tcBorders>
                </w:tcP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速度：</w:t>
                  </w:r>
                  <w:r>
                    <w:rPr>
                      <w:sz w:val="21"/>
                    </w:rPr>
                    <w:t>-48</w:t>
                  </w:r>
                  <w:r>
                    <w:rPr>
                      <w:sz w:val="21"/>
                    </w:rPr>
                    <w:t>～</w:t>
                  </w:r>
                  <w:r>
                    <w:rPr>
                      <w:sz w:val="21"/>
                    </w:rPr>
                    <w:t>+48m/s</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tcBorders>
                    <w:top w:val="none" w:color="000000" w:sz="4"/>
                    <w:left w:val="single" w:color="000000" w:sz="4"/>
                    <w:bottom w:val="single" w:color="000000" w:sz="4"/>
                    <w:right w:val="single" w:color="000000" w:sz="4"/>
                  </w:tcBorders>
                </w:tcP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谱宽：</w:t>
                  </w:r>
                  <w:r>
                    <w:rPr>
                      <w:sz w:val="21"/>
                    </w:rPr>
                    <w:t xml:space="preserve">0m/s </w:t>
                  </w:r>
                  <w:r>
                    <w:rPr>
                      <w:sz w:val="21"/>
                    </w:rPr>
                    <w:t xml:space="preserve">～ </w:t>
                  </w:r>
                  <w:r>
                    <w:rPr>
                      <w:sz w:val="21"/>
                    </w:rPr>
                    <w:t>16m/s</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tcBorders>
                    <w:top w:val="none" w:color="000000" w:sz="4"/>
                    <w:left w:val="single" w:color="000000" w:sz="4"/>
                    <w:bottom w:val="single" w:color="000000" w:sz="4"/>
                    <w:right w:val="single" w:color="000000" w:sz="4"/>
                  </w:tcBorders>
                </w:tcP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差分反射率因子：</w:t>
                  </w:r>
                </w:p>
                <w:p>
                  <w:pPr>
                    <w:pStyle w:val="null3"/>
                    <w:jc w:val="center"/>
                  </w:pPr>
                  <w:r>
                    <w:rPr>
                      <w:sz w:val="21"/>
                    </w:rPr>
                    <w:t xml:space="preserve">-7.9dB </w:t>
                  </w:r>
                  <w:r>
                    <w:rPr>
                      <w:sz w:val="21"/>
                    </w:rPr>
                    <w:t xml:space="preserve">～ </w:t>
                  </w:r>
                  <w:r>
                    <w:rPr>
                      <w:sz w:val="21"/>
                    </w:rPr>
                    <w:t>+7.9dB</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tcBorders>
                    <w:top w:val="none" w:color="000000" w:sz="4"/>
                    <w:left w:val="single" w:color="000000" w:sz="4"/>
                    <w:bottom w:val="single" w:color="000000" w:sz="4"/>
                    <w:right w:val="single" w:color="000000" w:sz="4"/>
                  </w:tcBorders>
                </w:tcP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差分传播相位：</w:t>
                  </w:r>
                  <w:r>
                    <w:rPr>
                      <w:sz w:val="21"/>
                    </w:rPr>
                    <w:t>-90°</w:t>
                  </w:r>
                  <w:r>
                    <w:rPr>
                      <w:sz w:val="21"/>
                    </w:rPr>
                    <w:t>～</w:t>
                  </w:r>
                  <w:r>
                    <w:rPr>
                      <w:sz w:val="21"/>
                    </w:rPr>
                    <w:t>+90°</w:t>
                  </w:r>
                  <w:r>
                    <w:rPr>
                      <w:sz w:val="21"/>
                    </w:rPr>
                    <w:t>或</w:t>
                  </w:r>
                  <w:r>
                    <w:rPr>
                      <w:sz w:val="21"/>
                    </w:rPr>
                    <w:t>-180°</w:t>
                  </w:r>
                  <w:r>
                    <w:rPr>
                      <w:sz w:val="21"/>
                    </w:rPr>
                    <w:t>～</w:t>
                  </w:r>
                  <w:r>
                    <w:rPr>
                      <w:sz w:val="21"/>
                    </w:rPr>
                    <w:t>+180°</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tcBorders>
                    <w:top w:val="none" w:color="000000" w:sz="4"/>
                    <w:left w:val="single" w:color="000000" w:sz="4"/>
                    <w:bottom w:val="single" w:color="000000" w:sz="4"/>
                    <w:right w:val="single" w:color="000000" w:sz="4"/>
                  </w:tcBorders>
                </w:tcP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差分传播相位率：</w:t>
                  </w:r>
                </w:p>
                <w:p>
                  <w:pPr>
                    <w:pStyle w:val="null3"/>
                    <w:jc w:val="center"/>
                  </w:pPr>
                  <w:r>
                    <w:rPr>
                      <w:sz w:val="21"/>
                    </w:rPr>
                    <w:t>-2°/km</w:t>
                  </w:r>
                  <w:r>
                    <w:rPr>
                      <w:sz w:val="21"/>
                    </w:rPr>
                    <w:t xml:space="preserve">～ </w:t>
                  </w:r>
                  <w:r>
                    <w:rPr>
                      <w:sz w:val="21"/>
                    </w:rPr>
                    <w:t>+20°/km</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tcBorders>
                    <w:top w:val="none" w:color="000000" w:sz="4"/>
                    <w:left w:val="single" w:color="000000" w:sz="4"/>
                    <w:bottom w:val="single" w:color="000000" w:sz="4"/>
                    <w:right w:val="single" w:color="000000" w:sz="4"/>
                  </w:tcBorders>
                </w:tcP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w:t>
                  </w:r>
                  <w:r>
                    <w:rPr>
                      <w:sz w:val="21"/>
                    </w:rPr>
                    <w:t>0</w:t>
                  </w:r>
                  <w:r>
                    <w:rPr>
                      <w:sz w:val="21"/>
                    </w:rPr>
                    <w:t>～</w:t>
                  </w:r>
                  <w:r>
                    <w:rPr>
                      <w:sz w:val="21"/>
                    </w:rPr>
                    <w:t>1</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水平方向上双线偏振波束角度误差</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水平方向上双线偏振</w:t>
                  </w:r>
                  <w:r>
                    <w:rPr>
                      <w:sz w:val="21"/>
                    </w:rPr>
                    <w:t>3dB</w:t>
                  </w:r>
                  <w:r>
                    <w:rPr>
                      <w:sz w:val="21"/>
                    </w:rPr>
                    <w:t>波束宽度差</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电扫方向上双线偏振波束角度误差</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电扫方向上双线偏振</w:t>
                  </w:r>
                  <w:r>
                    <w:rPr>
                      <w:sz w:val="21"/>
                    </w:rPr>
                    <w:t>3dB</w:t>
                  </w:r>
                  <w:r>
                    <w:rPr>
                      <w:sz w:val="21"/>
                    </w:rPr>
                    <w:t>波束宽度误差</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地物杂波抑制比</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≥50dB</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发射通道输出端极限改善因子</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≥50dB</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工作温度范围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w:t>
                  </w:r>
                  <w:r>
                    <w:rPr>
                      <w:sz w:val="21"/>
                    </w:rPr>
                    <w:t>+50℃</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工作湿度范围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抗风能力（阵风）</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r>
                    <w:rPr>
                      <w:sz w:val="21"/>
                    </w:rPr>
                    <w:t>级风速下正常工作</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偏振标量产品</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差分反射率因子产品</w:t>
                  </w:r>
                  <w:r>
                    <w:rPr>
                      <w:sz w:val="21"/>
                    </w:rPr>
                    <w:t>ZDR</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tcBorders>
                    <w:top w:val="none" w:color="000000" w:sz="4"/>
                    <w:left w:val="single" w:color="000000" w:sz="4"/>
                    <w:bottom w:val="single" w:color="000000" w:sz="4"/>
                    <w:right w:val="single" w:color="000000" w:sz="4"/>
                  </w:tcBorders>
                </w:tcP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相关系数产品</w:t>
                  </w:r>
                  <w:r>
                    <w:rPr>
                      <w:sz w:val="21"/>
                    </w:rPr>
                    <w:t>CC</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偏振矢量产品</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差分传播相位率产品</w:t>
                  </w:r>
                  <w:r>
                    <w:rPr>
                      <w:sz w:val="21"/>
                    </w:rPr>
                    <w:t>KDP</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vMerge/>
                  <w:tcBorders>
                    <w:top w:val="none" w:color="000000" w:sz="4"/>
                    <w:left w:val="single" w:color="000000" w:sz="4"/>
                    <w:bottom w:val="single" w:color="000000" w:sz="4"/>
                    <w:right w:val="single" w:color="000000" w:sz="4"/>
                  </w:tcBorders>
                </w:tcP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差分传播相位产品</w:t>
                  </w:r>
                  <w:r>
                    <w:rPr>
                      <w:sz w:val="21"/>
                    </w:rPr>
                    <w:t>PhiDP</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通信方式</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有线专网（上传带宽</w:t>
                  </w:r>
                  <w:r>
                    <w:rPr>
                      <w:sz w:val="21"/>
                    </w:rPr>
                    <w:t>≥50Mbps</w:t>
                  </w:r>
                  <w:r>
                    <w:rPr>
                      <w:sz w:val="21"/>
                    </w:rPr>
                    <w:t>）</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供电方式</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 220V±10%</w:t>
                  </w:r>
                  <w:r>
                    <w:rPr>
                      <w:sz w:val="21"/>
                    </w:rPr>
                    <w:t>，</w:t>
                  </w:r>
                  <w:r>
                    <w:rPr>
                      <w:sz w:val="21"/>
                    </w:rPr>
                    <w:t>50Hz±5%</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任务可靠性时间（</w:t>
                  </w:r>
                  <w:r>
                    <w:rPr>
                      <w:sz w:val="21"/>
                    </w:rPr>
                    <w:t>MTBCF</w:t>
                  </w:r>
                  <w:r>
                    <w:rPr>
                      <w:sz w:val="21"/>
                    </w:rPr>
                    <w:t>）</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≥2000h</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平均故障修复时间</w:t>
                  </w:r>
                  <w:r>
                    <w:rPr>
                      <w:sz w:val="21"/>
                    </w:rPr>
                    <w:t>(MTTR)</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≤0.5h(LRU</w:t>
                  </w:r>
                  <w:r>
                    <w:rPr>
                      <w:sz w:val="21"/>
                    </w:rPr>
                    <w:t>级更换</w:t>
                  </w:r>
                  <w:r>
                    <w:rPr>
                      <w:sz w:val="21"/>
                    </w:rPr>
                    <w:t>)</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连续工作时间</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w:t>
                  </w:r>
                  <w:r>
                    <w:rPr>
                      <w:sz w:val="21"/>
                    </w:rPr>
                    <w:t>24h</w:t>
                  </w:r>
                  <w:r>
                    <w:rPr>
                      <w:sz w:val="21"/>
                    </w:rPr>
                    <w:t>连续工作</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415"/>
          </w:tcPr>
          <w:p>
            <w:pPr>
              <w:pStyle w:val="null3"/>
            </w:pPr>
            <w:r>
              <w:rPr/>
              <w:t>3</w:t>
            </w:r>
          </w:p>
        </w:tc>
        <w:tc>
          <w:tcPr>
            <w:tcW w:type="dxa" w:w="5814"/>
          </w:tcPr>
          <w:p>
            <w:pPr>
              <w:pStyle w:val="null3"/>
              <w:jc w:val="both"/>
            </w:pPr>
            <w:r>
              <w:rPr>
                <w:sz w:val="21"/>
                <w:b/>
              </w:rPr>
              <w:t>三</w:t>
            </w:r>
            <w:r>
              <w:rPr>
                <w:sz w:val="21"/>
                <w:b/>
              </w:rPr>
              <w:t>、雷达配套软件技术要求</w:t>
            </w:r>
          </w:p>
          <w:p>
            <w:pPr>
              <w:pStyle w:val="null3"/>
              <w:ind w:firstLine="420"/>
              <w:jc w:val="both"/>
            </w:pPr>
            <w:r>
              <w:rPr>
                <w:sz w:val="21"/>
              </w:rPr>
              <w:t>1.</w:t>
            </w:r>
            <w:r>
              <w:rPr>
                <w:sz w:val="21"/>
              </w:rPr>
              <w:t>控制软件</w:t>
            </w:r>
          </w:p>
          <w:p>
            <w:pPr>
              <w:pStyle w:val="null3"/>
              <w:ind w:firstLine="420"/>
              <w:jc w:val="both"/>
            </w:pPr>
            <w:r>
              <w:rPr>
                <w:sz w:val="21"/>
              </w:rPr>
              <w:t>可实现远程在线对雷达技术参数、工作模式的设置；对雷达运行状态进行实时监控等。</w:t>
            </w:r>
          </w:p>
          <w:p>
            <w:pPr>
              <w:pStyle w:val="null3"/>
              <w:ind w:firstLine="420"/>
              <w:jc w:val="both"/>
            </w:pPr>
            <w:r>
              <w:rPr>
                <w:sz w:val="21"/>
              </w:rPr>
              <w:t>1</w:t>
            </w:r>
            <w:r>
              <w:rPr>
                <w:sz w:val="21"/>
              </w:rPr>
              <w:t>）使雷达系统管理人员能够对雷达天线阵面有关参数和状态进行设置和监控；</w:t>
            </w:r>
          </w:p>
          <w:p>
            <w:pPr>
              <w:pStyle w:val="null3"/>
              <w:ind w:firstLine="420"/>
              <w:jc w:val="both"/>
            </w:pPr>
            <w:r>
              <w:rPr>
                <w:sz w:val="21"/>
              </w:rPr>
              <w:t>2</w:t>
            </w:r>
            <w:r>
              <w:rPr>
                <w:sz w:val="21"/>
              </w:rPr>
              <w:t>）使雷达系统管理人员能够对雷达各个部分的状态进行监控；</w:t>
            </w:r>
          </w:p>
          <w:p>
            <w:pPr>
              <w:pStyle w:val="null3"/>
              <w:ind w:firstLine="420"/>
              <w:jc w:val="both"/>
            </w:pPr>
            <w:r>
              <w:rPr>
                <w:sz w:val="21"/>
              </w:rPr>
              <w:t>3</w:t>
            </w:r>
            <w:r>
              <w:rPr>
                <w:sz w:val="21"/>
              </w:rPr>
              <w:t>）使雷达系统管理人员完成对雷达工作模式设置，形成雷达工作任务供雷达运行初始化使用，最终实现按工作模式配置所形成的雷达工作方式。</w:t>
            </w:r>
          </w:p>
          <w:p>
            <w:pPr>
              <w:pStyle w:val="null3"/>
              <w:ind w:firstLine="420"/>
              <w:jc w:val="both"/>
            </w:pPr>
            <w:r>
              <w:rPr>
                <w:sz w:val="21"/>
              </w:rPr>
              <w:t>2.</w:t>
            </w:r>
            <w:r>
              <w:rPr>
                <w:sz w:val="21"/>
              </w:rPr>
              <w:t>气象产品显示软件</w:t>
            </w:r>
          </w:p>
          <w:p>
            <w:pPr>
              <w:pStyle w:val="null3"/>
              <w:ind w:firstLine="420"/>
              <w:jc w:val="both"/>
            </w:pPr>
            <w:r>
              <w:rPr>
                <w:sz w:val="21"/>
              </w:rPr>
              <w:t>可实现对雷达气象产品的可视化显示，包括显示参数设置，显示背景选择，各种图例的生成，产品图形的预览、显示、编辑、保存等。</w:t>
            </w:r>
          </w:p>
          <w:p>
            <w:pPr>
              <w:pStyle w:val="null3"/>
              <w:ind w:firstLine="420"/>
              <w:jc w:val="both"/>
            </w:pPr>
            <w:r>
              <w:rPr>
                <w:sz w:val="21"/>
              </w:rPr>
              <w:t>1</w:t>
            </w:r>
            <w:r>
              <w:rPr>
                <w:sz w:val="21"/>
              </w:rPr>
              <w:t>）气象产品预览与保存功能：自动更新和显示气象产品的数据图形和数据文件，查看和显示以往气象产品的数据和图形文件，用户的存储路径上保存产品的图形文件；</w:t>
            </w:r>
          </w:p>
          <w:p>
            <w:pPr>
              <w:pStyle w:val="null3"/>
              <w:ind w:firstLine="420"/>
              <w:jc w:val="both"/>
            </w:pPr>
            <w:r>
              <w:rPr>
                <w:sz w:val="21"/>
              </w:rPr>
              <w:t>2</w:t>
            </w:r>
            <w:r>
              <w:rPr>
                <w:sz w:val="21"/>
              </w:rPr>
              <w:t>）气象产品信息设置功能：设置产品类型，设置产品的存储路径和存储类型，设置产品图形色标，设置产品的动画播放；</w:t>
            </w:r>
          </w:p>
          <w:p>
            <w:pPr>
              <w:pStyle w:val="null3"/>
              <w:ind w:firstLine="420"/>
              <w:jc w:val="both"/>
            </w:pPr>
            <w:r>
              <w:rPr>
                <w:sz w:val="21"/>
              </w:rPr>
              <w:t>3</w:t>
            </w:r>
            <w:r>
              <w:rPr>
                <w:sz w:val="21"/>
              </w:rPr>
              <w:t>）背景地图显示功能：当用户通过本雷达显示系统打开并显示图形数据时，此时的图形数据默认加载了对应站点的地图；</w:t>
            </w:r>
          </w:p>
          <w:p>
            <w:pPr>
              <w:pStyle w:val="null3"/>
              <w:ind w:firstLine="420"/>
              <w:jc w:val="both"/>
            </w:pPr>
            <w:r>
              <w:rPr>
                <w:sz w:val="21"/>
              </w:rPr>
              <w:t>4</w:t>
            </w:r>
            <w:r>
              <w:rPr>
                <w:sz w:val="21"/>
              </w:rPr>
              <w:t>）气象产品的图形化显示功能：当用户需要观察某一时刻的气象产品时，可以借由该功能对目标文件进行可视化处理；</w:t>
            </w:r>
          </w:p>
          <w:p>
            <w:pPr>
              <w:pStyle w:val="null3"/>
              <w:ind w:firstLine="420"/>
              <w:jc w:val="both"/>
            </w:pPr>
            <w:r>
              <w:rPr>
                <w:sz w:val="21"/>
              </w:rPr>
              <w:t>5</w:t>
            </w:r>
            <w:r>
              <w:rPr>
                <w:sz w:val="21"/>
              </w:rPr>
              <w:t>）图形产品分析工具：用户可以通过图形编辑来突出产品、通过文字键入给产品添加备注信息；</w:t>
            </w:r>
          </w:p>
          <w:p>
            <w:pPr>
              <w:pStyle w:val="null3"/>
              <w:ind w:firstLine="420"/>
              <w:jc w:val="both"/>
            </w:pPr>
            <w:r>
              <w:rPr>
                <w:sz w:val="21"/>
              </w:rPr>
              <w:t>6</w:t>
            </w:r>
            <w:r>
              <w:rPr>
                <w:sz w:val="21"/>
              </w:rPr>
              <w:t>）气象产品请求功能：用户可以设置与气象产品生成软件进行连接并向气象产品生成软件进行实时产品请求、预览某一时刻具体角度或高度的气象产品。</w:t>
            </w:r>
          </w:p>
          <w:p>
            <w:pPr>
              <w:pStyle w:val="null3"/>
              <w:ind w:firstLine="420"/>
              <w:jc w:val="both"/>
            </w:pPr>
            <w:r>
              <w:rPr>
                <w:sz w:val="21"/>
              </w:rPr>
              <w:t>3.</w:t>
            </w:r>
            <w:r>
              <w:rPr>
                <w:sz w:val="21"/>
              </w:rPr>
              <w:t>气象产品生成软件</w:t>
            </w:r>
          </w:p>
          <w:p>
            <w:pPr>
              <w:pStyle w:val="null3"/>
              <w:ind w:firstLine="420"/>
              <w:jc w:val="both"/>
            </w:pPr>
            <w:r>
              <w:rPr>
                <w:sz w:val="21"/>
              </w:rPr>
              <w:t>可提供</w:t>
            </w:r>
            <w:r>
              <w:rPr>
                <w:sz w:val="21"/>
              </w:rPr>
              <w:t>8</w:t>
            </w:r>
            <w:r>
              <w:rPr>
                <w:sz w:val="21"/>
              </w:rPr>
              <w:t>类</w:t>
            </w:r>
            <w:r>
              <w:rPr>
                <w:sz w:val="21"/>
              </w:rPr>
              <w:t>35</w:t>
            </w:r>
            <w:r>
              <w:rPr>
                <w:sz w:val="21"/>
              </w:rPr>
              <w:t>个单机雷达气象产品，如表</w:t>
            </w:r>
            <w:r>
              <w:rPr>
                <w:sz w:val="21"/>
              </w:rPr>
              <w:t>2</w:t>
            </w:r>
            <w:r>
              <w:rPr>
                <w:sz w:val="21"/>
              </w:rPr>
              <w:t>所列。</w:t>
            </w:r>
          </w:p>
          <w:p>
            <w:pPr>
              <w:pStyle w:val="null3"/>
              <w:ind w:firstLine="420"/>
              <w:jc w:val="both"/>
            </w:pPr>
            <w:r>
              <w:rPr>
                <w:sz w:val="21"/>
              </w:rPr>
              <w:t>采购的</w:t>
            </w:r>
            <w:r>
              <w:rPr>
                <w:sz w:val="21"/>
              </w:rPr>
              <w:t>X</w:t>
            </w:r>
            <w:r>
              <w:rPr>
                <w:sz w:val="21"/>
              </w:rPr>
              <w:t>波段双极化相控阵天气雷达，完成一个体扫获取的探测数据，实时传送到用户端，经雷达气象产品生成软件分析处理，同时输出下表</w:t>
            </w:r>
            <w:r>
              <w:rPr>
                <w:sz w:val="21"/>
              </w:rPr>
              <w:t>2</w:t>
            </w:r>
            <w:r>
              <w:rPr>
                <w:sz w:val="21"/>
              </w:rPr>
              <w:t>所列</w:t>
            </w:r>
            <w:r>
              <w:rPr>
                <w:sz w:val="21"/>
              </w:rPr>
              <w:t>35</w:t>
            </w:r>
            <w:r>
              <w:rPr>
                <w:sz w:val="21"/>
              </w:rPr>
              <w:t xml:space="preserve">个气象产品。                                                                      </w:t>
            </w:r>
          </w:p>
          <w:p>
            <w:pPr>
              <w:pStyle w:val="null3"/>
              <w:ind w:firstLine="420"/>
              <w:jc w:val="both"/>
            </w:pPr>
            <w:r>
              <w:rPr>
                <w:sz w:val="21"/>
              </w:rPr>
              <w:t xml:space="preserve">                      </w:t>
            </w:r>
            <w:r>
              <w:rPr>
                <w:sz w:val="21"/>
              </w:rPr>
              <w:t>表</w:t>
            </w:r>
            <w:r>
              <w:rPr>
                <w:sz w:val="21"/>
              </w:rPr>
              <w:t>2</w:t>
            </w:r>
            <w:r>
              <w:rPr>
                <w:sz w:val="21"/>
              </w:rPr>
              <w:t xml:space="preserve"> </w:t>
            </w:r>
            <w:r>
              <w:rPr>
                <w:sz w:val="21"/>
              </w:rPr>
              <w:t>单台雷达气象产品</w:t>
            </w:r>
          </w:p>
          <w:tbl>
            <w:tblPr>
              <w:tblInd w:type="dxa" w:w="255"/>
              <w:tblBorders>
                <w:top w:val="none" w:color="000000" w:sz="4"/>
                <w:left w:val="none" w:color="000000" w:sz="4"/>
                <w:bottom w:val="none" w:color="000000" w:sz="4"/>
                <w:right w:val="none" w:color="000000" w:sz="4"/>
                <w:insideH w:val="none"/>
                <w:insideV w:val="none"/>
              </w:tblBorders>
            </w:tblPr>
            <w:tblGrid>
              <w:gridCol w:w="388"/>
              <w:gridCol w:w="413"/>
              <w:gridCol w:w="1277"/>
              <w:gridCol w:w="676"/>
              <w:gridCol w:w="401"/>
              <w:gridCol w:w="413"/>
              <w:gridCol w:w="1365"/>
              <w:gridCol w:w="664"/>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1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气象产品</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缩写</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1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气象产品</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缩写</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w:t>
                  </w:r>
                </w:p>
                <w:p>
                  <w:pPr>
                    <w:pStyle w:val="null3"/>
                    <w:jc w:val="center"/>
                  </w:pPr>
                  <w:r>
                    <w:rPr>
                      <w:sz w:val="21"/>
                    </w:rPr>
                    <w:t>产品</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基本原始反射率产品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降水</w:t>
                  </w:r>
                </w:p>
                <w:p>
                  <w:pPr>
                    <w:pStyle w:val="null3"/>
                    <w:jc w:val="center"/>
                  </w:pPr>
                  <w:r>
                    <w:rPr>
                      <w:sz w:val="21"/>
                    </w:rPr>
                    <w:t>产品</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双偏振定量降水估计产品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QPE</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基本反射率产品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Z</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一小时累积降水量产品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OHP</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基本平均径向速度产品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三小时累积降水量产品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THP</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基本谱宽产品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风暴总累积降水量产品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STP</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差分反射率产品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ZDR</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风速相关产品</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速度方位显示产品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VAD</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差分传播相移产品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PHIDP</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速度方位显示风廓线产品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VWP</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差分传播相移率产品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KDP</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径向散度产品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CC</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方位涡度产品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AS</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反射率衍生产品</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组合反射率产品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CR</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综合切变产品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CS</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分层组合反射率因子平均值产品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LRA</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三维风场产品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分层组合反射率因子最大值产品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LRM</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风暴产品</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风暴追踪信息产品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STI</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最大值产品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MAX</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风暴结构产品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SS</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回波顶高产品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ETOP</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风暴相对平均径向速度产品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SRM</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回波底高产品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EBOT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冰雹指数产品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最强回波高度产品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EMAX</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气旋产品</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中尺度气旋产品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MESO</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13"/>
                  <w:vMerge/>
                  <w:tcBorders>
                    <w:top w:val="none" w:color="000000" w:sz="4"/>
                    <w:left w:val="none" w:color="000000" w:sz="4"/>
                    <w:bottom w:val="single" w:color="000000" w:sz="4"/>
                    <w:right w:val="single" w:color="000000" w:sz="4"/>
                  </w:tcBorders>
                </w:tcP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垂直累积液态水含量产品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VIL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413"/>
                  <w:vMerge/>
                  <w:tcBorders>
                    <w:top w:val="none" w:color="000000" w:sz="4"/>
                    <w:left w:val="none" w:color="000000" w:sz="4"/>
                    <w:bottom w:val="single" w:color="000000" w:sz="4"/>
                    <w:right w:val="single" w:color="000000" w:sz="4"/>
                  </w:tcBorders>
                </w:tc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龙卷涡旋特征产品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TDA</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13"/>
                  <w:vMerge/>
                  <w:tcBorders>
                    <w:top w:val="none" w:color="000000" w:sz="4"/>
                    <w:left w:val="none" w:color="000000" w:sz="4"/>
                    <w:bottom w:val="single" w:color="000000" w:sz="4"/>
                    <w:right w:val="single" w:color="000000" w:sz="4"/>
                  </w:tcBorders>
                </w:tcP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强天气概率产品</w:t>
                  </w:r>
                </w:p>
              </w:tc>
              <w:tc>
                <w:tcPr>
                  <w:tcW w:type="dxa" w:w="6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SWP</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粒子分类产品</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水凝物分类产品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HCL</w:t>
                  </w:r>
                </w:p>
              </w:tc>
            </w:tr>
            <w:tr>
              <w:tc>
                <w:tcPr>
                  <w:tcW w:type="dxa" w:w="388"/>
                  <w:vMerge/>
                  <w:tcBorders>
                    <w:top w:val="none" w:color="000000" w:sz="4"/>
                    <w:left w:val="singl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零度层产品</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双偏振零度层产品</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ML</w:t>
                  </w:r>
                </w:p>
              </w:tc>
            </w:tr>
          </w:tbl>
          <w:p/>
        </w:tc>
      </w:tr>
      <w:tr>
        <w:tc>
          <w:tcPr>
            <w:tcW w:type="dxa" w:w="2076"/>
          </w:tcPr>
          <w:p/>
        </w:tc>
        <w:tc>
          <w:tcPr>
            <w:tcW w:type="dxa" w:w="415"/>
          </w:tcPr>
          <w:p>
            <w:pPr>
              <w:pStyle w:val="null3"/>
            </w:pPr>
            <w:r>
              <w:rPr/>
              <w:t>4</w:t>
            </w:r>
          </w:p>
        </w:tc>
        <w:tc>
          <w:tcPr>
            <w:tcW w:type="dxa" w:w="5814"/>
          </w:tcPr>
          <w:p>
            <w:pPr>
              <w:pStyle w:val="null3"/>
              <w:jc w:val="both"/>
            </w:pPr>
            <w:r>
              <w:rPr>
                <w:sz w:val="21"/>
                <w:b/>
                <w:color w:val="000000"/>
              </w:rPr>
              <w:t>四</w:t>
            </w:r>
            <w:r>
              <w:rPr>
                <w:sz w:val="21"/>
                <w:b/>
                <w:color w:val="000000"/>
              </w:rPr>
              <w:t>、雷达塔技术指标</w:t>
            </w:r>
          </w:p>
          <w:p>
            <w:pPr>
              <w:pStyle w:val="null3"/>
              <w:ind w:firstLine="420"/>
              <w:jc w:val="both"/>
            </w:pPr>
            <w:r>
              <w:rPr>
                <w:sz w:val="21"/>
                <w:color w:val="000000"/>
              </w:rPr>
              <w:t>1.</w:t>
            </w:r>
            <w:r>
              <w:rPr>
                <w:sz w:val="20"/>
                <w:color w:val="000000"/>
              </w:rPr>
              <w:t>正</w:t>
            </w:r>
            <w:r>
              <w:rPr>
                <w:sz w:val="20"/>
                <w:color w:val="000000"/>
              </w:rPr>
              <w:t>8</w:t>
            </w:r>
            <w:r>
              <w:rPr>
                <w:sz w:val="20"/>
                <w:color w:val="000000"/>
              </w:rPr>
              <w:t>边形</w:t>
            </w:r>
            <w:r>
              <w:rPr>
                <w:sz w:val="20"/>
                <w:color w:val="000000"/>
              </w:rPr>
              <w:t>9</w:t>
            </w:r>
            <w:r>
              <w:rPr>
                <w:sz w:val="20"/>
                <w:color w:val="000000"/>
              </w:rPr>
              <w:t>柱自立钢管铁塔，塔底、塔顶八边形对角线长分别是</w:t>
            </w:r>
            <w:r>
              <w:rPr>
                <w:sz w:val="20"/>
                <w:color w:val="000000"/>
              </w:rPr>
              <w:t>8</w:t>
            </w:r>
            <w:r>
              <w:rPr>
                <w:sz w:val="20"/>
                <w:color w:val="000000"/>
              </w:rPr>
              <w:t>米、</w:t>
            </w:r>
            <w:r>
              <w:rPr>
                <w:sz w:val="20"/>
                <w:color w:val="000000"/>
              </w:rPr>
              <w:t>4</w:t>
            </w:r>
            <w:r>
              <w:rPr>
                <w:sz w:val="20"/>
                <w:color w:val="000000"/>
              </w:rPr>
              <w:t>米</w:t>
            </w:r>
            <w:r>
              <w:rPr>
                <w:sz w:val="21"/>
                <w:color w:val="000000"/>
              </w:rPr>
              <w:t>雷达塔高</w:t>
            </w:r>
            <w:r>
              <w:rPr>
                <w:sz w:val="21"/>
                <w:color w:val="000000"/>
              </w:rPr>
              <w:t>30</w:t>
            </w:r>
            <w:r>
              <w:rPr>
                <w:sz w:val="21"/>
                <w:color w:val="000000"/>
              </w:rPr>
              <w:t>米。</w:t>
            </w:r>
          </w:p>
          <w:p>
            <w:pPr>
              <w:pStyle w:val="null3"/>
              <w:ind w:firstLine="420"/>
              <w:jc w:val="both"/>
            </w:pPr>
            <w:r>
              <w:rPr>
                <w:sz w:val="21"/>
                <w:color w:val="000000"/>
              </w:rPr>
              <w:t>2.</w:t>
            </w:r>
            <w:r>
              <w:rPr>
                <w:sz w:val="21"/>
                <w:color w:val="000000"/>
              </w:rPr>
              <w:t>抗震设防烈度</w:t>
            </w:r>
            <w:r>
              <w:rPr>
                <w:sz w:val="21"/>
                <w:color w:val="000000"/>
              </w:rPr>
              <w:t>7</w:t>
            </w:r>
            <w:r>
              <w:rPr>
                <w:sz w:val="21"/>
                <w:color w:val="000000"/>
              </w:rPr>
              <w:t>度，设计基本地震加速度值</w:t>
            </w:r>
            <w:r>
              <w:rPr>
                <w:sz w:val="21"/>
                <w:color w:val="000000"/>
              </w:rPr>
              <w:t>0.</w:t>
            </w:r>
            <w:r>
              <w:rPr>
                <w:sz w:val="21"/>
                <w:color w:val="000000"/>
              </w:rPr>
              <w:t>1</w:t>
            </w:r>
            <w:r>
              <w:rPr>
                <w:sz w:val="21"/>
                <w:color w:val="000000"/>
              </w:rPr>
              <w:t>g</w:t>
            </w:r>
            <w:r>
              <w:rPr>
                <w:sz w:val="21"/>
                <w:color w:val="000000"/>
              </w:rPr>
              <w:t>；</w:t>
            </w:r>
          </w:p>
          <w:p>
            <w:pPr>
              <w:pStyle w:val="null3"/>
              <w:ind w:firstLine="420"/>
              <w:jc w:val="both"/>
            </w:pPr>
            <w:r>
              <w:rPr>
                <w:sz w:val="21"/>
                <w:color w:val="000000"/>
              </w:rPr>
              <w:t>3.</w:t>
            </w:r>
            <w:r>
              <w:rPr>
                <w:sz w:val="21"/>
                <w:color w:val="000000"/>
              </w:rPr>
              <w:t>工作平台活荷载</w:t>
            </w:r>
            <w:r>
              <w:rPr>
                <w:sz w:val="21"/>
                <w:color w:val="000000"/>
              </w:rPr>
              <w:t>3</w:t>
            </w:r>
            <w:r>
              <w:rPr>
                <w:sz w:val="21"/>
                <w:color w:val="000000"/>
              </w:rPr>
              <w:t>.0KN/m^2</w:t>
            </w:r>
            <w:r>
              <w:rPr>
                <w:sz w:val="21"/>
                <w:color w:val="000000"/>
              </w:rPr>
              <w:t>，静载荷</w:t>
            </w:r>
            <w:r>
              <w:rPr>
                <w:sz w:val="21"/>
                <w:color w:val="000000"/>
              </w:rPr>
              <w:t>1500Kg</w:t>
            </w:r>
            <w:r>
              <w:rPr>
                <w:sz w:val="21"/>
                <w:color w:val="000000"/>
              </w:rPr>
              <w:t>；</w:t>
            </w:r>
          </w:p>
          <w:p>
            <w:pPr>
              <w:pStyle w:val="null3"/>
              <w:ind w:firstLine="420"/>
              <w:jc w:val="both"/>
            </w:pPr>
            <w:r>
              <w:rPr>
                <w:sz w:val="21"/>
                <w:color w:val="000000"/>
              </w:rPr>
              <w:t>4.</w:t>
            </w:r>
            <w:r>
              <w:rPr>
                <w:sz w:val="21"/>
                <w:color w:val="000000"/>
              </w:rPr>
              <w:t>风压</w:t>
            </w:r>
            <w:r>
              <w:rPr>
                <w:sz w:val="21"/>
                <w:color w:val="000000"/>
              </w:rPr>
              <w:t>0.</w:t>
            </w:r>
            <w:r>
              <w:rPr>
                <w:sz w:val="21"/>
                <w:color w:val="000000"/>
              </w:rPr>
              <w:t>6</w:t>
            </w:r>
            <w:r>
              <w:rPr>
                <w:sz w:val="21"/>
                <w:color w:val="000000"/>
              </w:rPr>
              <w:t>KN/m^2</w:t>
            </w:r>
            <w:r>
              <w:rPr>
                <w:sz w:val="21"/>
                <w:color w:val="000000"/>
              </w:rPr>
              <w:t>，抗风能力：</w:t>
            </w:r>
            <w:r>
              <w:rPr>
                <w:sz w:val="21"/>
                <w:color w:val="000000"/>
              </w:rPr>
              <w:t>17</w:t>
            </w:r>
            <w:r>
              <w:rPr>
                <w:sz w:val="21"/>
                <w:color w:val="000000"/>
              </w:rPr>
              <w:t>级强阵风吹袭下仍能为雷达提供满足稳定性要求的工作平台；</w:t>
            </w:r>
          </w:p>
          <w:p>
            <w:pPr>
              <w:pStyle w:val="null3"/>
              <w:ind w:firstLine="420"/>
              <w:jc w:val="both"/>
            </w:pPr>
            <w:r>
              <w:rPr>
                <w:sz w:val="21"/>
                <w:color w:val="000000"/>
              </w:rPr>
              <w:t>5.</w:t>
            </w:r>
            <w:r>
              <w:rPr>
                <w:sz w:val="21"/>
                <w:color w:val="000000"/>
              </w:rPr>
              <w:t>热镀锌防腐，结构正常维护状态下使用年限不少于</w:t>
            </w:r>
            <w:r>
              <w:rPr>
                <w:sz w:val="21"/>
                <w:color w:val="000000"/>
              </w:rPr>
              <w:t>50</w:t>
            </w:r>
            <w:r>
              <w:rPr>
                <w:sz w:val="21"/>
                <w:color w:val="000000"/>
              </w:rPr>
              <w:t>年；</w:t>
            </w:r>
          </w:p>
          <w:p>
            <w:pPr>
              <w:pStyle w:val="null3"/>
              <w:ind w:firstLine="420"/>
              <w:jc w:val="both"/>
            </w:pPr>
            <w:r>
              <w:rPr>
                <w:sz w:val="21"/>
                <w:color w:val="000000"/>
              </w:rPr>
              <w:t>6.</w:t>
            </w:r>
            <w:r>
              <w:rPr>
                <w:sz w:val="21"/>
                <w:color w:val="000000"/>
              </w:rPr>
              <w:t>结构安全等级</w:t>
            </w:r>
            <w:r>
              <w:rPr>
                <w:sz w:val="21"/>
                <w:color w:val="000000"/>
              </w:rPr>
              <w:t>2</w:t>
            </w:r>
            <w:r>
              <w:rPr>
                <w:sz w:val="21"/>
                <w:color w:val="000000"/>
              </w:rPr>
              <w:t>级。结构重要性系数</w:t>
            </w:r>
            <w:r>
              <w:rPr>
                <w:sz w:val="21"/>
                <w:color w:val="000000"/>
              </w:rPr>
              <w:t>1.1</w:t>
            </w:r>
            <w:r>
              <w:rPr>
                <w:sz w:val="21"/>
                <w:color w:val="000000"/>
              </w:rPr>
              <w:t>。</w:t>
            </w:r>
          </w:p>
          <w:p>
            <w:pPr>
              <w:pStyle w:val="null3"/>
              <w:jc w:val="both"/>
            </w:pPr>
            <w:r>
              <w:rPr>
                <w:sz w:val="21"/>
                <w:color w:val="000000"/>
              </w:rPr>
              <w:t xml:space="preserve">       7.</w:t>
            </w:r>
            <w:r>
              <w:rPr>
                <w:sz w:val="21"/>
                <w:color w:val="000000"/>
              </w:rPr>
              <w:t>雷达塔应能达到规范对相关设施的抗震、防风、防雷的技术要求。</w:t>
            </w:r>
          </w:p>
        </w:tc>
      </w:tr>
      <w:tr>
        <w:tc>
          <w:tcPr>
            <w:tcW w:type="dxa" w:w="2076"/>
          </w:tcPr>
          <w:p/>
        </w:tc>
        <w:tc>
          <w:tcPr>
            <w:tcW w:type="dxa" w:w="415"/>
          </w:tcPr>
          <w:p>
            <w:pPr>
              <w:pStyle w:val="null3"/>
            </w:pPr>
            <w:r>
              <w:rPr/>
              <w:t>5</w:t>
            </w:r>
          </w:p>
        </w:tc>
        <w:tc>
          <w:tcPr>
            <w:tcW w:type="dxa" w:w="5814"/>
          </w:tcPr>
          <w:p>
            <w:pPr>
              <w:pStyle w:val="null3"/>
              <w:jc w:val="both"/>
            </w:pPr>
            <w:r>
              <w:rPr>
                <w:sz w:val="21"/>
                <w:b/>
              </w:rPr>
              <w:t>五</w:t>
            </w:r>
            <w:r>
              <w:rPr>
                <w:sz w:val="21"/>
                <w:b/>
              </w:rPr>
              <w:t>、其他配套设施技术指标</w:t>
            </w:r>
          </w:p>
          <w:tbl>
            <w:tblPr>
              <w:tblInd w:type="dxa" w:w="375"/>
              <w:tblBorders>
                <w:top w:val="none" w:color="000000" w:sz="4"/>
                <w:left w:val="none" w:color="000000" w:sz="4"/>
                <w:bottom w:val="none" w:color="000000" w:sz="4"/>
                <w:right w:val="none" w:color="000000" w:sz="4"/>
                <w:insideH w:val="none"/>
                <w:insideV w:val="none"/>
              </w:tblBorders>
            </w:tblPr>
            <w:tblGrid>
              <w:gridCol w:w="294"/>
              <w:gridCol w:w="643"/>
              <w:gridCol w:w="3261"/>
              <w:gridCol w:w="1400"/>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3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技术指标</w:t>
                  </w:r>
                </w:p>
              </w:tc>
              <w:tc>
                <w:tcPr>
                  <w:tcW w:type="dxa" w:w="140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雷达站防雷</w:t>
                  </w:r>
                  <w:r>
                    <w:rPr>
                      <w:sz w:val="21"/>
                    </w:rPr>
                    <w:t>设施</w:t>
                  </w:r>
                  <w:r>
                    <w:rPr>
                      <w:sz w:val="21"/>
                    </w:rPr>
                    <w:t>要求</w:t>
                  </w:r>
                </w:p>
              </w:tc>
              <w:tc>
                <w:tcPr>
                  <w:tcW w:type="dxa" w:w="3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中标人应根据产品特点及安装环境等，综合评估雷击风险设置适宜的防雷装置以提高防雷安全。</w:t>
                  </w:r>
                </w:p>
                <w:p>
                  <w:pPr>
                    <w:pStyle w:val="null3"/>
                    <w:jc w:val="left"/>
                  </w:pPr>
                  <w:r>
                    <w:rPr>
                      <w:sz w:val="21"/>
                    </w:rPr>
                    <w:t>2.</w:t>
                  </w:r>
                  <w:r>
                    <w:rPr>
                      <w:sz w:val="21"/>
                    </w:rPr>
                    <w:t>雷达专用玻璃钢接闪杆设置，强度应满足要求。按二类防雷进行设计，采用≥</w:t>
                  </w:r>
                  <w:r>
                    <w:rPr>
                      <w:sz w:val="21"/>
                    </w:rPr>
                    <w:t>3</w:t>
                  </w:r>
                  <w:r>
                    <w:rPr>
                      <w:sz w:val="21"/>
                    </w:rPr>
                    <w:t>支接闪器进行保护，具体高度以滚球法进行确定。于塔中心对称位置安装接闪器，距离塔中心≥</w:t>
                  </w:r>
                  <w:r>
                    <w:rPr>
                      <w:sz w:val="21"/>
                    </w:rPr>
                    <w:t>3</w:t>
                  </w:r>
                  <w:r>
                    <w:rPr>
                      <w:sz w:val="21"/>
                    </w:rPr>
                    <w:t>米。</w:t>
                  </w:r>
                </w:p>
                <w:p>
                  <w:pPr>
                    <w:pStyle w:val="null3"/>
                    <w:jc w:val="left"/>
                  </w:pPr>
                  <w:r>
                    <w:rPr>
                      <w:sz w:val="21"/>
                    </w:rPr>
                    <w:t>3.</w:t>
                  </w:r>
                  <w:r>
                    <w:rPr>
                      <w:sz w:val="21"/>
                    </w:rPr>
                    <w:t>雷达专用玻璃钢接闪杆专用屏蔽引下线设置。高压绝缘电缆（</w:t>
                  </w:r>
                  <w:r>
                    <w:rPr>
                      <w:sz w:val="21"/>
                    </w:rPr>
                    <w:t>10KV-95/15</w:t>
                  </w:r>
                  <w:r>
                    <w:rPr>
                      <w:sz w:val="21"/>
                    </w:rPr>
                    <w:t>）</w:t>
                  </w:r>
                  <w:r>
                    <w:rPr>
                      <w:sz w:val="21"/>
                    </w:rPr>
                    <w:t>,</w:t>
                  </w:r>
                  <w:r>
                    <w:rPr>
                      <w:sz w:val="21"/>
                    </w:rPr>
                    <w:t>沿铁塔塔身敷设或沿铁塔内敷设；</w:t>
                  </w:r>
                </w:p>
                <w:p>
                  <w:pPr>
                    <w:pStyle w:val="null3"/>
                    <w:jc w:val="left"/>
                  </w:pPr>
                  <w:r>
                    <w:rPr>
                      <w:sz w:val="21"/>
                    </w:rPr>
                    <w:t>4.</w:t>
                  </w:r>
                  <w:r>
                    <w:rPr>
                      <w:sz w:val="21"/>
                    </w:rPr>
                    <w:t>雷达设备接地干线设置。</w:t>
                  </w:r>
                </w:p>
                <w:p>
                  <w:pPr>
                    <w:pStyle w:val="null3"/>
                    <w:jc w:val="left"/>
                  </w:pPr>
                  <w:r>
                    <w:rPr>
                      <w:sz w:val="21"/>
                    </w:rPr>
                    <w:t>5.</w:t>
                  </w:r>
                  <w:r>
                    <w:rPr>
                      <w:sz w:val="21"/>
                    </w:rPr>
                    <w:t>人工附加地网设置。要求接地电阻≤</w:t>
                  </w:r>
                  <w:r>
                    <w:rPr>
                      <w:sz w:val="21"/>
                    </w:rPr>
                    <w:t>4.0</w:t>
                  </w:r>
                  <w:r>
                    <w:rPr>
                      <w:sz w:val="21"/>
                    </w:rPr>
                    <w:t>Ω，可采用深井电解离子棒垂直接地极、</w:t>
                  </w:r>
                  <w:r>
                    <w:rPr>
                      <w:sz w:val="21"/>
                    </w:rPr>
                    <w:t>50*50*5</w:t>
                  </w:r>
                  <w:r>
                    <w:rPr>
                      <w:sz w:val="21"/>
                    </w:rPr>
                    <w:t>钢板或</w:t>
                  </w:r>
                  <w:r>
                    <w:rPr>
                      <w:sz w:val="21"/>
                    </w:rPr>
                    <w:t>50*50*5*2.5</w:t>
                  </w:r>
                  <w:r>
                    <w:rPr>
                      <w:sz w:val="21"/>
                    </w:rPr>
                    <w:t>角钢垂直接地极、水平接地极</w:t>
                  </w:r>
                  <w:r>
                    <w:rPr>
                      <w:sz w:val="21"/>
                    </w:rPr>
                    <w:t>-40*4</w:t>
                  </w:r>
                  <w:r>
                    <w:rPr>
                      <w:sz w:val="21"/>
                    </w:rPr>
                    <w:t>热镀锌扁钢组合，同时施放接地降阻剂。接地电阻值实际测量不满足要求时，需进行增补接地体直至达到要求；</w:t>
                  </w:r>
                </w:p>
                <w:p>
                  <w:pPr>
                    <w:pStyle w:val="null3"/>
                    <w:jc w:val="left"/>
                  </w:pPr>
                  <w:r>
                    <w:rPr>
                      <w:sz w:val="21"/>
                    </w:rPr>
                    <w:t>6.</w:t>
                  </w:r>
                  <w:r>
                    <w:rPr>
                      <w:sz w:val="21"/>
                    </w:rPr>
                    <w:t>防雷屏蔽设施。雷达各强弱电线路需穿金属管或采用铠装屏蔽电缆进行防雷屏蔽，且屏蔽层至少首尾两端进接地处理。</w:t>
                  </w:r>
                </w:p>
                <w:p>
                  <w:pPr>
                    <w:pStyle w:val="null3"/>
                    <w:jc w:val="left"/>
                  </w:pPr>
                  <w:r>
                    <w:rPr>
                      <w:sz w:val="21"/>
                    </w:rPr>
                    <w:t>7.</w:t>
                  </w:r>
                  <w:r>
                    <w:rPr>
                      <w:sz w:val="21"/>
                    </w:rPr>
                    <w:t>雷达设备供电线路防雷设置。一级防雷器</w:t>
                  </w:r>
                  <w:r>
                    <w:rPr>
                      <w:sz w:val="21"/>
                    </w:rPr>
                    <w:t>Iimp=25KA,Up</w:t>
                  </w:r>
                  <w:r>
                    <w:rPr>
                      <w:sz w:val="21"/>
                    </w:rPr>
                    <w:t>≤</w:t>
                  </w:r>
                  <w:r>
                    <w:rPr>
                      <w:sz w:val="21"/>
                    </w:rPr>
                    <w:t>2.0KV</w:t>
                  </w:r>
                  <w:r>
                    <w:rPr>
                      <w:sz w:val="21"/>
                    </w:rPr>
                    <w:t>，带雷击计数功能；二级防雷器</w:t>
                  </w:r>
                  <w:r>
                    <w:rPr>
                      <w:sz w:val="21"/>
                    </w:rPr>
                    <w:t>Imax=80KA,In=40KA,Up</w:t>
                  </w:r>
                  <w:r>
                    <w:rPr>
                      <w:sz w:val="21"/>
                    </w:rPr>
                    <w:t>≤</w:t>
                  </w:r>
                  <w:r>
                    <w:rPr>
                      <w:sz w:val="21"/>
                    </w:rPr>
                    <w:t>1.8KV</w:t>
                  </w:r>
                  <w:r>
                    <w:rPr>
                      <w:sz w:val="21"/>
                    </w:rPr>
                    <w:t>；三级防雷器</w:t>
                  </w:r>
                  <w:r>
                    <w:rPr>
                      <w:sz w:val="21"/>
                    </w:rPr>
                    <w:t>Imax=40KA,In=20KA,Up</w:t>
                  </w:r>
                  <w:r>
                    <w:rPr>
                      <w:sz w:val="21"/>
                    </w:rPr>
                    <w:t>≤</w:t>
                  </w:r>
                  <w:r>
                    <w:rPr>
                      <w:sz w:val="21"/>
                    </w:rPr>
                    <w:t>1.5KV</w:t>
                  </w:r>
                  <w:r>
                    <w:rPr>
                      <w:sz w:val="21"/>
                    </w:rPr>
                    <w:t>；</w:t>
                  </w:r>
                </w:p>
                <w:p>
                  <w:pPr>
                    <w:pStyle w:val="null3"/>
                    <w:jc w:val="left"/>
                  </w:pPr>
                  <w:r>
                    <w:rPr>
                      <w:sz w:val="21"/>
                    </w:rPr>
                    <w:t>8.</w:t>
                  </w:r>
                  <w:r>
                    <w:rPr>
                      <w:sz w:val="21"/>
                    </w:rPr>
                    <w:t>雷达系统等电位接地处理；</w:t>
                  </w:r>
                </w:p>
                <w:p>
                  <w:pPr>
                    <w:pStyle w:val="null3"/>
                    <w:jc w:val="left"/>
                  </w:pPr>
                  <w:r>
                    <w:rPr>
                      <w:sz w:val="21"/>
                    </w:rPr>
                    <w:t>9.</w:t>
                  </w:r>
                  <w:r>
                    <w:rPr>
                      <w:sz w:val="21"/>
                    </w:rPr>
                    <w:t>其他参照中华人民共和国气象行业标准《</w:t>
                  </w:r>
                  <w:r>
                    <w:rPr>
                      <w:sz w:val="21"/>
                    </w:rPr>
                    <w:t>QX/T 2</w:t>
                  </w:r>
                  <w:r>
                    <w:rPr>
                      <w:sz w:val="21"/>
                    </w:rPr>
                    <w:t>—</w:t>
                  </w:r>
                  <w:r>
                    <w:rPr>
                      <w:sz w:val="21"/>
                    </w:rPr>
                    <w:t xml:space="preserve">2016  </w:t>
                  </w:r>
                  <w:r>
                    <w:rPr>
                      <w:sz w:val="21"/>
                    </w:rPr>
                    <w:t>新一代天气雷达站防雷技术规范》执行。</w:t>
                  </w:r>
                </w:p>
              </w:tc>
              <w:tc>
                <w:tcPr>
                  <w:tcW w:type="dxa" w:w="140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雷达站雷达供电配套设施</w:t>
                  </w:r>
                </w:p>
              </w:tc>
              <w:tc>
                <w:tcPr>
                  <w:tcW w:type="dxa" w:w="3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AC</w:t>
                  </w:r>
                  <w:r>
                    <w:rPr>
                      <w:sz w:val="21"/>
                    </w:rPr>
                    <w:t>38</w:t>
                  </w:r>
                  <w:r>
                    <w:rPr>
                      <w:sz w:val="21"/>
                    </w:rPr>
                    <w:t>0V±10%</w:t>
                  </w:r>
                  <w:r>
                    <w:rPr>
                      <w:sz w:val="21"/>
                    </w:rPr>
                    <w:t>，供电功率</w:t>
                  </w:r>
                  <w:r>
                    <w:rPr>
                      <w:sz w:val="21"/>
                    </w:rPr>
                    <w:t>≥</w:t>
                  </w:r>
                  <w:r>
                    <w:rPr>
                      <w:sz w:val="21"/>
                    </w:rPr>
                    <w:t>10</w:t>
                  </w:r>
                  <w:r>
                    <w:rPr>
                      <w:sz w:val="21"/>
                    </w:rPr>
                    <w:t>KW</w:t>
                  </w:r>
                  <w:r>
                    <w:rPr>
                      <w:sz w:val="21"/>
                    </w:rPr>
                    <w:t>；</w:t>
                  </w:r>
                </w:p>
                <w:p>
                  <w:pPr>
                    <w:pStyle w:val="null3"/>
                    <w:jc w:val="left"/>
                  </w:pPr>
                  <w:r>
                    <w:rPr>
                      <w:sz w:val="21"/>
                    </w:rPr>
                    <w:t>2</w:t>
                  </w:r>
                  <w:r>
                    <w:rPr>
                      <w:sz w:val="21"/>
                    </w:rPr>
                    <w:t>.</w:t>
                  </w:r>
                  <w:r>
                    <w:rPr>
                      <w:sz w:val="21"/>
                    </w:rPr>
                    <w:t>配备支持雷达系统正常工作不小于</w:t>
                  </w:r>
                  <w:r>
                    <w:rPr>
                      <w:sz w:val="21"/>
                    </w:rPr>
                    <w:t>24</w:t>
                  </w:r>
                  <w:r>
                    <w:rPr>
                      <w:sz w:val="21"/>
                    </w:rPr>
                    <w:t>小时的供电系统</w:t>
                  </w:r>
                  <w:r>
                    <w:rPr>
                      <w:sz w:val="21"/>
                    </w:rPr>
                    <w:t>及相关自动转换开关</w:t>
                  </w:r>
                  <w:r>
                    <w:rPr>
                      <w:sz w:val="21"/>
                    </w:rPr>
                    <w:t>；</w:t>
                  </w:r>
                </w:p>
                <w:p>
                  <w:pPr>
                    <w:pStyle w:val="null3"/>
                    <w:jc w:val="left"/>
                  </w:pPr>
                  <w:r>
                    <w:rPr>
                      <w:sz w:val="21"/>
                    </w:rPr>
                    <w:t>3</w:t>
                  </w:r>
                  <w:r>
                    <w:rPr>
                      <w:sz w:val="21"/>
                    </w:rPr>
                    <w:t>.</w:t>
                  </w:r>
                  <w:r>
                    <w:rPr>
                      <w:sz w:val="21"/>
                    </w:rPr>
                    <w:t>配备</w:t>
                  </w:r>
                  <w:r>
                    <w:rPr>
                      <w:sz w:val="21"/>
                    </w:rPr>
                    <w:t>1</w:t>
                  </w:r>
                  <w:r>
                    <w:rPr>
                      <w:sz w:val="21"/>
                    </w:rPr>
                    <w:t>套温控系统及相应的消防设施。</w:t>
                  </w:r>
                </w:p>
                <w:p>
                  <w:pPr>
                    <w:pStyle w:val="null3"/>
                    <w:jc w:val="left"/>
                  </w:pPr>
                  <w:r>
                    <w:rPr>
                      <w:sz w:val="21"/>
                    </w:rPr>
                    <w:t>4</w:t>
                  </w:r>
                  <w:r>
                    <w:rPr>
                      <w:sz w:val="21"/>
                    </w:rPr>
                    <w:t>.</w:t>
                  </w:r>
                  <w:r>
                    <w:rPr>
                      <w:sz w:val="21"/>
                    </w:rPr>
                    <w:t>配备安装供电系统、配供电设备、通信设施的气象方舱或机房。</w:t>
                  </w:r>
                </w:p>
              </w:tc>
              <w:tc>
                <w:tcPr>
                  <w:tcW w:type="dxa" w:w="140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雷达站通信配套设备</w:t>
                  </w:r>
                </w:p>
              </w:tc>
              <w:tc>
                <w:tcPr>
                  <w:tcW w:type="dxa" w:w="3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雷达站方舱到运营商最近的光交箱新敷设路由；</w:t>
                  </w:r>
                </w:p>
                <w:p>
                  <w:pPr>
                    <w:pStyle w:val="null3"/>
                    <w:jc w:val="left"/>
                  </w:pPr>
                  <w:r>
                    <w:rPr>
                      <w:sz w:val="21"/>
                    </w:rPr>
                    <w:t>2</w:t>
                  </w:r>
                  <w:r>
                    <w:rPr>
                      <w:sz w:val="21"/>
                    </w:rPr>
                    <w:t>.</w:t>
                  </w:r>
                  <w:r>
                    <w:rPr>
                      <w:sz w:val="21"/>
                    </w:rPr>
                    <w:t>雷达站方舱到塔顶雷达通信网络；</w:t>
                  </w:r>
                </w:p>
                <w:p>
                  <w:pPr>
                    <w:pStyle w:val="null3"/>
                    <w:jc w:val="left"/>
                  </w:pPr>
                  <w:r>
                    <w:rPr>
                      <w:sz w:val="21"/>
                    </w:rPr>
                    <w:t>3</w:t>
                  </w:r>
                  <w:r>
                    <w:rPr>
                      <w:sz w:val="21"/>
                    </w:rPr>
                    <w:t>.</w:t>
                  </w:r>
                  <w:r>
                    <w:rPr>
                      <w:sz w:val="21"/>
                    </w:rPr>
                    <w:t>雷达端到气象局端雷达数据处理设施通信专线光纤电路带宽</w:t>
                  </w:r>
                  <w:r>
                    <w:rPr>
                      <w:sz w:val="21"/>
                    </w:rPr>
                    <w:t>≥50Mbps</w:t>
                  </w:r>
                  <w:r>
                    <w:rPr>
                      <w:sz w:val="21"/>
                    </w:rPr>
                    <w:t>。</w:t>
                  </w:r>
                </w:p>
              </w:tc>
              <w:tc>
                <w:tcPr>
                  <w:tcW w:type="dxa" w:w="140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雷达站安防要求</w:t>
                  </w:r>
                </w:p>
              </w:tc>
              <w:tc>
                <w:tcPr>
                  <w:tcW w:type="dxa" w:w="3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雷达站塔底和塔顶各布设</w:t>
                  </w:r>
                  <w:r>
                    <w:rPr>
                      <w:sz w:val="21"/>
                    </w:rPr>
                    <w:t>2</w:t>
                  </w:r>
                  <w:r>
                    <w:rPr>
                      <w:sz w:val="21"/>
                    </w:rPr>
                    <w:t>个</w:t>
                  </w:r>
                  <w:r>
                    <w:rPr>
                      <w:sz w:val="21"/>
                    </w:rPr>
                    <w:t>高清晰度</w:t>
                  </w:r>
                  <w:r>
                    <w:rPr>
                      <w:sz w:val="21"/>
                    </w:rPr>
                    <w:t>全向昼夜监控摄像机；</w:t>
                  </w:r>
                </w:p>
                <w:p>
                  <w:pPr>
                    <w:pStyle w:val="null3"/>
                    <w:jc w:val="left"/>
                  </w:pPr>
                  <w:r>
                    <w:rPr>
                      <w:sz w:val="21"/>
                    </w:rPr>
                    <w:t>2</w:t>
                  </w:r>
                  <w:r>
                    <w:rPr>
                      <w:sz w:val="21"/>
                    </w:rPr>
                    <w:t>.</w:t>
                  </w:r>
                  <w:r>
                    <w:rPr>
                      <w:sz w:val="21"/>
                    </w:rPr>
                    <w:t>监控视频实时传送到气象局监控室终端；</w:t>
                  </w:r>
                </w:p>
                <w:p>
                  <w:pPr>
                    <w:pStyle w:val="null3"/>
                    <w:jc w:val="left"/>
                  </w:pPr>
                  <w:r>
                    <w:rPr>
                      <w:sz w:val="21"/>
                    </w:rPr>
                    <w:t>3</w:t>
                  </w:r>
                  <w:r>
                    <w:rPr>
                      <w:sz w:val="21"/>
                    </w:rPr>
                    <w:t>.</w:t>
                  </w:r>
                  <w:r>
                    <w:rPr>
                      <w:sz w:val="21"/>
                    </w:rPr>
                    <w:t>在</w:t>
                  </w:r>
                  <w:r>
                    <w:rPr>
                      <w:sz w:val="21"/>
                    </w:rPr>
                    <w:t>雷达站</w:t>
                  </w:r>
                  <w:r>
                    <w:rPr>
                      <w:sz w:val="21"/>
                    </w:rPr>
                    <w:t>适宜位置设置安全警示牌或护栏</w:t>
                  </w:r>
                  <w:r>
                    <w:rPr>
                      <w:sz w:val="21"/>
                    </w:rPr>
                    <w:t>。</w:t>
                  </w:r>
                </w:p>
              </w:tc>
              <w:tc>
                <w:tcPr>
                  <w:tcW w:type="dxa" w:w="140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其他要求</w:t>
                  </w:r>
                </w:p>
              </w:tc>
              <w:tc>
                <w:tcPr>
                  <w:tcW w:type="dxa" w:w="3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根据现场雷达塔建设安装情况，预留</w:t>
                  </w:r>
                  <w:r>
                    <w:rPr>
                      <w:sz w:val="21"/>
                    </w:rPr>
                    <w:t>加固工程</w:t>
                  </w:r>
                  <w:r>
                    <w:rPr>
                      <w:sz w:val="21"/>
                    </w:rPr>
                    <w:t>，</w:t>
                  </w:r>
                  <w:r>
                    <w:rPr>
                      <w:sz w:val="21"/>
                    </w:rPr>
                    <w:t>增加挡土墙</w:t>
                  </w:r>
                  <w:r>
                    <w:rPr>
                      <w:sz w:val="21"/>
                    </w:rPr>
                    <w:t>或其他边坡防护措施。</w:t>
                  </w:r>
                </w:p>
              </w:tc>
              <w:tc>
                <w:tcPr>
                  <w:tcW w:type="dxa" w:w="14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tc>
      </w:tr>
      <w:tr>
        <w:tc>
          <w:tcPr>
            <w:tcW w:type="dxa" w:w="2076"/>
          </w:tcPr>
          <w:p/>
        </w:tc>
        <w:tc>
          <w:tcPr>
            <w:tcW w:type="dxa" w:w="415"/>
          </w:tcPr>
          <w:p>
            <w:pPr>
              <w:pStyle w:val="null3"/>
            </w:pPr>
            <w:r>
              <w:rPr/>
              <w:t>6</w:t>
            </w:r>
          </w:p>
        </w:tc>
        <w:tc>
          <w:tcPr>
            <w:tcW w:type="dxa" w:w="5814"/>
          </w:tcPr>
          <w:p>
            <w:pPr>
              <w:pStyle w:val="null3"/>
              <w:jc w:val="both"/>
            </w:pPr>
            <w:r>
              <w:rPr>
                <w:sz w:val="21"/>
                <w:b/>
              </w:rPr>
              <w:t>六</w:t>
            </w:r>
            <w:r>
              <w:rPr>
                <w:sz w:val="21"/>
                <w:b/>
              </w:rPr>
              <w:t>、</w:t>
            </w:r>
            <w:r>
              <w:rPr>
                <w:sz w:val="21"/>
                <w:b/>
              </w:rPr>
              <w:t>安全要求</w:t>
            </w:r>
          </w:p>
          <w:p>
            <w:pPr>
              <w:pStyle w:val="null3"/>
              <w:jc w:val="both"/>
            </w:pPr>
            <w:r>
              <w:rPr>
                <w:sz w:val="21"/>
              </w:rPr>
              <w:t>（一）观测数据安全管理要求</w:t>
            </w:r>
          </w:p>
          <w:p>
            <w:pPr>
              <w:pStyle w:val="null3"/>
              <w:ind w:firstLine="420"/>
              <w:jc w:val="both"/>
            </w:pPr>
            <w:r>
              <w:rPr>
                <w:sz w:val="21"/>
              </w:rPr>
              <w:t>1.</w:t>
            </w:r>
            <w:r>
              <w:rPr>
                <w:sz w:val="21"/>
              </w:rPr>
              <w:t>中标人需加强数据安全管理，坚持数据安全底线思维。雷达观测数据传输必须通过气象广域网或端到端专线传输，严禁观测数据通过互联网传输。</w:t>
            </w:r>
          </w:p>
          <w:p>
            <w:pPr>
              <w:pStyle w:val="null3"/>
              <w:ind w:firstLine="420"/>
              <w:jc w:val="both"/>
            </w:pPr>
            <w:r>
              <w:rPr>
                <w:sz w:val="21"/>
              </w:rPr>
              <w:t>2.</w:t>
            </w:r>
            <w:r>
              <w:rPr>
                <w:sz w:val="21"/>
              </w:rPr>
              <w:t>中标人禁止在雷达设备硬件、软件留有木马、后门或恶意程序。</w:t>
            </w:r>
          </w:p>
          <w:p>
            <w:pPr>
              <w:pStyle w:val="null3"/>
              <w:ind w:firstLine="420"/>
              <w:jc w:val="both"/>
            </w:pPr>
            <w:r>
              <w:rPr>
                <w:sz w:val="21"/>
              </w:rPr>
              <w:t>3.</w:t>
            </w:r>
            <w:r>
              <w:rPr>
                <w:sz w:val="21"/>
              </w:rPr>
              <w:t>中标人禁止把用户信息、观测站相关元数据信息以任何方式提供给境外机构、组织和个人。</w:t>
            </w:r>
          </w:p>
          <w:p>
            <w:pPr>
              <w:pStyle w:val="null3"/>
              <w:ind w:firstLine="420"/>
              <w:jc w:val="both"/>
            </w:pPr>
            <w:r>
              <w:rPr>
                <w:sz w:val="21"/>
              </w:rPr>
              <w:t>4.</w:t>
            </w:r>
            <w:r>
              <w:rPr>
                <w:sz w:val="21"/>
              </w:rPr>
              <w:t>中标人禁止观测站相关元数据信息泄露给相关配套设备厂商或代理商。</w:t>
            </w:r>
          </w:p>
          <w:p>
            <w:pPr>
              <w:pStyle w:val="null3"/>
              <w:ind w:firstLine="420"/>
              <w:jc w:val="both"/>
            </w:pPr>
            <w:r>
              <w:rPr>
                <w:sz w:val="21"/>
              </w:rPr>
              <w:t>5.</w:t>
            </w:r>
            <w:r>
              <w:rPr>
                <w:sz w:val="21"/>
              </w:rPr>
              <w:t>中标人需加强雷达观测设备和相关系统终端安全管理。严禁相关观测设备连接互联网。设备厂商开展故障诊断、维护维修时，不允许设备生产厂商把更换下的存有雷达数据的组件带离观测台站。</w:t>
            </w:r>
          </w:p>
          <w:p>
            <w:pPr>
              <w:pStyle w:val="null3"/>
              <w:ind w:firstLine="420"/>
              <w:jc w:val="both"/>
            </w:pPr>
            <w:r>
              <w:rPr>
                <w:sz w:val="21"/>
              </w:rPr>
              <w:t>6.</w:t>
            </w:r>
            <w:r>
              <w:rPr>
                <w:sz w:val="21"/>
              </w:rPr>
              <w:t>中标人需严格按照《气象数据管理办法（试行）》（气发〔</w:t>
            </w:r>
            <w:r>
              <w:rPr>
                <w:sz w:val="21"/>
              </w:rPr>
              <w:t>2020</w:t>
            </w:r>
            <w:r>
              <w:rPr>
                <w:sz w:val="21"/>
              </w:rPr>
              <w:t>〕</w:t>
            </w:r>
            <w:r>
              <w:rPr>
                <w:sz w:val="21"/>
              </w:rPr>
              <w:t>92</w:t>
            </w:r>
            <w:r>
              <w:rPr>
                <w:sz w:val="21"/>
              </w:rPr>
              <w:t>号）的相关要求，开展数据的保存和使用，确保数据不外泄。</w:t>
            </w:r>
          </w:p>
          <w:p>
            <w:pPr>
              <w:pStyle w:val="null3"/>
              <w:ind w:firstLine="420"/>
              <w:jc w:val="both"/>
            </w:pPr>
            <w:r>
              <w:rPr>
                <w:sz w:val="21"/>
              </w:rPr>
              <w:t>★</w:t>
            </w:r>
            <w:r>
              <w:rPr>
                <w:sz w:val="21"/>
              </w:rPr>
              <w:t>7.</w:t>
            </w:r>
            <w:r>
              <w:rPr>
                <w:sz w:val="21"/>
              </w:rPr>
              <w:t>中标人须提供雷达观测设备和相关系统终端及软件安全承诺书；承诺雷达设备使用范围等不受厂家限制。（须提供承诺书并加盖中标人公章，格式自拟）</w:t>
            </w:r>
          </w:p>
          <w:p>
            <w:pPr>
              <w:pStyle w:val="null3"/>
              <w:jc w:val="both"/>
            </w:pPr>
            <w:r>
              <w:rPr>
                <w:sz w:val="21"/>
              </w:rPr>
              <w:t>（二）安全要求</w:t>
            </w:r>
          </w:p>
          <w:p>
            <w:pPr>
              <w:pStyle w:val="null3"/>
              <w:jc w:val="both"/>
            </w:pPr>
            <w:r>
              <w:rPr>
                <w:sz w:val="21"/>
              </w:rPr>
              <w:t xml:space="preserve">    </w:t>
            </w:r>
            <w:r>
              <w:rPr>
                <w:sz w:val="21"/>
              </w:rPr>
              <w:t>1.</w:t>
            </w:r>
            <w:r>
              <w:rPr>
                <w:sz w:val="21"/>
              </w:rPr>
              <w:t>为确保雷达使用安全，中标人需提供相关第三方专业机构出具的防雷设施检测报告、地基承载力检测报告、铁塔结构检测报告、电磁辐射检测报告等与雷达使用安全或与周边环境安全相关的技术报告。</w:t>
            </w:r>
          </w:p>
          <w:p>
            <w:pPr>
              <w:pStyle w:val="null3"/>
              <w:jc w:val="both"/>
            </w:pPr>
            <w:r>
              <w:rPr>
                <w:sz w:val="21"/>
              </w:rPr>
              <w:t xml:space="preserve">    2.</w:t>
            </w:r>
            <w:r>
              <w:rPr>
                <w:sz w:val="21"/>
              </w:rPr>
              <w:t>中标人实施本项目时，应遵守安全生产相关规定，做好安全防护措施，购买必要的保险等。中标人对项目实施过程中的各项安全责任负责。</w:t>
            </w:r>
          </w:p>
        </w:tc>
      </w:tr>
      <w:tr>
        <w:tc>
          <w:tcPr>
            <w:tcW w:type="dxa" w:w="2076"/>
          </w:tcPr>
          <w:p/>
        </w:tc>
        <w:tc>
          <w:tcPr>
            <w:tcW w:type="dxa" w:w="415"/>
          </w:tcPr>
          <w:p>
            <w:pPr>
              <w:pStyle w:val="null3"/>
            </w:pPr>
            <w:r>
              <w:rPr/>
              <w:t>7</w:t>
            </w:r>
          </w:p>
        </w:tc>
        <w:tc>
          <w:tcPr>
            <w:tcW w:type="dxa" w:w="5814"/>
          </w:tcPr>
          <w:p>
            <w:pPr>
              <w:pStyle w:val="null3"/>
              <w:jc w:val="both"/>
            </w:pPr>
            <w:r>
              <w:rPr>
                <w:sz w:val="21"/>
                <w:b/>
              </w:rPr>
              <w:t>七、雷达系统配套服务要求</w:t>
            </w:r>
          </w:p>
          <w:p>
            <w:pPr>
              <w:pStyle w:val="null3"/>
              <w:ind w:firstLine="420"/>
              <w:jc w:val="both"/>
            </w:pPr>
            <w:r>
              <w:rPr>
                <w:sz w:val="21"/>
              </w:rPr>
              <w:t>1.</w:t>
            </w:r>
            <w:r>
              <w:rPr>
                <w:sz w:val="21"/>
              </w:rPr>
              <w:t>提供雷达设备吊运、安装调试服务。</w:t>
            </w:r>
          </w:p>
          <w:p>
            <w:pPr>
              <w:pStyle w:val="null3"/>
              <w:ind w:firstLine="420"/>
              <w:jc w:val="both"/>
            </w:pPr>
            <w:r>
              <w:rPr>
                <w:sz w:val="21"/>
              </w:rPr>
              <w:t>2.</w:t>
            </w:r>
            <w:r>
              <w:rPr>
                <w:sz w:val="21"/>
              </w:rPr>
              <w:t>提供雷达基本原理、操作、维护和设备配套软件应用技术培训服务。</w:t>
            </w:r>
          </w:p>
          <w:p>
            <w:pPr>
              <w:pStyle w:val="null3"/>
              <w:jc w:val="both"/>
            </w:pPr>
            <w:r>
              <w:rPr>
                <w:sz w:val="21"/>
              </w:rPr>
              <w:t xml:space="preserve">       3.</w:t>
            </w:r>
            <w:r>
              <w:rPr>
                <w:sz w:val="21"/>
              </w:rPr>
              <w:t>提供雷达其他相关技术服务。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佛山市顺德区气象局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采用差额定率累进法计算方式，按中华人民共和国国家发展计划委员会颁发的计价格[2002]1980号文规定“货物类”的95%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其他，1、投标人须按招标文件要求提交与评审标准相关的各类有效资料，如未按要求提交的，该项评分为零分。 2、合同签订时间补充说明，按照佛山市政务服务数据管理局 佛山市财政局关于进一步促进公平竞争优化政府采购营商环境的通知（佛政数函〔2021〕54号），采购人在中标（成交）通知书 发出之日起原则上20日内与中标（成交）供应商签订政府采购合同。 3、政府采购合同融资，（1）政府采购合同融资，是指参与政府采购的中小微企业供应商（以下简称供应商），凭借中标（成交）通知书或政府采购合同向金融机构申请融资，金融机构以供应商信用审查和政府采购信誉为基础，按便捷贷款程序和优惠利率，为其发放无财产抵押贷款的一种融资模式。（2）政府采购合同融资相关政策：《广东省财政厅广东省地方金融监督管理局中国人民银行广州分行关于开展省级政府采购合同融资工作的通知》（粤财采购〔2020〕6 号）、《佛山市政务服务数据管理局 佛山市财政局 佛山市金融工作局 中国人民银行佛山市中心支行关于支持政府采购合同融资的通知》（佛政数函〔2021〕77号）等相关文件。 4、享受扶持政策获得政府采购合同的，小微企业不得将合同分包给大中型企业，中型企业不得将合同分包给大型企业。 5、本招标文件内要求的扫描件或复印件，可以是原件的扫描件，也可以是复印件的扫描件。扫描件性质上可视为复印件。</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傅先生</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佛山市顺德区X波段双极化相控阵天气雷达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采购包1（佛山市顺德区X波段双极化相控阵天气雷达采购项目）：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采购包1（佛山市顺德区X波段双极化相控阵天气雷达采购项目）：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四种证明材料之一：1、提供《政府采购供应商资格信用承诺函》（承诺函格式见采购公告附件）；2、提供2022年度或2023年度财务状况报告；3、提供投标截止日前6个月内基本开户行出具的资信证明；4、财政部门认可的政府采购专业担保机构出具的投标担保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货物的制造商须为中小微企业或监狱企业或残疾人福利性单位。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工业。</w:t>
            </w:r>
          </w:p>
        </w:tc>
      </w:tr>
    </w:tbl>
    <w:p>
      <w:pPr>
        <w:pStyle w:val="null3"/>
        <w:ind w:firstLine="480"/>
      </w:pPr>
      <w:r>
        <w:rPr/>
        <w:t>表二符合性审查表：</w:t>
      </w:r>
    </w:p>
    <w:p>
      <w:pPr>
        <w:pStyle w:val="null3"/>
      </w:pPr>
      <w:r>
        <w:rPr/>
        <w:t>采购包1（佛山市顺德区X波段双极化相控阵天气雷达采购项目）：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投标函已提交并按招标文件填写、签署、盖章。</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报价未超过本项目预算金额或最高限价。</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法定代表人证明书及授权委托书按对应格式文件签署、盖章。</w:t>
            </w:r>
          </w:p>
        </w:tc>
      </w:tr>
      <w:tr>
        <w:tc>
          <w:tcPr>
            <w:tcW w:type="dxa" w:w="890"/>
          </w:tcPr>
          <w:p>
            <w:pPr>
              <w:pStyle w:val="null3"/>
            </w:pPr>
            <w:r>
              <w:rPr/>
              <w:t>5</w:t>
            </w:r>
          </w:p>
        </w:tc>
        <w:tc>
          <w:tcPr>
            <w:tcW w:type="dxa" w:w="3178"/>
          </w:tcPr>
          <w:p>
            <w:pPr>
              <w:pStyle w:val="null3"/>
            </w:pPr>
            <w:r>
              <w:rPr/>
              <w:t>签署、盖章</w:t>
            </w:r>
          </w:p>
        </w:tc>
        <w:tc>
          <w:tcPr>
            <w:tcW w:type="dxa" w:w="4238"/>
          </w:tcPr>
          <w:p>
            <w:pPr>
              <w:pStyle w:val="null3"/>
            </w:pPr>
            <w:r>
              <w:rPr/>
              <w:t>按照招标文件规定要求签署、盖章。</w:t>
            </w:r>
          </w:p>
        </w:tc>
      </w:tr>
      <w:tr>
        <w:tc>
          <w:tcPr>
            <w:tcW w:type="dxa" w:w="890"/>
          </w:tcPr>
          <w:p>
            <w:pPr>
              <w:pStyle w:val="null3"/>
            </w:pPr>
            <w:r>
              <w:rPr/>
              <w:t>6</w:t>
            </w:r>
          </w:p>
        </w:tc>
        <w:tc>
          <w:tcPr>
            <w:tcW w:type="dxa" w:w="3178"/>
          </w:tcPr>
          <w:p>
            <w:pPr>
              <w:pStyle w:val="null3"/>
            </w:pPr>
            <w:r>
              <w:rPr/>
              <w:t>“★”号条款响应</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其他情况</w:t>
            </w:r>
          </w:p>
        </w:tc>
        <w:tc>
          <w:tcPr>
            <w:tcW w:type="dxa" w:w="4238"/>
          </w:tcPr>
          <w:p>
            <w:pPr>
              <w:pStyle w:val="null3"/>
            </w:pPr>
            <w:r>
              <w:rPr/>
              <w:t>投标人或投标文件没有招标文件中规定的其它无效投标条款的；按有关法律、法规、规章不属于投标无效的。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采购包1(佛山市顺德区X波段双极化相控阵天气雷达采购项目):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(19.0分)</w:t>
            </w:r>
          </w:p>
        </w:tc>
        <w:tc>
          <w:tcPr>
            <w:tcW w:type="dxa" w:w="5076"/>
          </w:tcPr>
          <w:p>
            <w:pPr>
              <w:pStyle w:val="null3"/>
              <w:jc w:val="left"/>
            </w:pPr>
            <w:r>
              <w:rPr/>
              <w:t>根据投标人所投主要设备的性能、技术参数对采购需求所作要求的整体响应程度及满足情况进行评审：完全响应（或正偏离）所有技术参数的，得19分；带有“▲”的技术参数，每有一项负偏离或未响应扣3分，最多扣9分；未带有“▲”的技术参数的，每有一项负偏离或未响应扣0.5分，最多扣10分。 【注：以《技术和服务要求响应表》及采购需求中要求提供证明材料（如有）作为评审依据，未提供视为未响应该技术要求。】</w:t>
            </w:r>
          </w:p>
        </w:tc>
      </w:tr>
      <w:tr>
        <w:tc>
          <w:tcPr>
            <w:tcW w:type="dxa" w:w="922"/>
            <w:gridSpan w:val="2"/>
            <w:vMerge/>
          </w:tcPr>
          <w:p/>
        </w:tc>
        <w:tc>
          <w:tcPr>
            <w:tcW w:type="dxa" w:w="2307"/>
          </w:tcPr>
          <w:p>
            <w:pPr>
              <w:pStyle w:val="null3"/>
              <w:jc w:val="left"/>
            </w:pPr>
            <w:r>
              <w:rPr/>
              <w:t>组网协同观测方案可行性 (6.0分)</w:t>
            </w:r>
            <w:r>
              <w:rPr/>
              <w:t>，（等次分值选择：</w:t>
            </w:r>
            <w:r>
              <w:rPr/>
              <w:t>0.0;</w:t>
            </w:r>
            <w:r>
              <w:rPr/>
              <w:t>1.0;</w:t>
            </w:r>
            <w:r>
              <w:rPr/>
              <w:t>3.0;</w:t>
            </w:r>
            <w:r>
              <w:rPr/>
              <w:t>6.0;</w:t>
            </w:r>
            <w:r>
              <w:rPr/>
              <w:t>）</w:t>
            </w:r>
          </w:p>
        </w:tc>
        <w:tc>
          <w:tcPr>
            <w:tcW w:type="dxa" w:w="5076"/>
          </w:tcPr>
          <w:p>
            <w:pPr>
              <w:pStyle w:val="null3"/>
              <w:jc w:val="left"/>
            </w:pPr>
            <w:r>
              <w:rPr/>
              <w:t>根据投标人所投产品与周边地区布设的雷达组网观测方案进行评审： （1）组网协同观测方案对周边地区现状分析详尽准确，所投产品与周边地区布设的雷达组网兼容性好、性能稳定、整体性突出、可操作性强，得6分； （2）组网协同观测方案对周边地区现状分析详尽准确性一般，所投产品与周边地区布设的雷达组网兼容性一般、性能稳定一般、整体性一般、可操作性一般，得3分； （3）组网协同观测方案对周边地区现状分析粗略，所投产品与周边地区布设的雷达组网兼容性较差、性能稳定性、整体性、可操作性较差，得1分； （4）不提供不得分。</w:t>
            </w:r>
          </w:p>
        </w:tc>
      </w:tr>
      <w:tr>
        <w:tc>
          <w:tcPr>
            <w:tcW w:type="dxa" w:w="922"/>
            <w:gridSpan w:val="2"/>
            <w:vMerge/>
          </w:tcPr>
          <w:p/>
        </w:tc>
        <w:tc>
          <w:tcPr>
            <w:tcW w:type="dxa" w:w="2307"/>
          </w:tcPr>
          <w:p>
            <w:pPr>
              <w:pStyle w:val="null3"/>
              <w:jc w:val="left"/>
            </w:pPr>
            <w:r>
              <w:rPr/>
              <w:t>局地小尺度天气系统的探测识别能力 (6.0分)</w:t>
            </w:r>
            <w:r>
              <w:rPr/>
              <w:t>，（等次分值选择：</w:t>
            </w:r>
            <w:r>
              <w:rPr/>
              <w:t>0.0;</w:t>
            </w:r>
            <w:r>
              <w:rPr/>
              <w:t>1.0;</w:t>
            </w:r>
            <w:r>
              <w:rPr/>
              <w:t>3.0;</w:t>
            </w:r>
            <w:r>
              <w:rPr/>
              <w:t>6.0;</w:t>
            </w:r>
            <w:r>
              <w:rPr/>
              <w:t>）</w:t>
            </w:r>
          </w:p>
        </w:tc>
        <w:tc>
          <w:tcPr>
            <w:tcW w:type="dxa" w:w="5076"/>
          </w:tcPr>
          <w:p>
            <w:pPr>
              <w:pStyle w:val="null3"/>
              <w:jc w:val="left"/>
            </w:pPr>
            <w:r>
              <w:rPr/>
              <w:t>根据投标人提供的双偏振(双极化)相控阵天气雷达对局地小尺度天气系统（龙卷、冰雹、下击暴流）探测识别能力进行评审： （1）对局地小尺度天气系统（龙卷、冰雹、下击暴流）探测识别准确，对各种天气情况探测识别针对性强，功能完善、识别清晰，得6分； （2）对局地小尺度天气系统（龙卷、冰雹、下击暴流）探测识别准确性一般，对各种天气情况探测识别针对性一般，功能完善性、识别清晰性一般，得3分； （3）对局地小尺度天气系统（龙卷、冰雹、下击暴流）探测识别模糊，对各种天气情况探测识别模糊，功能不够完善、识别不够清晰，得1分； （4）不提供不得分。</w:t>
            </w:r>
          </w:p>
        </w:tc>
      </w:tr>
      <w:tr>
        <w:tc>
          <w:tcPr>
            <w:tcW w:type="dxa" w:w="922"/>
            <w:gridSpan w:val="2"/>
            <w:vMerge/>
          </w:tcPr>
          <w:p/>
        </w:tc>
        <w:tc>
          <w:tcPr>
            <w:tcW w:type="dxa" w:w="2307"/>
          </w:tcPr>
          <w:p>
            <w:pPr>
              <w:pStyle w:val="null3"/>
              <w:jc w:val="left"/>
            </w:pPr>
            <w:r>
              <w:rPr/>
              <w:t>S、C、X波段天气雷达融合方案 (6.0分)</w:t>
            </w:r>
            <w:r>
              <w:rPr/>
              <w:t>，（等次分值选择：</w:t>
            </w:r>
            <w:r>
              <w:rPr/>
              <w:t>0.0;</w:t>
            </w:r>
            <w:r>
              <w:rPr/>
              <w:t>1.0;</w:t>
            </w:r>
            <w:r>
              <w:rPr/>
              <w:t>3.0;</w:t>
            </w:r>
            <w:r>
              <w:rPr/>
              <w:t>6.0;</w:t>
            </w:r>
            <w:r>
              <w:rPr/>
              <w:t>）</w:t>
            </w:r>
          </w:p>
        </w:tc>
        <w:tc>
          <w:tcPr>
            <w:tcW w:type="dxa" w:w="5076"/>
          </w:tcPr>
          <w:p>
            <w:pPr>
              <w:pStyle w:val="null3"/>
              <w:jc w:val="left"/>
            </w:pPr>
            <w:r>
              <w:rPr/>
              <w:t>根据投标人提出的S、C、X多波段雷达融合方案进行评审： （1）对S、C、X多波段雷达融合的分析全面、软件功能全面、可操作性强，融合方案合理，得6分； （2）对S、C、X多波段雷达融合的分析全面性一般、软件功能一般、可操作性一般，融合方案合理性一般，得3分； （3）对S、C、X多波段雷达融合的分析不够全面、软件功能差、可操作性差，融合方案不合理，得1分； （4）不提供不得分。</w:t>
            </w:r>
          </w:p>
        </w:tc>
      </w:tr>
      <w:tr>
        <w:tc>
          <w:tcPr>
            <w:tcW w:type="dxa" w:w="922"/>
            <w:gridSpan w:val="2"/>
            <w:vMerge/>
          </w:tcPr>
          <w:p/>
        </w:tc>
        <w:tc>
          <w:tcPr>
            <w:tcW w:type="dxa" w:w="2307"/>
          </w:tcPr>
          <w:p>
            <w:pPr>
              <w:pStyle w:val="null3"/>
              <w:jc w:val="left"/>
            </w:pPr>
            <w:r>
              <w:rPr/>
              <w:t>供货、安装、调试及验收方案 (6.0分)</w:t>
            </w:r>
            <w:r>
              <w:rPr/>
              <w:t>，（等次分值选择：</w:t>
            </w:r>
            <w:r>
              <w:rPr/>
              <w:t>0.0;</w:t>
            </w:r>
            <w:r>
              <w:rPr/>
              <w:t>1.0;</w:t>
            </w:r>
            <w:r>
              <w:rPr/>
              <w:t>3.0;</w:t>
            </w:r>
            <w:r>
              <w:rPr/>
              <w:t>6.0;</w:t>
            </w:r>
            <w:r>
              <w:rPr/>
              <w:t>）</w:t>
            </w:r>
          </w:p>
        </w:tc>
        <w:tc>
          <w:tcPr>
            <w:tcW w:type="dxa" w:w="5076"/>
          </w:tcPr>
          <w:p>
            <w:pPr>
              <w:pStyle w:val="null3"/>
              <w:jc w:val="left"/>
            </w:pPr>
            <w:r>
              <w:rPr/>
              <w:t>本项目投标人供货、安装、调试及验收方案（包括但不限于供货、安装、调试及验收）进行评审： （1）投标人针对本项目制定完整、全面、可行、有针对性的安装实施调试等方案和计划的，得6分； （2）投标人针对本项目制定的安装实施调试等方案和计划完整性、全面性、可行性、针对性一般的，得3分； （3）方案制定不够合理，可行性不强的得1分； （4）不提供不得分。</w:t>
            </w:r>
          </w:p>
        </w:tc>
      </w:tr>
      <w:tr>
        <w:tc>
          <w:tcPr>
            <w:tcW w:type="dxa" w:w="922"/>
            <w:gridSpan w:val="2"/>
            <w:vMerge/>
          </w:tcPr>
          <w:p/>
        </w:tc>
        <w:tc>
          <w:tcPr>
            <w:tcW w:type="dxa" w:w="2307"/>
          </w:tcPr>
          <w:p>
            <w:pPr>
              <w:pStyle w:val="null3"/>
              <w:jc w:val="left"/>
            </w:pPr>
            <w:r>
              <w:rPr/>
              <w:t>质量保证方案 (6.0分)</w:t>
            </w:r>
            <w:r>
              <w:rPr/>
              <w:t>，（等次分值选择：</w:t>
            </w:r>
            <w:r>
              <w:rPr/>
              <w:t>0.0;</w:t>
            </w:r>
            <w:r>
              <w:rPr/>
              <w:t>1.0;</w:t>
            </w:r>
            <w:r>
              <w:rPr/>
              <w:t>3.0;</w:t>
            </w:r>
            <w:r>
              <w:rPr/>
              <w:t>6.0;</w:t>
            </w:r>
            <w:r>
              <w:rPr/>
              <w:t>）</w:t>
            </w:r>
          </w:p>
        </w:tc>
        <w:tc>
          <w:tcPr>
            <w:tcW w:type="dxa" w:w="5076"/>
          </w:tcPr>
          <w:p>
            <w:pPr>
              <w:pStyle w:val="null3"/>
              <w:jc w:val="left"/>
            </w:pPr>
            <w:r>
              <w:rPr/>
              <w:t>根据投标人提供的质量保证措施（包括但不限于货物质检、出厂、运输、交货等环节的保障措施）进行评审： （1）质量保证措施完善、具体详细、科学合理、可行性高，得6分； （2）质量保证措施基本完善、详细、有一定可行性，得3分； （3）质量保证措施不完善、简略、可行性差，得1分； （4）不提供不得分。</w:t>
            </w:r>
          </w:p>
        </w:tc>
      </w:tr>
      <w:tr>
        <w:tc>
          <w:tcPr>
            <w:tcW w:type="dxa" w:w="922"/>
            <w:gridSpan w:val="2"/>
            <w:vMerge/>
          </w:tcPr>
          <w:p/>
        </w:tc>
        <w:tc>
          <w:tcPr>
            <w:tcW w:type="dxa" w:w="2307"/>
          </w:tcPr>
          <w:p>
            <w:pPr>
              <w:pStyle w:val="null3"/>
              <w:jc w:val="left"/>
            </w:pPr>
            <w:r>
              <w:rPr/>
              <w:t>进度保证措施 (6.0分)</w:t>
            </w:r>
            <w:r>
              <w:rPr/>
              <w:t>，（等次分值选择：</w:t>
            </w:r>
            <w:r>
              <w:rPr/>
              <w:t>0.0;</w:t>
            </w:r>
            <w:r>
              <w:rPr/>
              <w:t>1.0;</w:t>
            </w:r>
            <w:r>
              <w:rPr/>
              <w:t>3.0;</w:t>
            </w:r>
            <w:r>
              <w:rPr/>
              <w:t>6.0;</w:t>
            </w:r>
            <w:r>
              <w:rPr/>
              <w:t>）</w:t>
            </w:r>
          </w:p>
        </w:tc>
        <w:tc>
          <w:tcPr>
            <w:tcW w:type="dxa" w:w="5076"/>
          </w:tcPr>
          <w:p>
            <w:pPr>
              <w:pStyle w:val="null3"/>
              <w:jc w:val="left"/>
            </w:pPr>
            <w:r>
              <w:rPr/>
              <w:t>根据投标人针对本项目提供的进度保证措施进行评审： （1）方案进度安排节点控制措施很好，目标明确，进度、措施充分，计划分配体系完整，实施畅通，得6分； （2）方案的进度安排节点控制措施完整，目标明确，进度、措施有一定的可行性，计划分配体系有欠缺，得3分； （3）方案的进度安排节点控制措施方法不完善，有简单的进度、措施可行性低，得1分；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体系认证等证书 (1.0分)</w:t>
            </w:r>
          </w:p>
        </w:tc>
        <w:tc>
          <w:tcPr>
            <w:tcW w:type="dxa" w:w="5076"/>
          </w:tcPr>
          <w:p>
            <w:pPr>
              <w:pStyle w:val="null3"/>
              <w:jc w:val="left"/>
            </w:pPr>
            <w:r>
              <w:rPr/>
              <w:t>投标人获得有效的质量管理体系认证证书的，得1分。 【注：①投标文件中同时提供证书复印件和全国认证认可信息公共服务平台（网站：http://cx.cnca.cn/）网页截图，证书的有效性以http://cx.cnca.cn/网站公布的网页截图为准，未按要求提供不得分；②投标人由于成立时间不足导致不能办理相应认证证书的，提供认证机构出具的“成立时间不足，不能办理认证”的书面证明材料，按已经获得计分。】</w:t>
            </w:r>
          </w:p>
        </w:tc>
      </w:tr>
      <w:tr>
        <w:tc>
          <w:tcPr>
            <w:tcW w:type="dxa" w:w="922"/>
            <w:gridSpan w:val="2"/>
            <w:vMerge/>
          </w:tcPr>
          <w:p/>
        </w:tc>
        <w:tc>
          <w:tcPr>
            <w:tcW w:type="dxa" w:w="2307"/>
          </w:tcPr>
          <w:p>
            <w:pPr>
              <w:pStyle w:val="null3"/>
              <w:jc w:val="left"/>
            </w:pPr>
            <w:r>
              <w:rPr/>
              <w:t>投标人技术服务能力 (5.0分)</w:t>
            </w:r>
          </w:p>
        </w:tc>
        <w:tc>
          <w:tcPr>
            <w:tcW w:type="dxa" w:w="5076"/>
          </w:tcPr>
          <w:p>
            <w:pPr>
              <w:pStyle w:val="null3"/>
              <w:jc w:val="left"/>
            </w:pPr>
            <w:r>
              <w:rPr/>
              <w:t>（1）投标人具有气象雷达相关的技术能力或经验，以合同为准，每提供一个合同得0.5分，本项最高得1分； （2）投标人具有气象雷达测试相关的技术能力或经验，以合同为准，每提供一个合同得1分，本项最高得3分； （3）投标人具有气象雷达算法开发相关的技术能力或经验，以合同为准，每提供一个合同得0.5分，本项最高得1分。 同一合同同时包含上述多项内容的，可重复计分。 【注：提供合同关键页或委托书复印件（含签订合同双方的单位名称、合同项目名称、合同标的页与含签订合同双方的落款盖章、签订日期）并加盖投标人公章。】</w:t>
            </w:r>
          </w:p>
        </w:tc>
      </w:tr>
      <w:tr>
        <w:tc>
          <w:tcPr>
            <w:tcW w:type="dxa" w:w="922"/>
            <w:gridSpan w:val="2"/>
            <w:vMerge/>
          </w:tcPr>
          <w:p/>
        </w:tc>
        <w:tc>
          <w:tcPr>
            <w:tcW w:type="dxa" w:w="2307"/>
          </w:tcPr>
          <w:p>
            <w:pPr>
              <w:pStyle w:val="null3"/>
              <w:jc w:val="left"/>
            </w:pPr>
            <w:r>
              <w:rPr/>
              <w:t>技术团队 (4.0分)</w:t>
            </w:r>
          </w:p>
        </w:tc>
        <w:tc>
          <w:tcPr>
            <w:tcW w:type="dxa" w:w="5076"/>
          </w:tcPr>
          <w:p>
            <w:pPr>
              <w:pStyle w:val="null3"/>
              <w:jc w:val="left"/>
            </w:pPr>
            <w:r>
              <w:rPr/>
              <w:t>（1）项目经理（限1人）：具有高级信息系统项目管理师证书的得2分。 （2）项目技术负责人（限1人且不得兼任）：具有中级（或以上）信息系统项目管理师证书的得2分。 【注：须同时提供证书复印件并加盖投标人公章。】</w:t>
            </w:r>
          </w:p>
        </w:tc>
      </w:tr>
      <w:tr>
        <w:tc>
          <w:tcPr>
            <w:tcW w:type="dxa" w:w="922"/>
            <w:gridSpan w:val="2"/>
            <w:vMerge/>
          </w:tcPr>
          <w:p/>
        </w:tc>
        <w:tc>
          <w:tcPr>
            <w:tcW w:type="dxa" w:w="2307"/>
          </w:tcPr>
          <w:p>
            <w:pPr>
              <w:pStyle w:val="null3"/>
              <w:jc w:val="left"/>
            </w:pPr>
            <w:r>
              <w:rPr/>
              <w:t>售后服务及技术培训方案 (5.0分)</w:t>
            </w:r>
            <w:r>
              <w:rPr/>
              <w:t>，（等次分值选择：</w:t>
            </w:r>
            <w:r>
              <w:rPr/>
              <w:t>0.0;</w:t>
            </w:r>
            <w:r>
              <w:rPr/>
              <w:t>1.0;</w:t>
            </w:r>
            <w:r>
              <w:rPr/>
              <w:t>2.0;</w:t>
            </w:r>
            <w:r>
              <w:rPr/>
              <w:t>5.0;</w:t>
            </w:r>
            <w:r>
              <w:rPr/>
              <w:t>）</w:t>
            </w:r>
          </w:p>
        </w:tc>
        <w:tc>
          <w:tcPr>
            <w:tcW w:type="dxa" w:w="5076"/>
          </w:tcPr>
          <w:p>
            <w:pPr>
              <w:pStyle w:val="null3"/>
              <w:jc w:val="left"/>
            </w:pPr>
            <w:r>
              <w:rPr/>
              <w:t>根据投标人售后服务及技术培训方案进行评审： （1）售后服务及技术培训方案内容详实、针对性强、可实施性好，得5分； （2）售后服务及技术培训方案内容较详实、有一定针对性、有一定可实施性，得2分； （3）售后服务及技术培训方案内容简略、针对性差、可实施性不强，得1分。 （4）未提供方案不得分。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佛山市政府采购项目</w:t>
      </w:r>
    </w:p>
    <w:p>
      <w:pPr>
        <w:pStyle w:val="null3"/>
        <w:jc w:val="center"/>
      </w:pPr>
      <w:r>
        <w:rPr>
          <w:sz w:val="21"/>
        </w:rPr>
        <w:t xml:space="preserve"> </w:t>
      </w:r>
    </w:p>
    <w:p>
      <w:pPr>
        <w:pStyle w:val="null3"/>
        <w:jc w:val="center"/>
      </w:pPr>
      <w:r>
        <w:rPr>
          <w:sz w:val="21"/>
        </w:rPr>
        <w:t xml:space="preserve"> </w:t>
      </w:r>
    </w:p>
    <w:p>
      <w:pPr>
        <w:pStyle w:val="null3"/>
        <w:jc w:val="center"/>
      </w:pPr>
      <w:r>
        <w:rPr>
          <w:sz w:val="56"/>
          <w:b/>
        </w:rPr>
        <w:t>合同书</w:t>
      </w:r>
    </w:p>
    <w:p>
      <w:pPr>
        <w:pStyle w:val="null3"/>
        <w:jc w:val="center"/>
      </w:pPr>
      <w:r>
        <w:rPr>
          <w:sz w:val="21"/>
        </w:rPr>
        <w:t xml:space="preserve"> </w:t>
      </w:r>
    </w:p>
    <w:p>
      <w:pPr>
        <w:pStyle w:val="null3"/>
        <w:jc w:val="center"/>
      </w:pPr>
      <w:r>
        <w:rPr>
          <w:sz w:val="21"/>
        </w:rPr>
        <w:t xml:space="preserve"> </w:t>
      </w:r>
    </w:p>
    <w:p>
      <w:pPr>
        <w:pStyle w:val="null3"/>
        <w:jc w:val="center"/>
      </w:pPr>
      <w:r>
        <w:rPr>
          <w:sz w:val="21"/>
          <w:b/>
        </w:rPr>
        <w:t>（注：本合同书格式仅为合同签订时的参考文本，合同签订双方应根据项目的具体内容对应填列及表述）</w:t>
      </w:r>
    </w:p>
    <w:p>
      <w:pPr>
        <w:pStyle w:val="null3"/>
        <w:ind w:firstLine="170"/>
        <w:jc w:val="center"/>
      </w:pPr>
      <w:r>
        <w:rPr>
          <w:sz w:val="21"/>
        </w:rPr>
        <w:t xml:space="preserve"> </w:t>
      </w:r>
    </w:p>
    <w:p>
      <w:pPr>
        <w:pStyle w:val="null3"/>
        <w:ind w:firstLine="3373"/>
        <w:jc w:val="both"/>
      </w:pPr>
      <w:r>
        <w:rPr>
          <w:sz w:val="21"/>
        </w:rPr>
        <w:t xml:space="preserve"> </w:t>
      </w:r>
    </w:p>
    <w:p>
      <w:pPr>
        <w:pStyle w:val="null3"/>
        <w:ind w:firstLine="3373"/>
        <w:jc w:val="both"/>
      </w:pPr>
      <w:r>
        <w:rPr>
          <w:sz w:val="24"/>
          <w:b/>
        </w:rPr>
        <w:t>项目名称：</w:t>
      </w:r>
    </w:p>
    <w:p>
      <w:pPr>
        <w:pStyle w:val="null3"/>
        <w:ind w:firstLine="3373"/>
        <w:jc w:val="both"/>
      </w:pPr>
      <w:r>
        <w:rPr>
          <w:sz w:val="24"/>
          <w:b/>
        </w:rPr>
        <w:t>项目编号：</w:t>
      </w:r>
    </w:p>
    <w:p>
      <w:pPr>
        <w:pStyle w:val="null3"/>
        <w:ind w:firstLine="3373"/>
        <w:jc w:val="both"/>
      </w:pPr>
      <w:r>
        <w:rPr>
          <w:sz w:val="24"/>
          <w:b/>
        </w:rPr>
        <w:t>签订日期：</w:t>
      </w:r>
      <w:r>
        <w:rPr>
          <w:sz w:val="24"/>
          <w:b/>
        </w:rPr>
        <w:t xml:space="preserve">    </w:t>
      </w:r>
      <w:r>
        <w:rPr>
          <w:sz w:val="24"/>
          <w:b/>
        </w:rPr>
        <w:t>年</w:t>
      </w:r>
      <w:r>
        <w:rPr>
          <w:sz w:val="24"/>
          <w:b/>
        </w:rPr>
        <w:t xml:space="preserve">   </w:t>
      </w:r>
      <w:r>
        <w:rPr>
          <w:sz w:val="24"/>
          <w:b/>
        </w:rPr>
        <w:t>月</w:t>
      </w:r>
      <w:r>
        <w:rPr>
          <w:sz w:val="24"/>
          <w:b/>
        </w:rPr>
        <w:t xml:space="preserve">   </w:t>
      </w:r>
      <w:r>
        <w:rPr>
          <w:sz w:val="24"/>
          <w:b/>
        </w:rPr>
        <w:t>日</w:t>
      </w:r>
    </w:p>
    <w:p>
      <w:pPr>
        <w:pStyle w:val="null3"/>
        <w:jc w:val="both"/>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2"/>
          <w:b/>
        </w:rPr>
        <w:t>采购合同</w:t>
      </w:r>
    </w:p>
    <w:p>
      <w:pPr>
        <w:pStyle w:val="null3"/>
        <w:jc w:val="both"/>
      </w:pPr>
      <w:r>
        <w:rPr>
          <w:sz w:val="21"/>
        </w:rPr>
        <w:t>甲</w:t>
      </w:r>
      <w:r>
        <w:rPr>
          <w:sz w:val="21"/>
        </w:rPr>
        <w:t xml:space="preserve">  </w:t>
      </w:r>
      <w:r>
        <w:rPr>
          <w:sz w:val="21"/>
        </w:rPr>
        <w:t>方（采购人）：</w:t>
      </w:r>
      <w:r>
        <w:rPr>
          <w:sz w:val="21"/>
          <w:u w:val="single"/>
        </w:rPr>
        <w:t xml:space="preserve">             </w:t>
      </w:r>
    </w:p>
    <w:p>
      <w:pPr>
        <w:pStyle w:val="null3"/>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传真：</w:t>
      </w:r>
      <w:r>
        <w:rPr>
          <w:sz w:val="21"/>
          <w:u w:val="single"/>
        </w:rPr>
        <w:t xml:space="preserve">             </w:t>
      </w:r>
      <w:r>
        <w:rPr>
          <w:sz w:val="21"/>
        </w:rPr>
        <w:t xml:space="preserve"> </w:t>
      </w:r>
      <w:r>
        <w:rPr>
          <w:sz w:val="21"/>
        </w:rPr>
        <w:t>住所：</w:t>
      </w:r>
      <w:r>
        <w:rPr>
          <w:sz w:val="21"/>
          <w:u w:val="single"/>
        </w:rPr>
        <w:t xml:space="preserve">             </w:t>
      </w:r>
    </w:p>
    <w:p>
      <w:pPr>
        <w:pStyle w:val="null3"/>
        <w:jc w:val="both"/>
      </w:pPr>
      <w:r>
        <w:rPr>
          <w:sz w:val="21"/>
        </w:rPr>
        <w:t>乙</w:t>
      </w:r>
      <w:r>
        <w:rPr>
          <w:sz w:val="21"/>
        </w:rPr>
        <w:t xml:space="preserve">  </w:t>
      </w:r>
      <w:r>
        <w:rPr>
          <w:sz w:val="21"/>
        </w:rPr>
        <w:t>方（中标人）：</w:t>
      </w:r>
      <w:r>
        <w:rPr>
          <w:sz w:val="21"/>
          <w:u w:val="single"/>
        </w:rPr>
        <w:t xml:space="preserve">             </w:t>
      </w:r>
    </w:p>
    <w:p>
      <w:pPr>
        <w:pStyle w:val="null3"/>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传真：</w:t>
      </w:r>
      <w:r>
        <w:rPr>
          <w:sz w:val="21"/>
          <w:u w:val="single"/>
        </w:rPr>
        <w:t xml:space="preserve">             </w:t>
      </w:r>
      <w:r>
        <w:rPr>
          <w:sz w:val="21"/>
        </w:rPr>
        <w:t xml:space="preserve"> </w:t>
      </w:r>
      <w:r>
        <w:rPr>
          <w:sz w:val="21"/>
        </w:rPr>
        <w:t>住所：</w:t>
      </w:r>
      <w:r>
        <w:rPr>
          <w:sz w:val="21"/>
          <w:u w:val="single"/>
        </w:rPr>
        <w:t xml:space="preserve">             </w:t>
      </w:r>
    </w:p>
    <w:p>
      <w:pPr>
        <w:pStyle w:val="null3"/>
        <w:jc w:val="both"/>
      </w:pPr>
      <w:r>
        <w:rPr>
          <w:sz w:val="21"/>
        </w:rPr>
        <w:t>项目名称：</w:t>
      </w:r>
      <w:r>
        <w:rPr>
          <w:sz w:val="21"/>
          <w:u w:val="single"/>
        </w:rPr>
        <w:t xml:space="preserve">             </w:t>
      </w:r>
    </w:p>
    <w:p>
      <w:pPr>
        <w:pStyle w:val="null3"/>
        <w:jc w:val="both"/>
      </w:pPr>
      <w:r>
        <w:rPr>
          <w:sz w:val="21"/>
        </w:rPr>
        <w:t>项目编号：</w:t>
      </w:r>
      <w:r>
        <w:rPr>
          <w:sz w:val="21"/>
          <w:u w:val="single"/>
        </w:rPr>
        <w:t xml:space="preserve">             </w:t>
      </w:r>
    </w:p>
    <w:p>
      <w:pPr>
        <w:pStyle w:val="null3"/>
        <w:jc w:val="both"/>
      </w:pPr>
      <w:r>
        <w:rPr>
          <w:sz w:val="21"/>
        </w:rPr>
        <w:t xml:space="preserve">    </w:t>
      </w:r>
    </w:p>
    <w:p>
      <w:pPr>
        <w:pStyle w:val="null3"/>
        <w:ind w:firstLine="420"/>
        <w:jc w:val="both"/>
      </w:pPr>
      <w:r>
        <w:rPr>
          <w:sz w:val="21"/>
        </w:rPr>
        <w:t>根据</w:t>
      </w:r>
      <w:r>
        <w:rPr>
          <w:sz w:val="21"/>
          <w:u w:val="single"/>
        </w:rPr>
        <w:t>项目名称：</w:t>
      </w:r>
      <w:r>
        <w:rPr>
          <w:sz w:val="21"/>
          <w:u w:val="single"/>
        </w:rPr>
        <w:t xml:space="preserve">       </w:t>
      </w:r>
      <w:r>
        <w:rPr>
          <w:sz w:val="21"/>
        </w:rPr>
        <w:t>（项目编号：</w:t>
      </w:r>
      <w:r>
        <w:rPr>
          <w:sz w:val="21"/>
          <w:u w:val="single"/>
        </w:rPr>
        <w:t xml:space="preserve">             </w:t>
      </w:r>
      <w:r>
        <w:rPr>
          <w:sz w:val="21"/>
        </w:rPr>
        <w:t>）的采购结果，按照《中华人民共和国政府采购法》及其实施条例、《中华人民共和国民法典》的规定，经双方协商，本着平等互利和诚实信用的原则，一致同意签订本合同如下。</w:t>
      </w:r>
    </w:p>
    <w:p>
      <w:pPr>
        <w:pStyle w:val="null3"/>
        <w:ind w:firstLine="420"/>
        <w:jc w:val="both"/>
      </w:pPr>
      <w:r>
        <w:rPr>
          <w:sz w:val="21"/>
          <w:b/>
        </w:rPr>
        <w:t>一、采购标的</w:t>
      </w:r>
    </w:p>
    <w:p>
      <w:pPr>
        <w:pStyle w:val="null3"/>
        <w:jc w:val="both"/>
      </w:pPr>
      <w:r>
        <w:rPr>
          <w:sz w:val="21"/>
          <w:b/>
        </w:rPr>
        <w:t>1.</w:t>
      </w:r>
      <w:r>
        <w:rPr>
          <w:sz w:val="21"/>
          <w:b/>
        </w:rPr>
        <w:t>设备清单</w:t>
      </w:r>
    </w:p>
    <w:tbl>
      <w:tblPr>
        <w:tblW w:w="0" w:type="auto"/>
        <w:tblBorders>
          <w:top w:val="none" w:color="000000" w:sz="4"/>
          <w:left w:val="none" w:color="000000" w:sz="4"/>
          <w:bottom w:val="none" w:color="000000" w:sz="4"/>
          <w:right w:val="none" w:color="000000" w:sz="4"/>
          <w:insideH w:val="none"/>
          <w:insideV w:val="none"/>
        </w:tblBorders>
      </w:tblPr>
      <w:tblGrid>
        <w:gridCol w:w="604"/>
        <w:gridCol w:w="1012"/>
        <w:gridCol w:w="3489"/>
        <w:gridCol w:w="785"/>
        <w:gridCol w:w="1223"/>
        <w:gridCol w:w="1193"/>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3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w:t>
            </w:r>
            <w:r>
              <w:rPr>
                <w:sz w:val="21"/>
              </w:rPr>
              <w:t>元</w:t>
            </w:r>
            <w:r>
              <w:rPr>
                <w:sz w:val="21"/>
              </w:rPr>
              <w:t>)</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w:t>
            </w:r>
            <w:r>
              <w:rPr>
                <w:sz w:val="21"/>
              </w:rPr>
              <w:t>元</w:t>
            </w:r>
            <w:r>
              <w:rPr>
                <w:sz w:val="21"/>
              </w:rPr>
              <w:t>)</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合计总额：￥</w:t>
            </w:r>
            <w:r>
              <w:rPr>
                <w:sz w:val="21"/>
              </w:rPr>
              <w:t xml:space="preserve">    </w:t>
            </w:r>
            <w:r>
              <w:rPr>
                <w:sz w:val="21"/>
              </w:rPr>
              <w:t>元；</w:t>
            </w:r>
            <w:r>
              <w:rPr>
                <w:sz w:val="21"/>
              </w:rPr>
              <w:t>大写：</w:t>
            </w:r>
          </w:p>
        </w:tc>
      </w:tr>
    </w:tbl>
    <w:p>
      <w:pPr>
        <w:pStyle w:val="null3"/>
        <w:jc w:val="both"/>
      </w:pPr>
      <w:r>
        <w:rPr>
          <w:sz w:val="21"/>
          <w:b/>
        </w:rPr>
        <w:t>2.详细技术参数及要求</w:t>
      </w:r>
    </w:p>
    <w:p>
      <w:pPr>
        <w:pStyle w:val="null3"/>
        <w:jc w:val="both"/>
      </w:pPr>
      <w:r>
        <w:rPr>
          <w:sz w:val="21"/>
          <w:b/>
        </w:rPr>
        <w:t>（根据招标文件技术要求及乙方的投标文件完善，或详见合同附件）</w:t>
      </w:r>
    </w:p>
    <w:p>
      <w:pPr>
        <w:pStyle w:val="null3"/>
        <w:jc w:val="both"/>
      </w:pPr>
      <w:r>
        <w:rPr>
          <w:sz w:val="21"/>
          <w:b/>
        </w:rPr>
        <w:t>二、合同金额</w:t>
      </w:r>
    </w:p>
    <w:p>
      <w:pPr>
        <w:pStyle w:val="null3"/>
        <w:ind w:firstLine="420"/>
        <w:jc w:val="both"/>
      </w:pPr>
      <w:r>
        <w:rPr>
          <w:sz w:val="21"/>
        </w:rPr>
        <w:t>合同金额为（大写）：</w:t>
      </w:r>
      <w:r>
        <w:rPr>
          <w:sz w:val="21"/>
        </w:rPr>
        <w:t>_________________</w:t>
      </w:r>
      <w:r>
        <w:rPr>
          <w:sz w:val="21"/>
        </w:rPr>
        <w:t>元（￥</w:t>
      </w:r>
      <w:r>
        <w:rPr>
          <w:sz w:val="21"/>
        </w:rPr>
        <w:t>_______________</w:t>
      </w:r>
      <w:r>
        <w:rPr>
          <w:sz w:val="21"/>
        </w:rPr>
        <w:t>元）人民币。</w:t>
      </w:r>
    </w:p>
    <w:p>
      <w:pPr>
        <w:pStyle w:val="null3"/>
        <w:ind w:firstLine="420"/>
        <w:jc w:val="both"/>
      </w:pPr>
      <w:r>
        <w:rPr>
          <w:sz w:val="21"/>
        </w:rPr>
        <w:t>合同</w:t>
      </w:r>
      <w:r>
        <w:rPr>
          <w:sz w:val="21"/>
        </w:rPr>
        <w:t>金</w:t>
      </w:r>
      <w:r>
        <w:rPr>
          <w:sz w:val="21"/>
        </w:rPr>
        <w:t>额包括但不限于</w:t>
      </w:r>
      <w:r>
        <w:rPr>
          <w:sz w:val="21"/>
        </w:rPr>
        <w:t>项目深化设计、货物及零配件成本费、相关配套软件费用、基础建设及安装（含相关辅材和人工费用）、保险费、运输费、装卸费、保险费、安装费、调试费、材料费、技术服务费、验收（包含专家验收所涉及的一切费用）、培训费用、质保期内的保修、售后服务、各项税费及不可预见费等完成本招标内容所需的一切费用</w:t>
      </w:r>
      <w:r>
        <w:rPr>
          <w:sz w:val="21"/>
        </w:rPr>
        <w:t>。</w:t>
      </w:r>
    </w:p>
    <w:p>
      <w:pPr>
        <w:pStyle w:val="null3"/>
        <w:jc w:val="both"/>
      </w:pPr>
      <w:r>
        <w:rPr>
          <w:sz w:val="21"/>
          <w:b/>
        </w:rPr>
        <w:t>三</w:t>
      </w:r>
      <w:r>
        <w:rPr>
          <w:sz w:val="21"/>
          <w:b/>
        </w:rPr>
        <w:t>、交货期、交货方式及交货地点</w:t>
      </w:r>
    </w:p>
    <w:p>
      <w:pPr>
        <w:pStyle w:val="null3"/>
        <w:ind w:firstLine="420"/>
        <w:jc w:val="both"/>
      </w:pPr>
      <w:r>
        <w:rPr>
          <w:sz w:val="21"/>
        </w:rPr>
        <w:t>1.</w:t>
      </w:r>
      <w:r>
        <w:rPr>
          <w:sz w:val="21"/>
        </w:rPr>
        <w:t>交货期：签订合同后</w:t>
      </w:r>
      <w:r>
        <w:rPr>
          <w:sz w:val="21"/>
        </w:rPr>
        <w:t>60</w:t>
      </w:r>
      <w:r>
        <w:rPr>
          <w:sz w:val="21"/>
        </w:rPr>
        <w:t>个日历天内甲方对雷达设备进行验货，验货合格后乙方将雷达设备运送到甲方指定地点</w:t>
      </w:r>
      <w:r>
        <w:rPr>
          <w:sz w:val="21"/>
        </w:rPr>
        <w:t>。</w:t>
      </w:r>
      <w:r>
        <w:rPr>
          <w:sz w:val="21"/>
        </w:rPr>
        <w:t>整体项目包括但不限于</w:t>
      </w:r>
      <w:r>
        <w:rPr>
          <w:sz w:val="21"/>
        </w:rPr>
        <w:t>X</w:t>
      </w:r>
      <w:r>
        <w:rPr>
          <w:sz w:val="21"/>
        </w:rPr>
        <w:t>波段双极化相控阵天气雷达系统、雷达塔</w:t>
      </w:r>
      <w:r>
        <w:rPr>
          <w:sz w:val="21"/>
        </w:rPr>
        <w:t>、</w:t>
      </w:r>
      <w:r>
        <w:rPr>
          <w:sz w:val="21"/>
        </w:rPr>
        <w:t>其他配套设施</w:t>
      </w:r>
      <w:r>
        <w:rPr>
          <w:sz w:val="21"/>
        </w:rPr>
        <w:t>，</w:t>
      </w:r>
      <w:r>
        <w:rPr>
          <w:sz w:val="21"/>
        </w:rPr>
        <w:t>在签订合同，且现场具备进场施工条件后，后</w:t>
      </w:r>
      <w:r>
        <w:rPr>
          <w:sz w:val="21"/>
        </w:rPr>
        <w:t>90</w:t>
      </w:r>
      <w:r>
        <w:rPr>
          <w:sz w:val="21"/>
        </w:rPr>
        <w:t>个日历日内完工并系统验收合格。</w:t>
      </w:r>
    </w:p>
    <w:p>
      <w:pPr>
        <w:pStyle w:val="null3"/>
        <w:ind w:firstLine="420"/>
        <w:jc w:val="both"/>
      </w:pPr>
      <w:r>
        <w:rPr>
          <w:sz w:val="21"/>
        </w:rPr>
        <w:t>2.</w:t>
      </w:r>
      <w:r>
        <w:rPr>
          <w:sz w:val="21"/>
        </w:rPr>
        <w:t>交货地点：甲方指定地点。</w:t>
      </w:r>
    </w:p>
    <w:p>
      <w:pPr>
        <w:pStyle w:val="null3"/>
        <w:jc w:val="both"/>
      </w:pPr>
      <w:r>
        <w:rPr>
          <w:sz w:val="21"/>
          <w:b/>
        </w:rPr>
        <w:t>四</w:t>
      </w:r>
      <w:r>
        <w:rPr>
          <w:sz w:val="21"/>
          <w:b/>
        </w:rPr>
        <w:t>、安全要求</w:t>
      </w:r>
    </w:p>
    <w:p>
      <w:pPr>
        <w:pStyle w:val="null3"/>
        <w:ind w:firstLine="420"/>
        <w:jc w:val="both"/>
      </w:pPr>
      <w:r>
        <w:rPr>
          <w:sz w:val="21"/>
        </w:rPr>
        <w:t>（一）观测数据安全管理要求</w:t>
      </w:r>
    </w:p>
    <w:p>
      <w:pPr>
        <w:pStyle w:val="null3"/>
        <w:ind w:firstLine="420"/>
        <w:jc w:val="both"/>
      </w:pPr>
      <w:r>
        <w:rPr>
          <w:sz w:val="21"/>
        </w:rPr>
        <w:t>1.</w:t>
      </w:r>
      <w:r>
        <w:rPr>
          <w:sz w:val="21"/>
        </w:rPr>
        <w:t>乙方</w:t>
      </w:r>
      <w:r>
        <w:rPr>
          <w:sz w:val="21"/>
        </w:rPr>
        <w:t>需加强数据安全管理，坚持数据安全底线思维。雷达观测数据传输必须通过气象广域网或端到端专线传输，严禁观测数据通过互联网传输。</w:t>
      </w:r>
    </w:p>
    <w:p>
      <w:pPr>
        <w:pStyle w:val="null3"/>
        <w:ind w:firstLine="420"/>
        <w:jc w:val="both"/>
      </w:pPr>
      <w:r>
        <w:rPr>
          <w:sz w:val="21"/>
        </w:rPr>
        <w:t>2.</w:t>
      </w:r>
      <w:r>
        <w:rPr>
          <w:sz w:val="21"/>
        </w:rPr>
        <w:t>乙方</w:t>
      </w:r>
      <w:r>
        <w:rPr>
          <w:sz w:val="21"/>
        </w:rPr>
        <w:t>禁止在雷达设备硬件、软件留有木马、后门或恶意程序。</w:t>
      </w:r>
    </w:p>
    <w:p>
      <w:pPr>
        <w:pStyle w:val="null3"/>
        <w:ind w:firstLine="420"/>
        <w:jc w:val="both"/>
      </w:pPr>
      <w:r>
        <w:rPr>
          <w:sz w:val="21"/>
        </w:rPr>
        <w:t>3.</w:t>
      </w:r>
      <w:r>
        <w:rPr>
          <w:sz w:val="21"/>
        </w:rPr>
        <w:t>乙方</w:t>
      </w:r>
      <w:r>
        <w:rPr>
          <w:sz w:val="21"/>
        </w:rPr>
        <w:t>禁止把用户信息、观测站相关元数据信息以任何方式提供给境外机构、组织和个人。</w:t>
      </w:r>
    </w:p>
    <w:p>
      <w:pPr>
        <w:pStyle w:val="null3"/>
        <w:ind w:firstLine="420"/>
        <w:jc w:val="both"/>
      </w:pPr>
      <w:r>
        <w:rPr>
          <w:sz w:val="21"/>
        </w:rPr>
        <w:t>4.</w:t>
      </w:r>
      <w:r>
        <w:rPr>
          <w:sz w:val="21"/>
        </w:rPr>
        <w:t>乙方</w:t>
      </w:r>
      <w:r>
        <w:rPr>
          <w:sz w:val="21"/>
        </w:rPr>
        <w:t>禁止观测站相关元数据信息泄露给相关配套设备厂商或代理商。</w:t>
      </w:r>
    </w:p>
    <w:p>
      <w:pPr>
        <w:pStyle w:val="null3"/>
        <w:ind w:firstLine="420"/>
        <w:jc w:val="both"/>
      </w:pPr>
      <w:r>
        <w:rPr>
          <w:sz w:val="21"/>
        </w:rPr>
        <w:t>5.</w:t>
      </w:r>
      <w:r>
        <w:rPr>
          <w:sz w:val="21"/>
        </w:rPr>
        <w:t>乙方</w:t>
      </w:r>
      <w:r>
        <w:rPr>
          <w:sz w:val="21"/>
        </w:rPr>
        <w:t>需加强雷达观测设备和相关系统终端安全管理。严禁相关观测设备连接互联网。设备厂商开展故障诊断、维护维修时，不允许设备生产厂商把更换下的存有雷达数据的组件带离观测台站。</w:t>
      </w:r>
    </w:p>
    <w:p>
      <w:pPr>
        <w:pStyle w:val="null3"/>
        <w:ind w:firstLine="420"/>
        <w:jc w:val="both"/>
      </w:pPr>
      <w:r>
        <w:rPr>
          <w:sz w:val="21"/>
        </w:rPr>
        <w:t>6.</w:t>
      </w:r>
      <w:r>
        <w:rPr>
          <w:sz w:val="21"/>
        </w:rPr>
        <w:t>乙方</w:t>
      </w:r>
      <w:r>
        <w:rPr>
          <w:sz w:val="21"/>
        </w:rPr>
        <w:t>需严格按照《气象数据管理办法（试行）》（气发〔</w:t>
      </w:r>
      <w:r>
        <w:rPr>
          <w:sz w:val="21"/>
        </w:rPr>
        <w:t>2020</w:t>
      </w:r>
      <w:r>
        <w:rPr>
          <w:sz w:val="21"/>
        </w:rPr>
        <w:t>〕</w:t>
      </w:r>
      <w:r>
        <w:rPr>
          <w:sz w:val="21"/>
        </w:rPr>
        <w:t>92</w:t>
      </w:r>
      <w:r>
        <w:rPr>
          <w:sz w:val="21"/>
        </w:rPr>
        <w:t>号）的相关要求，开展数据的保存和使用，确保数据不外泄。</w:t>
      </w:r>
    </w:p>
    <w:p>
      <w:pPr>
        <w:pStyle w:val="null3"/>
        <w:ind w:firstLine="420"/>
        <w:jc w:val="both"/>
      </w:pPr>
      <w:r>
        <w:rPr>
          <w:sz w:val="21"/>
        </w:rPr>
        <w:t>7.</w:t>
      </w:r>
      <w:r>
        <w:rPr>
          <w:sz w:val="21"/>
        </w:rPr>
        <w:t>乙方</w:t>
      </w:r>
      <w:r>
        <w:rPr>
          <w:sz w:val="21"/>
        </w:rPr>
        <w:t>须提供雷达观测设备和相关系统终端及软件安全承诺书；承诺雷达设备使用范围等不受厂家限制。</w:t>
      </w:r>
    </w:p>
    <w:p>
      <w:pPr>
        <w:pStyle w:val="null3"/>
        <w:ind w:firstLine="420"/>
        <w:jc w:val="both"/>
      </w:pPr>
      <w:r>
        <w:rPr>
          <w:sz w:val="21"/>
        </w:rPr>
        <w:t>（二）安全要求</w:t>
      </w:r>
    </w:p>
    <w:p>
      <w:pPr>
        <w:pStyle w:val="null3"/>
        <w:ind w:firstLine="420"/>
        <w:jc w:val="both"/>
      </w:pPr>
      <w:r>
        <w:rPr>
          <w:sz w:val="21"/>
        </w:rPr>
        <w:t>1.</w:t>
      </w:r>
      <w:r>
        <w:rPr>
          <w:sz w:val="21"/>
        </w:rPr>
        <w:t>为确保雷达使用安全，</w:t>
      </w:r>
      <w:r>
        <w:rPr>
          <w:sz w:val="21"/>
        </w:rPr>
        <w:t>乙方</w:t>
      </w:r>
      <w:r>
        <w:rPr>
          <w:sz w:val="21"/>
        </w:rPr>
        <w:t>需提供相关第三方专业机构出具的防雷设施检测报告、地基承载力检测报告、铁塔结构检测报告、电磁辐射检测报告等与雷达使用安全或与周边环境安全相关的技术报告。</w:t>
      </w:r>
    </w:p>
    <w:p>
      <w:pPr>
        <w:pStyle w:val="null3"/>
        <w:ind w:firstLine="420"/>
        <w:jc w:val="both"/>
      </w:pPr>
      <w:r>
        <w:rPr>
          <w:sz w:val="21"/>
        </w:rPr>
        <w:t>2.</w:t>
      </w:r>
      <w:r>
        <w:rPr>
          <w:sz w:val="21"/>
        </w:rPr>
        <w:t>乙方</w:t>
      </w:r>
      <w:r>
        <w:rPr>
          <w:sz w:val="21"/>
        </w:rPr>
        <w:t>实施本项目时，应遵守安全生产相关规定，做好安全防护措施，购买必要的保险等。</w:t>
      </w:r>
      <w:r>
        <w:rPr>
          <w:sz w:val="21"/>
        </w:rPr>
        <w:t>乙方</w:t>
      </w:r>
      <w:r>
        <w:rPr>
          <w:sz w:val="21"/>
        </w:rPr>
        <w:t>对项目实施过程中的各项安全责任负责。</w:t>
      </w:r>
    </w:p>
    <w:p>
      <w:pPr>
        <w:pStyle w:val="null3"/>
        <w:jc w:val="both"/>
      </w:pPr>
      <w:r>
        <w:rPr>
          <w:sz w:val="21"/>
          <w:b/>
        </w:rPr>
        <w:t>五</w:t>
      </w:r>
      <w:r>
        <w:rPr>
          <w:sz w:val="21"/>
          <w:b/>
        </w:rPr>
        <w:t>、雷达系统配套服务要求</w:t>
      </w:r>
    </w:p>
    <w:p>
      <w:pPr>
        <w:pStyle w:val="null3"/>
        <w:ind w:firstLine="420"/>
        <w:jc w:val="both"/>
      </w:pPr>
      <w:r>
        <w:rPr>
          <w:sz w:val="21"/>
        </w:rPr>
        <w:t>1.</w:t>
      </w:r>
      <w:r>
        <w:rPr>
          <w:sz w:val="21"/>
        </w:rPr>
        <w:t>提供雷达设备吊运、安装调试服务。</w:t>
      </w:r>
    </w:p>
    <w:p>
      <w:pPr>
        <w:pStyle w:val="null3"/>
        <w:ind w:firstLine="420"/>
        <w:jc w:val="both"/>
      </w:pPr>
      <w:r>
        <w:rPr>
          <w:sz w:val="21"/>
        </w:rPr>
        <w:t>2.</w:t>
      </w:r>
      <w:r>
        <w:rPr>
          <w:sz w:val="21"/>
        </w:rPr>
        <w:t>提供雷达基本原理、操作、维护和设备配套软件应用技术培训服务。</w:t>
      </w:r>
    </w:p>
    <w:p>
      <w:pPr>
        <w:pStyle w:val="null3"/>
        <w:ind w:firstLine="420"/>
        <w:jc w:val="both"/>
      </w:pPr>
      <w:r>
        <w:rPr>
          <w:sz w:val="21"/>
        </w:rPr>
        <w:t>3.</w:t>
      </w:r>
      <w:r>
        <w:rPr>
          <w:sz w:val="21"/>
        </w:rPr>
        <w:t>提供雷达其他相关技术服务。</w:t>
      </w:r>
    </w:p>
    <w:p>
      <w:pPr>
        <w:pStyle w:val="null3"/>
        <w:jc w:val="both"/>
      </w:pPr>
      <w:r>
        <w:rPr>
          <w:sz w:val="21"/>
          <w:b/>
        </w:rPr>
        <w:t>六</w:t>
      </w:r>
      <w:r>
        <w:rPr>
          <w:sz w:val="21"/>
          <w:b/>
        </w:rPr>
        <w:t>、物流服务</w:t>
      </w:r>
    </w:p>
    <w:p>
      <w:pPr>
        <w:pStyle w:val="null3"/>
        <w:ind w:firstLine="420"/>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ind w:firstLine="420"/>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ind w:firstLine="420"/>
        <w:jc w:val="both"/>
      </w:pPr>
      <w:r>
        <w:rPr>
          <w:sz w:val="21"/>
        </w:rPr>
        <w:t>3.</w:t>
      </w:r>
      <w:r>
        <w:rPr>
          <w:sz w:val="21"/>
        </w:rPr>
        <w:t>装卸：各种货物，必须提供装箱清单，按装箱清单验收货物。</w:t>
      </w:r>
    </w:p>
    <w:p>
      <w:pPr>
        <w:pStyle w:val="null3"/>
        <w:ind w:firstLine="420"/>
        <w:jc w:val="both"/>
      </w:pPr>
      <w:r>
        <w:rPr>
          <w:sz w:val="21"/>
        </w:rPr>
        <w:t>4.</w:t>
      </w:r>
      <w:r>
        <w:rPr>
          <w:sz w:val="21"/>
        </w:rPr>
        <w:t>保管：货物在现场的保管由乙方负责，直至项目安装、验收完毕。</w:t>
      </w:r>
    </w:p>
    <w:p>
      <w:pPr>
        <w:pStyle w:val="null3"/>
        <w:jc w:val="both"/>
      </w:pPr>
      <w:r>
        <w:rPr>
          <w:sz w:val="21"/>
          <w:b/>
        </w:rPr>
        <w:t>七</w:t>
      </w:r>
      <w:r>
        <w:rPr>
          <w:sz w:val="21"/>
          <w:b/>
        </w:rPr>
        <w:t>、安装调试</w:t>
      </w:r>
    </w:p>
    <w:p>
      <w:pPr>
        <w:pStyle w:val="null3"/>
        <w:ind w:firstLine="420"/>
        <w:jc w:val="both"/>
      </w:pPr>
      <w:r>
        <w:rPr>
          <w:sz w:val="21"/>
        </w:rPr>
        <w:t>1.</w:t>
      </w:r>
      <w:r>
        <w:rPr>
          <w:sz w:val="21"/>
        </w:rPr>
        <w:t>人员及工作要求：乙方应设安装负责人，负责安装协调管理工作。</w:t>
      </w:r>
    </w:p>
    <w:p>
      <w:pPr>
        <w:pStyle w:val="null3"/>
        <w:ind w:firstLine="420"/>
        <w:jc w:val="both"/>
      </w:pPr>
      <w:r>
        <w:rPr>
          <w:sz w:val="21"/>
        </w:rPr>
        <w:t>2.</w:t>
      </w:r>
      <w:r>
        <w:rPr>
          <w:sz w:val="21"/>
        </w:rPr>
        <w:t>前提要求：乙方应提交详细安装进度表。</w:t>
      </w:r>
    </w:p>
    <w:p>
      <w:pPr>
        <w:pStyle w:val="null3"/>
        <w:ind w:firstLine="420"/>
        <w:jc w:val="both"/>
      </w:pPr>
      <w:r>
        <w:rPr>
          <w:sz w:val="21"/>
        </w:rPr>
        <w:t>3.</w:t>
      </w:r>
      <w:r>
        <w:rPr>
          <w:sz w:val="21"/>
        </w:rPr>
        <w:t>安装工具：安装所需工具设施物料由乙方自备、自费运到现场，完工后自费搬走。</w:t>
      </w:r>
    </w:p>
    <w:p>
      <w:pPr>
        <w:pStyle w:val="null3"/>
        <w:ind w:firstLine="420"/>
        <w:jc w:val="both"/>
      </w:pPr>
      <w:r>
        <w:rPr>
          <w:sz w:val="21"/>
        </w:rPr>
        <w:t>4.</w:t>
      </w:r>
      <w:r>
        <w:rPr>
          <w:sz w:val="21"/>
        </w:rPr>
        <w:t>调试：按行业相关验收规范进行。</w:t>
      </w:r>
    </w:p>
    <w:p>
      <w:pPr>
        <w:pStyle w:val="null3"/>
        <w:ind w:firstLine="420"/>
        <w:jc w:val="both"/>
      </w:pPr>
      <w:r>
        <w:rPr>
          <w:sz w:val="21"/>
        </w:rPr>
        <w:t>5.</w:t>
      </w:r>
      <w:r>
        <w:rPr>
          <w:sz w:val="21"/>
        </w:rPr>
        <w:t>其他：设备的拆箱、安装、通电、调试等项工作由乙方负责，但必须在甲方指定人员的参与下进行。调试的原始记录须经各方签字后作为验收的文件之一。</w:t>
      </w:r>
    </w:p>
    <w:p>
      <w:pPr>
        <w:pStyle w:val="null3"/>
        <w:jc w:val="both"/>
      </w:pPr>
      <w:r>
        <w:rPr>
          <w:sz w:val="21"/>
          <w:b/>
        </w:rPr>
        <w:t>八</w:t>
      </w:r>
      <w:r>
        <w:rPr>
          <w:sz w:val="21"/>
          <w:b/>
        </w:rPr>
        <w:t>、付款方式：</w:t>
      </w:r>
    </w:p>
    <w:p>
      <w:pPr>
        <w:pStyle w:val="null3"/>
        <w:ind w:firstLine="420"/>
        <w:jc w:val="both"/>
      </w:pPr>
      <w:r>
        <w:rPr>
          <w:sz w:val="21"/>
        </w:rPr>
        <w:t>1.</w:t>
      </w:r>
      <w:r>
        <w:rPr>
          <w:sz w:val="21"/>
        </w:rPr>
        <w:t>付款（本项目按财政拨付的实际进度款项为准，并分阶段支付）</w:t>
      </w:r>
    </w:p>
    <w:p>
      <w:pPr>
        <w:pStyle w:val="null3"/>
        <w:ind w:firstLine="420"/>
        <w:jc w:val="both"/>
      </w:pPr>
      <w:r>
        <w:rPr>
          <w:sz w:val="21"/>
        </w:rPr>
        <w:t>1.1</w:t>
      </w:r>
      <w:r>
        <w:rPr>
          <w:sz w:val="21"/>
        </w:rPr>
        <w:t>合同签订生效后，甲方支付乙方合同总额的</w:t>
      </w:r>
      <w:r>
        <w:rPr>
          <w:sz w:val="21"/>
        </w:rPr>
        <w:t>5</w:t>
      </w:r>
      <w:r>
        <w:rPr>
          <w:sz w:val="21"/>
        </w:rPr>
        <w:t>0%</w:t>
      </w:r>
      <w:r>
        <w:rPr>
          <w:sz w:val="21"/>
        </w:rPr>
        <w:t>作为预付款。</w:t>
      </w:r>
    </w:p>
    <w:p>
      <w:pPr>
        <w:pStyle w:val="null3"/>
        <w:ind w:firstLine="420"/>
        <w:jc w:val="both"/>
      </w:pPr>
      <w:r>
        <w:rPr>
          <w:sz w:val="21"/>
        </w:rPr>
        <w:t>1.2</w:t>
      </w:r>
      <w:r>
        <w:rPr>
          <w:sz w:val="21"/>
        </w:rPr>
        <w:t>乙方取得项目系统验收报告后，书面向甲方提出付款申请，甲方接到乙方付款申请及验收报告等资料并审核合格后，支付乙方合同总额的</w:t>
      </w:r>
      <w:r>
        <w:rPr>
          <w:sz w:val="21"/>
        </w:rPr>
        <w:t>1</w:t>
      </w:r>
      <w:r>
        <w:rPr>
          <w:sz w:val="21"/>
        </w:rPr>
        <w:t>0%</w:t>
      </w:r>
      <w:r>
        <w:rPr>
          <w:sz w:val="21"/>
        </w:rPr>
        <w:t>。</w:t>
      </w:r>
    </w:p>
    <w:p>
      <w:pPr>
        <w:pStyle w:val="null3"/>
        <w:ind w:firstLine="420"/>
        <w:jc w:val="both"/>
      </w:pPr>
      <w:r>
        <w:rPr>
          <w:sz w:val="21"/>
        </w:rPr>
        <w:t>1.3</w:t>
      </w:r>
      <w:r>
        <w:rPr>
          <w:sz w:val="21"/>
        </w:rPr>
        <w:t>乙方取得项目终期验收报告后，书面向甲方提出付款申请，甲方接到乙方付款申请及验收报告等资料并审核合格后，支付乙方合同总额的</w:t>
      </w:r>
      <w:r>
        <w:rPr>
          <w:sz w:val="21"/>
        </w:rPr>
        <w:t>4</w:t>
      </w:r>
      <w:r>
        <w:rPr>
          <w:sz w:val="21"/>
        </w:rPr>
        <w:t>0%</w:t>
      </w:r>
      <w:r>
        <w:rPr>
          <w:sz w:val="21"/>
        </w:rPr>
        <w:t>。</w:t>
      </w:r>
    </w:p>
    <w:p>
      <w:pPr>
        <w:pStyle w:val="null3"/>
        <w:ind w:firstLine="420"/>
        <w:jc w:val="both"/>
      </w:pPr>
      <w:r>
        <w:rPr>
          <w:sz w:val="21"/>
        </w:rPr>
        <w:t>2.</w:t>
      </w:r>
      <w:r>
        <w:rPr>
          <w:sz w:val="21"/>
        </w:rPr>
        <w:t>乙方凭以下有效文件与甲方结算：</w:t>
      </w:r>
    </w:p>
    <w:p>
      <w:pPr>
        <w:pStyle w:val="null3"/>
        <w:ind w:firstLine="420"/>
        <w:jc w:val="both"/>
      </w:pPr>
      <w:r>
        <w:rPr>
          <w:sz w:val="21"/>
        </w:rPr>
        <w:t>（</w:t>
      </w:r>
      <w:r>
        <w:rPr>
          <w:sz w:val="21"/>
        </w:rPr>
        <w:t>1</w:t>
      </w:r>
      <w:r>
        <w:rPr>
          <w:sz w:val="21"/>
        </w:rPr>
        <w:t>）采购合同；</w:t>
      </w:r>
    </w:p>
    <w:p>
      <w:pPr>
        <w:pStyle w:val="null3"/>
        <w:ind w:firstLine="420"/>
        <w:jc w:val="both"/>
      </w:pPr>
      <w:r>
        <w:rPr>
          <w:sz w:val="21"/>
        </w:rPr>
        <w:t>（</w:t>
      </w:r>
      <w:r>
        <w:rPr>
          <w:sz w:val="21"/>
        </w:rPr>
        <w:t>2</w:t>
      </w:r>
      <w:r>
        <w:rPr>
          <w:sz w:val="21"/>
        </w:rPr>
        <w:t>）乙方开具的正式发票；</w:t>
      </w:r>
    </w:p>
    <w:p>
      <w:pPr>
        <w:pStyle w:val="null3"/>
        <w:ind w:firstLine="420"/>
        <w:jc w:val="both"/>
      </w:pPr>
      <w:r>
        <w:rPr>
          <w:sz w:val="21"/>
        </w:rPr>
        <w:t>（</w:t>
      </w:r>
      <w:r>
        <w:rPr>
          <w:sz w:val="21"/>
        </w:rPr>
        <w:t>3</w:t>
      </w:r>
      <w:r>
        <w:rPr>
          <w:sz w:val="21"/>
        </w:rPr>
        <w:t>）验收报告（项目预付款除外）；</w:t>
      </w:r>
    </w:p>
    <w:p>
      <w:pPr>
        <w:pStyle w:val="null3"/>
        <w:ind w:firstLine="420"/>
        <w:jc w:val="both"/>
      </w:pPr>
      <w:r>
        <w:rPr>
          <w:sz w:val="21"/>
        </w:rPr>
        <w:t>（</w:t>
      </w:r>
      <w:r>
        <w:rPr>
          <w:sz w:val="21"/>
        </w:rPr>
        <w:t>4</w:t>
      </w:r>
      <w:r>
        <w:rPr>
          <w:sz w:val="21"/>
        </w:rPr>
        <w:t>）中标通知书。</w:t>
      </w:r>
    </w:p>
    <w:p>
      <w:pPr>
        <w:pStyle w:val="null3"/>
        <w:ind w:firstLine="420"/>
        <w:jc w:val="both"/>
      </w:pPr>
      <w:r>
        <w:rPr>
          <w:sz w:val="21"/>
        </w:rPr>
        <w:t>注：上述款项均不计算利息。因甲方使用的是财政资金，甲方在前款规定的付款时间为向政府采购支付部门提出办理财政支付申请手续的时间（不含政府财政支付部门审核的时间），在规定时间内提出支付申请手续后即视为甲方已经按期支付。</w:t>
      </w:r>
      <w:r>
        <w:rPr>
          <w:sz w:val="21"/>
        </w:rPr>
        <w:t>若由于财政拨款不到位或该项目相关手续和程序因流转政府采购审批流程及办理手续而造成项目支付进度有所推延的，</w:t>
      </w:r>
      <w:r>
        <w:rPr>
          <w:sz w:val="21"/>
        </w:rPr>
        <w:t>甲方</w:t>
      </w:r>
      <w:r>
        <w:rPr>
          <w:sz w:val="21"/>
        </w:rPr>
        <w:t>不承担违约责任，并且此情况不能成为</w:t>
      </w:r>
      <w:r>
        <w:rPr>
          <w:sz w:val="21"/>
        </w:rPr>
        <w:t>乙方</w:t>
      </w:r>
      <w:r>
        <w:rPr>
          <w:sz w:val="21"/>
        </w:rPr>
        <w:t>拒绝履约的理由。</w:t>
      </w:r>
    </w:p>
    <w:p>
      <w:pPr>
        <w:pStyle w:val="null3"/>
        <w:ind w:firstLine="420"/>
        <w:jc w:val="both"/>
      </w:pPr>
      <w:r>
        <w:rPr>
          <w:sz w:val="21"/>
        </w:rPr>
        <w:t>3.</w:t>
      </w:r>
      <w:r>
        <w:rPr>
          <w:sz w:val="21"/>
        </w:rPr>
        <w:t>乙方银行账号信息：</w:t>
      </w:r>
    </w:p>
    <w:p>
      <w:pPr>
        <w:pStyle w:val="null3"/>
        <w:ind w:firstLine="420"/>
        <w:jc w:val="both"/>
      </w:pPr>
      <w:r>
        <w:rPr>
          <w:sz w:val="21"/>
        </w:rPr>
        <w:t>开户名称：</w:t>
      </w:r>
    </w:p>
    <w:p>
      <w:pPr>
        <w:pStyle w:val="null3"/>
        <w:ind w:firstLine="420"/>
        <w:jc w:val="both"/>
      </w:pPr>
      <w:r>
        <w:rPr>
          <w:sz w:val="21"/>
        </w:rPr>
        <w:t>银行账户：</w:t>
      </w:r>
    </w:p>
    <w:p>
      <w:pPr>
        <w:pStyle w:val="null3"/>
        <w:ind w:firstLine="420"/>
        <w:jc w:val="both"/>
      </w:pPr>
      <w:r>
        <w:rPr>
          <w:sz w:val="21"/>
        </w:rPr>
        <w:t>开户银行：</w:t>
      </w:r>
    </w:p>
    <w:p>
      <w:pPr>
        <w:pStyle w:val="null3"/>
        <w:jc w:val="both"/>
      </w:pPr>
      <w:r>
        <w:rPr>
          <w:sz w:val="21"/>
          <w:b/>
        </w:rPr>
        <w:t>九</w:t>
      </w:r>
      <w:r>
        <w:rPr>
          <w:sz w:val="21"/>
          <w:b/>
        </w:rPr>
        <w:t>、验收要求</w:t>
      </w:r>
    </w:p>
    <w:p>
      <w:pPr>
        <w:pStyle w:val="null3"/>
        <w:ind w:firstLine="420"/>
        <w:jc w:val="both"/>
      </w:pPr>
      <w:r>
        <w:rPr>
          <w:sz w:val="21"/>
        </w:rPr>
        <w:t>1.</w:t>
      </w:r>
      <w:r>
        <w:rPr>
          <w:sz w:val="21"/>
        </w:rPr>
        <w:t>货物特性：货物为原制造商制造的全新产品，无污染，无侵权行为、表面无划损、无任何缺陷隐患，在中国境内可依规安全合法使用。</w:t>
      </w:r>
    </w:p>
    <w:p>
      <w:pPr>
        <w:pStyle w:val="null3"/>
        <w:ind w:firstLine="420"/>
        <w:jc w:val="both"/>
      </w:pPr>
      <w:r>
        <w:rPr>
          <w:sz w:val="21"/>
        </w:rPr>
        <w:t>2.</w:t>
      </w:r>
      <w:r>
        <w:rPr>
          <w:sz w:val="21"/>
        </w:rPr>
        <w:t xml:space="preserve"> </w:t>
      </w:r>
      <w:r>
        <w:rPr>
          <w:sz w:val="21"/>
        </w:rPr>
        <w:t>签订合同后</w:t>
      </w:r>
      <w:r>
        <w:rPr>
          <w:sz w:val="21"/>
        </w:rPr>
        <w:t>60</w:t>
      </w:r>
      <w:r>
        <w:rPr>
          <w:sz w:val="21"/>
        </w:rPr>
        <w:t>个日历天内甲方对雷达设备进行验货，验货合格后乙方将雷达设备运送到甲方指定地点</w:t>
      </w:r>
      <w:r>
        <w:rPr>
          <w:sz w:val="21"/>
        </w:rPr>
        <w:t>。</w:t>
      </w:r>
    </w:p>
    <w:p>
      <w:pPr>
        <w:pStyle w:val="null3"/>
        <w:ind w:firstLine="420"/>
        <w:jc w:val="both"/>
      </w:pPr>
      <w:r>
        <w:rPr>
          <w:sz w:val="21"/>
        </w:rPr>
        <w:t>3</w:t>
      </w:r>
      <w:r>
        <w:rPr>
          <w:sz w:val="21"/>
        </w:rPr>
        <w:t>.</w:t>
      </w:r>
      <w:r>
        <w:rPr>
          <w:sz w:val="21"/>
        </w:rPr>
        <w:t>系统验收：雷达安装调试完成，达到可使用状态后，投入观测业务试运行，系统运行稳定，气象数据收发正常，气象产品符合合同要求时，乙方书面向甲方提出验收申请，甲方接到申请后</w:t>
      </w:r>
      <w:r>
        <w:rPr>
          <w:sz w:val="21"/>
        </w:rPr>
        <w:t>3</w:t>
      </w:r>
      <w:r>
        <w:rPr>
          <w:sz w:val="21"/>
        </w:rPr>
        <w:t>个工作日内组织人员对雷达系统进行系统验收，并在</w:t>
      </w:r>
      <w:r>
        <w:rPr>
          <w:sz w:val="21"/>
        </w:rPr>
        <w:t>5</w:t>
      </w:r>
      <w:r>
        <w:rPr>
          <w:sz w:val="21"/>
        </w:rPr>
        <w:t>个工作日内出具系统验收报告。甲方出具系统验收报告后，视为乙方已完成该期项目的交付。</w:t>
      </w:r>
    </w:p>
    <w:p>
      <w:pPr>
        <w:pStyle w:val="null3"/>
        <w:ind w:firstLine="420"/>
        <w:jc w:val="both"/>
      </w:pPr>
      <w:r>
        <w:rPr>
          <w:sz w:val="21"/>
        </w:rPr>
        <w:t>4.</w:t>
      </w:r>
      <w:r>
        <w:rPr>
          <w:sz w:val="21"/>
        </w:rPr>
        <w:t>终期验收：</w:t>
      </w:r>
      <w:r>
        <w:rPr>
          <w:sz w:val="21"/>
        </w:rPr>
        <w:t>X</w:t>
      </w:r>
      <w:r>
        <w:rPr>
          <w:sz w:val="21"/>
        </w:rPr>
        <w:t>波段双极化相控阵天气雷达项目系统验收后，乙方准备好所有相关材料，书面向采购方提出验收申请，甲方接到申请后</w:t>
      </w:r>
      <w:r>
        <w:rPr>
          <w:sz w:val="21"/>
        </w:rPr>
        <w:t>15</w:t>
      </w:r>
      <w:r>
        <w:rPr>
          <w:sz w:val="21"/>
        </w:rPr>
        <w:t>个工作日内，组织人员对采购项目（除运维保障服务以外的全部建设内容）进行终期验收，并在</w:t>
      </w:r>
      <w:r>
        <w:rPr>
          <w:sz w:val="21"/>
        </w:rPr>
        <w:t>5</w:t>
      </w:r>
      <w:r>
        <w:rPr>
          <w:sz w:val="21"/>
        </w:rPr>
        <w:t>个工作日内出具项目终期验收报告。</w:t>
      </w:r>
    </w:p>
    <w:p>
      <w:pPr>
        <w:pStyle w:val="null3"/>
        <w:ind w:firstLine="420"/>
        <w:jc w:val="both"/>
      </w:pPr>
      <w:r>
        <w:rPr>
          <w:sz w:val="21"/>
        </w:rPr>
        <w:t>5.</w:t>
      </w:r>
      <w:r>
        <w:rPr>
          <w:sz w:val="21"/>
        </w:rPr>
        <w:t>如因第三方不可控原因导致工期延迟，乙方可视情况向甲方书面递交延期申请，甲方批复同意后，方可延期。</w:t>
      </w:r>
    </w:p>
    <w:p>
      <w:pPr>
        <w:pStyle w:val="null3"/>
        <w:ind w:firstLine="420"/>
        <w:jc w:val="both"/>
      </w:pPr>
      <w:r>
        <w:rPr>
          <w:sz w:val="21"/>
        </w:rPr>
        <w:t>6</w:t>
      </w:r>
      <w:r>
        <w:rPr>
          <w:sz w:val="21"/>
        </w:rPr>
        <w:t>.</w:t>
      </w:r>
      <w:r>
        <w:rPr>
          <w:sz w:val="21"/>
        </w:rPr>
        <w:t>验收人员：</w:t>
      </w:r>
    </w:p>
    <w:p>
      <w:pPr>
        <w:pStyle w:val="null3"/>
        <w:ind w:firstLine="420"/>
        <w:jc w:val="both"/>
      </w:pPr>
      <w:r>
        <w:rPr>
          <w:sz w:val="21"/>
        </w:rPr>
        <w:t>（</w:t>
      </w:r>
      <w:r>
        <w:rPr>
          <w:sz w:val="21"/>
        </w:rPr>
        <w:t>1</w:t>
      </w:r>
      <w:r>
        <w:rPr>
          <w:sz w:val="21"/>
        </w:rPr>
        <w:t>）甲方，或专家或其委托的第三方机构（如有）；</w:t>
      </w:r>
    </w:p>
    <w:p>
      <w:pPr>
        <w:pStyle w:val="null3"/>
        <w:ind w:firstLine="420"/>
        <w:jc w:val="both"/>
      </w:pPr>
      <w:r>
        <w:rPr>
          <w:sz w:val="21"/>
        </w:rPr>
        <w:t>（</w:t>
      </w:r>
      <w:r>
        <w:rPr>
          <w:sz w:val="21"/>
        </w:rPr>
        <w:t>2</w:t>
      </w:r>
      <w:r>
        <w:rPr>
          <w:sz w:val="21"/>
        </w:rPr>
        <w:t>）乙方。</w:t>
      </w:r>
    </w:p>
    <w:p>
      <w:pPr>
        <w:pStyle w:val="null3"/>
        <w:ind w:firstLine="420"/>
        <w:jc w:val="both"/>
      </w:pPr>
      <w:r>
        <w:rPr>
          <w:sz w:val="21"/>
        </w:rPr>
        <w:t>7</w:t>
      </w:r>
      <w:r>
        <w:rPr>
          <w:sz w:val="21"/>
        </w:rPr>
        <w:t>.</w:t>
      </w:r>
      <w:r>
        <w:rPr>
          <w:sz w:val="21"/>
        </w:rPr>
        <w:t>技术资料</w:t>
      </w:r>
    </w:p>
    <w:p>
      <w:pPr>
        <w:pStyle w:val="null3"/>
        <w:ind w:firstLine="420"/>
        <w:jc w:val="both"/>
      </w:pPr>
      <w:r>
        <w:rPr>
          <w:sz w:val="21"/>
        </w:rPr>
        <w:t>（</w:t>
      </w:r>
      <w:r>
        <w:rPr>
          <w:sz w:val="21"/>
        </w:rPr>
        <w:t>1</w:t>
      </w:r>
      <w:r>
        <w:rPr>
          <w:sz w:val="21"/>
        </w:rPr>
        <w:t>）交货时，应同时交付产品使用手册、质量检验证书（合格证）等相关资料。</w:t>
      </w:r>
    </w:p>
    <w:p>
      <w:pPr>
        <w:pStyle w:val="null3"/>
        <w:ind w:firstLine="420"/>
        <w:jc w:val="both"/>
      </w:pPr>
      <w:r>
        <w:rPr>
          <w:sz w:val="21"/>
        </w:rPr>
        <w:t>（</w:t>
      </w:r>
      <w:r>
        <w:rPr>
          <w:sz w:val="21"/>
        </w:rPr>
        <w:t>2</w:t>
      </w:r>
      <w:r>
        <w:rPr>
          <w:sz w:val="21"/>
        </w:rPr>
        <w:t>）验收后，应提供验收报告。</w:t>
      </w:r>
    </w:p>
    <w:p>
      <w:pPr>
        <w:pStyle w:val="null3"/>
        <w:ind w:firstLine="420"/>
        <w:jc w:val="both"/>
      </w:pPr>
      <w:r>
        <w:rPr>
          <w:sz w:val="21"/>
        </w:rPr>
        <w:t>（</w:t>
      </w:r>
      <w:r>
        <w:rPr>
          <w:sz w:val="21"/>
        </w:rPr>
        <w:t>3</w:t>
      </w:r>
      <w:r>
        <w:rPr>
          <w:sz w:val="21"/>
        </w:rPr>
        <w:t>）资料提供方：乙方；资料受理方：甲方。</w:t>
      </w:r>
    </w:p>
    <w:p>
      <w:pPr>
        <w:pStyle w:val="null3"/>
        <w:ind w:firstLine="420"/>
        <w:jc w:val="both"/>
      </w:pPr>
      <w:r>
        <w:rPr>
          <w:sz w:val="21"/>
        </w:rPr>
        <w:t>8</w:t>
      </w:r>
      <w:r>
        <w:rPr>
          <w:sz w:val="21"/>
        </w:rPr>
        <w:t>.</w:t>
      </w:r>
      <w:r>
        <w:rPr>
          <w:sz w:val="21"/>
        </w:rPr>
        <w:t>验收结果确认：验收完毕由甲方及乙方在验收报告上签名确认。</w:t>
      </w:r>
    </w:p>
    <w:p>
      <w:pPr>
        <w:pStyle w:val="null3"/>
        <w:jc w:val="both"/>
      </w:pPr>
      <w:r>
        <w:rPr>
          <w:sz w:val="21"/>
          <w:b/>
        </w:rPr>
        <w:t>十</w:t>
      </w:r>
      <w:r>
        <w:rPr>
          <w:sz w:val="21"/>
          <w:b/>
        </w:rPr>
        <w:t>、</w:t>
      </w:r>
      <w:r>
        <w:rPr>
          <w:sz w:val="21"/>
          <w:b/>
        </w:rPr>
        <w:t>培训</w:t>
      </w:r>
    </w:p>
    <w:p>
      <w:pPr>
        <w:pStyle w:val="null3"/>
        <w:ind w:firstLine="420"/>
        <w:jc w:val="both"/>
      </w:pPr>
      <w:r>
        <w:rPr>
          <w:sz w:val="21"/>
        </w:rPr>
        <w:t>1.</w:t>
      </w:r>
      <w:r>
        <w:rPr>
          <w:sz w:val="21"/>
        </w:rPr>
        <w:t>基本要求：乙方须根据甲方的要求，安排熟悉本项目的专业技术人员在甲方指定的地点（佛山市内）向甲方提供完备、全面的产品使用培训。</w:t>
      </w:r>
    </w:p>
    <w:p>
      <w:pPr>
        <w:pStyle w:val="null3"/>
        <w:ind w:firstLine="420"/>
        <w:jc w:val="both"/>
      </w:pPr>
      <w:r>
        <w:rPr>
          <w:sz w:val="21"/>
        </w:rPr>
        <w:t>2.</w:t>
      </w:r>
      <w:r>
        <w:rPr>
          <w:sz w:val="21"/>
        </w:rPr>
        <w:t>目的：确保甲方能够对设备、系统有足够的了解，能够独立进行日常操作、管理和维护。</w:t>
      </w:r>
    </w:p>
    <w:p>
      <w:pPr>
        <w:pStyle w:val="null3"/>
        <w:ind w:firstLine="420"/>
        <w:jc w:val="both"/>
      </w:pPr>
      <w:r>
        <w:rPr>
          <w:sz w:val="21"/>
        </w:rPr>
        <w:t>3.</w:t>
      </w:r>
      <w:r>
        <w:rPr>
          <w:sz w:val="21"/>
        </w:rPr>
        <w:t>培训资料：乙方必须为所有被培训人员提供培训用文字资料和讲义等相关用品。所有的资料必须是中文书写。</w:t>
      </w:r>
    </w:p>
    <w:p>
      <w:pPr>
        <w:pStyle w:val="null3"/>
        <w:ind w:firstLine="420"/>
        <w:jc w:val="both"/>
      </w:pPr>
      <w:r>
        <w:rPr>
          <w:sz w:val="21"/>
        </w:rPr>
        <w:t>4.</w:t>
      </w:r>
      <w:r>
        <w:rPr>
          <w:sz w:val="21"/>
        </w:rPr>
        <w:t>培训费用：培训场地由甲方提供，其他与本项目有关的培训费用包括差旅、食宿、教材、资料等由乙方负责，均计入合同价中。</w:t>
      </w:r>
    </w:p>
    <w:p>
      <w:pPr>
        <w:pStyle w:val="null3"/>
        <w:jc w:val="both"/>
      </w:pPr>
      <w:r>
        <w:rPr>
          <w:sz w:val="21"/>
          <w:b/>
        </w:rPr>
        <w:t>十一</w:t>
      </w:r>
      <w:r>
        <w:rPr>
          <w:sz w:val="21"/>
          <w:b/>
        </w:rPr>
        <w:t>、质保期</w:t>
      </w:r>
    </w:p>
    <w:p>
      <w:pPr>
        <w:pStyle w:val="null3"/>
        <w:ind w:firstLine="420"/>
        <w:jc w:val="both"/>
      </w:pPr>
      <w:r>
        <w:rPr>
          <w:sz w:val="21"/>
        </w:rPr>
        <w:t>1.</w:t>
      </w:r>
      <w:r>
        <w:rPr>
          <w:sz w:val="21"/>
        </w:rPr>
        <w:t>自项目系统验收合格次日起</w:t>
      </w:r>
      <w:r>
        <w:rPr>
          <w:sz w:val="21"/>
        </w:rPr>
        <w:t>1</w:t>
      </w:r>
      <w:r>
        <w:rPr>
          <w:sz w:val="21"/>
        </w:rPr>
        <w:t>年。</w:t>
      </w:r>
    </w:p>
    <w:p>
      <w:pPr>
        <w:pStyle w:val="null3"/>
        <w:ind w:firstLine="420"/>
        <w:jc w:val="both"/>
      </w:pPr>
      <w:r>
        <w:rPr>
          <w:sz w:val="21"/>
        </w:rPr>
        <w:t>2.</w:t>
      </w:r>
      <w:r>
        <w:rPr>
          <w:sz w:val="21"/>
        </w:rPr>
        <w:t>若国家或生产厂家对本项目所涉及货物的质保期的规定高于本项目的要求，应按国家或生产厂家的规定执行。</w:t>
      </w:r>
    </w:p>
    <w:p>
      <w:pPr>
        <w:pStyle w:val="null3"/>
        <w:ind w:firstLine="420"/>
        <w:jc w:val="both"/>
      </w:pPr>
      <w:r>
        <w:rPr>
          <w:sz w:val="21"/>
        </w:rPr>
        <w:t>3.</w:t>
      </w:r>
      <w:r>
        <w:rPr>
          <w:sz w:val="21"/>
        </w:rPr>
        <w:t>在质保期内乙方免费提供货物正常使用情况下的维修及保养服务。</w:t>
      </w:r>
    </w:p>
    <w:p>
      <w:pPr>
        <w:pStyle w:val="null3"/>
        <w:jc w:val="both"/>
      </w:pPr>
      <w:r>
        <w:rPr>
          <w:sz w:val="21"/>
          <w:b/>
        </w:rPr>
        <w:t>十</w:t>
      </w:r>
      <w:r>
        <w:rPr>
          <w:sz w:val="21"/>
          <w:b/>
        </w:rPr>
        <w:t>二</w:t>
      </w:r>
      <w:r>
        <w:rPr>
          <w:sz w:val="21"/>
          <w:b/>
        </w:rPr>
        <w:t>、质量保证及售后服务</w:t>
      </w:r>
    </w:p>
    <w:p>
      <w:pPr>
        <w:pStyle w:val="null3"/>
        <w:ind w:firstLine="420"/>
        <w:jc w:val="both"/>
      </w:pPr>
      <w:r>
        <w:rPr>
          <w:sz w:val="21"/>
        </w:rPr>
        <w:t>1.</w:t>
      </w:r>
      <w:r>
        <w:rPr>
          <w:sz w:val="21"/>
        </w:rPr>
        <w:t>质保及售后服务期内，系统如有任何异常或故障发生，乙方应调查原因并及时修复。乙方应提供</w:t>
      </w:r>
      <w:r>
        <w:rPr>
          <w:sz w:val="21"/>
        </w:rPr>
        <w:t>7</w:t>
      </w:r>
      <w:r>
        <w:rPr>
          <w:sz w:val="21"/>
        </w:rPr>
        <w:t>×</w:t>
      </w:r>
      <w:r>
        <w:rPr>
          <w:sz w:val="21"/>
        </w:rPr>
        <w:t>24</w:t>
      </w:r>
      <w:r>
        <w:rPr>
          <w:sz w:val="21"/>
        </w:rPr>
        <w:t>小时技术支持热线电话，在发生故障的情况下，乙方应承诺在</w:t>
      </w:r>
      <w:r>
        <w:rPr>
          <w:sz w:val="21"/>
        </w:rPr>
        <w:t>8</w:t>
      </w:r>
      <w:r>
        <w:rPr>
          <w:sz w:val="21"/>
        </w:rPr>
        <w:t>个小时内响应，确定需现场解决后，</w:t>
      </w:r>
      <w:r>
        <w:rPr>
          <w:sz w:val="21"/>
        </w:rPr>
        <w:t>48</w:t>
      </w:r>
      <w:r>
        <w:rPr>
          <w:sz w:val="21"/>
        </w:rPr>
        <w:t>小时内赶到故障现场。</w:t>
      </w:r>
    </w:p>
    <w:p>
      <w:pPr>
        <w:pStyle w:val="null3"/>
        <w:ind w:firstLine="420"/>
        <w:jc w:val="both"/>
      </w:pPr>
      <w:r>
        <w:rPr>
          <w:sz w:val="21"/>
        </w:rPr>
        <w:t>2.</w:t>
      </w:r>
      <w:r>
        <w:rPr>
          <w:sz w:val="21"/>
        </w:rPr>
        <w:t>质保期内，在非人为因素情况下，一切维修换件保养费用和备品备件均由乙方提供。</w:t>
      </w:r>
    </w:p>
    <w:p>
      <w:pPr>
        <w:pStyle w:val="null3"/>
        <w:ind w:firstLine="420"/>
        <w:jc w:val="both"/>
      </w:pPr>
      <w:r>
        <w:rPr>
          <w:sz w:val="21"/>
        </w:rPr>
        <w:t>3.</w:t>
      </w:r>
      <w:r>
        <w:rPr>
          <w:sz w:val="21"/>
        </w:rPr>
        <w:t>如因货物自身故障致停用时间每年累计超过</w:t>
      </w:r>
      <w:r>
        <w:rPr>
          <w:sz w:val="21"/>
        </w:rPr>
        <w:t>20</w:t>
      </w:r>
      <w:r>
        <w:rPr>
          <w:sz w:val="21"/>
        </w:rPr>
        <w:t>天时，则质保期在状态恢复正常时重新计算或对故障设备予以重新更换。</w:t>
      </w:r>
    </w:p>
    <w:p>
      <w:pPr>
        <w:pStyle w:val="null3"/>
        <w:ind w:firstLine="420"/>
        <w:jc w:val="both"/>
      </w:pPr>
      <w:r>
        <w:rPr>
          <w:sz w:val="21"/>
        </w:rPr>
        <w:t>4.</w:t>
      </w:r>
      <w:r>
        <w:rPr>
          <w:sz w:val="21"/>
        </w:rPr>
        <w:t>任何时候，乙方均不能免除因货物本身的缺陷所应负的责任。</w:t>
      </w:r>
    </w:p>
    <w:p>
      <w:pPr>
        <w:pStyle w:val="null3"/>
        <w:ind w:firstLine="420"/>
        <w:jc w:val="both"/>
      </w:pPr>
      <w:r>
        <w:rPr>
          <w:sz w:val="21"/>
        </w:rPr>
        <w:t>5.</w:t>
      </w:r>
      <w:r>
        <w:rPr>
          <w:sz w:val="21"/>
        </w:rPr>
        <w:t>在质保期内乙方应提供系统升级方面的技术支持服务。</w:t>
      </w:r>
    </w:p>
    <w:p>
      <w:pPr>
        <w:pStyle w:val="null3"/>
        <w:ind w:firstLine="420"/>
        <w:jc w:val="both"/>
      </w:pPr>
      <w:r>
        <w:rPr>
          <w:sz w:val="21"/>
        </w:rPr>
        <w:t>6.</w:t>
      </w:r>
      <w:r>
        <w:rPr>
          <w:sz w:val="21"/>
        </w:rPr>
        <w:t>质保期内，乙方承担雷达运行期间的电费、通讯费、标定费、各项安全检测费、巡检、维护保养费用。</w:t>
      </w:r>
    </w:p>
    <w:p>
      <w:pPr>
        <w:pStyle w:val="null3"/>
        <w:ind w:firstLine="420"/>
        <w:jc w:val="both"/>
      </w:pPr>
      <w:r>
        <w:rPr>
          <w:sz w:val="21"/>
        </w:rPr>
        <w:t>7.</w:t>
      </w:r>
      <w:r>
        <w:rPr>
          <w:sz w:val="21"/>
        </w:rPr>
        <w:t>考虑到项目范围周边正在施工建设，若甲方有需要，乙方需提供两次免费移机服务（不含雷达天线主体及铁塔的移动，含方舱机房移位、机柜及相关设备的移机和安装调试、电源及信号线路的调整敷设）。</w:t>
      </w:r>
    </w:p>
    <w:p>
      <w:pPr>
        <w:pStyle w:val="null3"/>
        <w:ind w:firstLine="420"/>
        <w:jc w:val="both"/>
      </w:pPr>
      <w:r>
        <w:rPr>
          <w:sz w:val="21"/>
        </w:rPr>
        <w:t>8.</w:t>
      </w:r>
      <w:r>
        <w:rPr>
          <w:sz w:val="21"/>
        </w:rPr>
        <w:t>在</w:t>
      </w:r>
      <w:r>
        <w:rPr>
          <w:sz w:val="21"/>
        </w:rPr>
        <w:t>3年内，雷达非易损耗核心部件（雷达天线、系统软件）出现非人为因素造成的故障时，</w:t>
      </w:r>
      <w:r>
        <w:rPr>
          <w:sz w:val="21"/>
        </w:rPr>
        <w:t>乙方</w:t>
      </w:r>
      <w:r>
        <w:rPr>
          <w:sz w:val="21"/>
        </w:rPr>
        <w:t>应免费承担维修、换件等相关费用。</w:t>
      </w:r>
    </w:p>
    <w:p>
      <w:pPr>
        <w:pStyle w:val="null3"/>
        <w:ind w:firstLine="420"/>
        <w:jc w:val="both"/>
      </w:pPr>
      <w:r>
        <w:rPr>
          <w:sz w:val="21"/>
        </w:rPr>
        <w:t>9.</w:t>
      </w:r>
      <w:r>
        <w:rPr>
          <w:sz w:val="21"/>
        </w:rPr>
        <w:t>本项上述情况的产生费用由乙方负责。</w:t>
      </w:r>
    </w:p>
    <w:p>
      <w:pPr>
        <w:pStyle w:val="null3"/>
        <w:jc w:val="both"/>
      </w:pPr>
      <w:r>
        <w:rPr>
          <w:sz w:val="21"/>
          <w:b/>
        </w:rPr>
        <w:t>十</w:t>
      </w:r>
      <w:r>
        <w:rPr>
          <w:sz w:val="21"/>
          <w:b/>
        </w:rPr>
        <w:t>三</w:t>
      </w:r>
      <w:r>
        <w:rPr>
          <w:sz w:val="21"/>
          <w:b/>
        </w:rPr>
        <w:t>、知识产权</w:t>
      </w:r>
    </w:p>
    <w:p>
      <w:pPr>
        <w:pStyle w:val="null3"/>
        <w:ind w:firstLine="420"/>
        <w:jc w:val="both"/>
      </w:pPr>
      <w:r>
        <w:rPr>
          <w:sz w:val="21"/>
        </w:rPr>
        <w:t>甲方在中华人民共和国境内使用乙方提供的货物及服务时免受第三方提出的侵犯其专利权或其它知识产权的起诉。如果第三方提出侵权指控，乙方应承担由此而引起的一切法律责任和费用。</w:t>
      </w:r>
    </w:p>
    <w:p>
      <w:pPr>
        <w:pStyle w:val="null3"/>
        <w:jc w:val="both"/>
      </w:pPr>
      <w:r>
        <w:rPr>
          <w:sz w:val="21"/>
          <w:b/>
        </w:rPr>
        <w:t>十</w:t>
      </w:r>
      <w:r>
        <w:rPr>
          <w:sz w:val="21"/>
          <w:b/>
        </w:rPr>
        <w:t>四</w:t>
      </w:r>
      <w:r>
        <w:rPr>
          <w:sz w:val="21"/>
          <w:b/>
        </w:rPr>
        <w:t>、履约保证金</w:t>
      </w:r>
    </w:p>
    <w:p>
      <w:pPr>
        <w:pStyle w:val="null3"/>
        <w:ind w:firstLine="420"/>
        <w:jc w:val="both"/>
      </w:pPr>
      <w:r>
        <w:rPr>
          <w:sz w:val="21"/>
        </w:rPr>
        <w:t>不收取</w:t>
      </w:r>
    </w:p>
    <w:p>
      <w:pPr>
        <w:pStyle w:val="null3"/>
        <w:jc w:val="both"/>
      </w:pPr>
      <w:r>
        <w:rPr>
          <w:sz w:val="21"/>
          <w:b/>
        </w:rPr>
        <w:t>十</w:t>
      </w:r>
      <w:r>
        <w:rPr>
          <w:sz w:val="21"/>
          <w:b/>
        </w:rPr>
        <w:t>五</w:t>
      </w:r>
      <w:r>
        <w:rPr>
          <w:sz w:val="21"/>
          <w:b/>
        </w:rPr>
        <w:t>、分包要求</w:t>
      </w:r>
    </w:p>
    <w:p>
      <w:pPr>
        <w:pStyle w:val="null3"/>
        <w:ind w:firstLine="420"/>
        <w:jc w:val="both"/>
      </w:pPr>
      <w:r>
        <w:rPr>
          <w:sz w:val="21"/>
        </w:rPr>
        <w:t>本项目中</w:t>
      </w:r>
      <w:r>
        <w:rPr>
          <w:sz w:val="21"/>
        </w:rPr>
        <w:t>“</w:t>
      </w:r>
      <w:r>
        <w:rPr>
          <w:sz w:val="21"/>
        </w:rPr>
        <w:t>X</w:t>
      </w:r>
      <w:r>
        <w:rPr>
          <w:sz w:val="21"/>
        </w:rPr>
        <w:t>波段双极化相控阵天气雷达系统”为主体、关键性内容，不允许分包，其他内容为非主体、非关键性内容，在合同履行中，如涉及需要第三方实施，可由乙方聘请有资质的第三方实施，但实施前需经得甲方的审核并书面同意方可实施，否则视为违约，甲方有权单方面终止合同，由此造成的损失由乙方自行承担，甲方保留追究其法律责任的权利。</w:t>
      </w:r>
    </w:p>
    <w:p>
      <w:pPr>
        <w:pStyle w:val="null3"/>
        <w:jc w:val="both"/>
      </w:pPr>
      <w:r>
        <w:rPr>
          <w:sz w:val="21"/>
          <w:b/>
        </w:rPr>
        <w:t>十</w:t>
      </w:r>
      <w:r>
        <w:rPr>
          <w:sz w:val="21"/>
          <w:b/>
        </w:rPr>
        <w:t>六</w:t>
      </w:r>
      <w:r>
        <w:rPr>
          <w:sz w:val="21"/>
          <w:b/>
        </w:rPr>
        <w:t>、违约责任</w:t>
      </w:r>
    </w:p>
    <w:p>
      <w:pPr>
        <w:pStyle w:val="null3"/>
        <w:ind w:firstLine="420"/>
        <w:jc w:val="both"/>
      </w:pPr>
      <w:r>
        <w:rPr>
          <w:sz w:val="21"/>
        </w:rPr>
        <w:t>1.</w:t>
      </w:r>
      <w:r>
        <w:rPr>
          <w:sz w:val="21"/>
        </w:rPr>
        <w:t xml:space="preserve">乙方交付的物品不符合招标文件、投标文件或合同约定的，甲方有权拒收或要求乙方退货、减价、重修等，乙方应在甲方限定期限内重新交付符合规定的物品，逾期不能交付或者交付不符合规定的，甲方有权单方解除合同，乙方需向甲方支付合同价款总额 </w:t>
      </w:r>
      <w:r>
        <w:rPr>
          <w:sz w:val="21"/>
        </w:rPr>
        <w:t>5%</w:t>
      </w:r>
      <w:r>
        <w:rPr>
          <w:sz w:val="21"/>
        </w:rPr>
        <w:t>的违约金。</w:t>
      </w:r>
    </w:p>
    <w:p>
      <w:pPr>
        <w:pStyle w:val="null3"/>
        <w:ind w:firstLine="420"/>
        <w:jc w:val="both"/>
      </w:pPr>
      <w:r>
        <w:rPr>
          <w:sz w:val="21"/>
        </w:rPr>
        <w:t>2.</w:t>
      </w:r>
      <w:r>
        <w:rPr>
          <w:sz w:val="21"/>
        </w:rPr>
        <w:t xml:space="preserve">乙方逾期交货，每逾期一日，则每日按合同总额 </w:t>
      </w:r>
      <w:r>
        <w:rPr>
          <w:sz w:val="21"/>
        </w:rPr>
        <w:t>0.05 %</w:t>
      </w:r>
      <w:r>
        <w:rPr>
          <w:sz w:val="21"/>
        </w:rPr>
        <w:t xml:space="preserve">向甲方支付违约金，逾期交付超过 </w:t>
      </w:r>
      <w:r>
        <w:rPr>
          <w:sz w:val="21"/>
        </w:rPr>
        <w:t xml:space="preserve">30 </w:t>
      </w:r>
      <w:r>
        <w:rPr>
          <w:sz w:val="21"/>
        </w:rPr>
        <w:t>天，甲方有权单方解除合同。</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 xml:space="preserve">服务款项的，甲方向乙方偿付合同总额 </w:t>
      </w:r>
      <w:r>
        <w:rPr>
          <w:sz w:val="21"/>
        </w:rPr>
        <w:t>5%</w:t>
      </w:r>
      <w:r>
        <w:rPr>
          <w:sz w:val="21"/>
        </w:rPr>
        <w:t>的违约金。</w:t>
      </w:r>
    </w:p>
    <w:p>
      <w:pPr>
        <w:pStyle w:val="null3"/>
        <w:ind w:firstLine="420"/>
        <w:jc w:val="both"/>
      </w:pPr>
      <w:r>
        <w:rPr>
          <w:sz w:val="21"/>
        </w:rPr>
        <w:t>4.</w:t>
      </w:r>
      <w:r>
        <w:rPr>
          <w:sz w:val="21"/>
        </w:rPr>
        <w:t>违约方除承担违约责任，还应当承担守约方维权支出费用，维权支出费用包括但不限于律师费、诉讼（仲裁）费、鉴定费、财产保全保险费等。</w:t>
      </w:r>
    </w:p>
    <w:p>
      <w:pPr>
        <w:pStyle w:val="null3"/>
        <w:jc w:val="both"/>
      </w:pPr>
      <w:r>
        <w:rPr>
          <w:sz w:val="21"/>
          <w:b/>
        </w:rPr>
        <w:t>十</w:t>
      </w:r>
      <w:r>
        <w:rPr>
          <w:sz w:val="21"/>
          <w:b/>
        </w:rPr>
        <w:t>七</w:t>
      </w:r>
      <w:r>
        <w:rPr>
          <w:sz w:val="21"/>
          <w:b/>
        </w:rPr>
        <w:t>、争议的解决</w:t>
      </w:r>
    </w:p>
    <w:p>
      <w:pPr>
        <w:pStyle w:val="null3"/>
        <w:ind w:firstLine="420"/>
        <w:jc w:val="both"/>
      </w:pPr>
      <w:r>
        <w:rPr>
          <w:sz w:val="21"/>
        </w:rPr>
        <w:t>履行本合同而引起的一切争议，买卖双方应首先通过友好协商解决，协商不成的，因本合同引起的或与本合同有关的争议，均提请甲方所在地仲裁委员会按照仲裁规则进行仲裁，仲裁裁决是终局的，对双方均有约束力。</w:t>
      </w:r>
    </w:p>
    <w:p>
      <w:pPr>
        <w:pStyle w:val="null3"/>
        <w:jc w:val="both"/>
      </w:pPr>
      <w:r>
        <w:rPr>
          <w:sz w:val="21"/>
          <w:b/>
        </w:rPr>
        <w:t>十</w:t>
      </w:r>
      <w:r>
        <w:rPr>
          <w:sz w:val="21"/>
          <w:b/>
        </w:rPr>
        <w:t>八</w:t>
      </w:r>
      <w:r>
        <w:rPr>
          <w:sz w:val="21"/>
          <w:b/>
        </w:rPr>
        <w:t>、不可抗力</w:t>
      </w:r>
    </w:p>
    <w:p>
      <w:pPr>
        <w:pStyle w:val="null3"/>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九</w:t>
      </w:r>
      <w:r>
        <w:rPr>
          <w:sz w:val="21"/>
          <w:b/>
        </w:rPr>
        <w:t>、税费</w:t>
      </w:r>
    </w:p>
    <w:p>
      <w:pPr>
        <w:pStyle w:val="null3"/>
        <w:ind w:firstLine="420"/>
        <w:jc w:val="both"/>
      </w:pPr>
      <w:r>
        <w:rPr>
          <w:sz w:val="21"/>
        </w:rPr>
        <w:t>在中国境内、外发生的与本合同执行有关的一切税费均由双方各自负担。</w:t>
      </w:r>
    </w:p>
    <w:p>
      <w:pPr>
        <w:pStyle w:val="null3"/>
        <w:jc w:val="both"/>
      </w:pPr>
      <w:r>
        <w:rPr>
          <w:sz w:val="21"/>
          <w:b/>
        </w:rPr>
        <w:t>二十</w:t>
      </w:r>
      <w:r>
        <w:rPr>
          <w:sz w:val="21"/>
          <w:b/>
        </w:rPr>
        <w:t>、其它</w:t>
      </w:r>
    </w:p>
    <w:p>
      <w:pPr>
        <w:pStyle w:val="null3"/>
        <w:ind w:firstLine="420"/>
        <w:jc w:val="both"/>
      </w:pPr>
      <w:r>
        <w:rPr>
          <w:sz w:val="21"/>
        </w:rPr>
        <w:t>1.</w:t>
      </w:r>
      <w:r>
        <w:rPr>
          <w:sz w:val="21"/>
        </w:rPr>
        <w:t>本合同所有附件、招标文件、投标文件、中标通知书均为合同的有效组成部分，与本合同具有同等法律效力。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rPr>
        <w:t>5.</w:t>
      </w:r>
      <w:r>
        <w:rPr>
          <w:sz w:val="21"/>
        </w:rPr>
        <w:t>双方对本合同均有保密义务，除司法和行政机关要求外，本合同内容不得向无关第三人透露。</w:t>
      </w:r>
    </w:p>
    <w:p>
      <w:pPr>
        <w:pStyle w:val="null3"/>
        <w:jc w:val="both"/>
      </w:pPr>
      <w:r>
        <w:rPr>
          <w:sz w:val="21"/>
          <w:b/>
        </w:rPr>
        <w:t>二十一</w:t>
      </w:r>
      <w:r>
        <w:rPr>
          <w:sz w:val="21"/>
          <w:b/>
        </w:rPr>
        <w:t>、合同生效</w:t>
      </w:r>
    </w:p>
    <w:p>
      <w:pPr>
        <w:pStyle w:val="null3"/>
        <w:ind w:firstLine="420"/>
        <w:jc w:val="both"/>
      </w:pPr>
      <w:r>
        <w:rPr>
          <w:sz w:val="21"/>
        </w:rPr>
        <w:t>1.</w:t>
      </w:r>
      <w:r>
        <w:rPr>
          <w:sz w:val="21"/>
        </w:rPr>
        <w:t>合同自甲乙双方法人代表或其授权代表签字盖章之日起生效。</w:t>
      </w:r>
    </w:p>
    <w:p>
      <w:pPr>
        <w:pStyle w:val="null3"/>
        <w:ind w:firstLine="420"/>
        <w:jc w:val="both"/>
      </w:pPr>
      <w:r>
        <w:rPr>
          <w:sz w:val="21"/>
        </w:rPr>
        <w:t>2.</w:t>
      </w:r>
      <w:r>
        <w:rPr>
          <w:sz w:val="21"/>
        </w:rPr>
        <w:t>合同壹式</w:t>
      </w:r>
      <w:r>
        <w:rPr>
          <w:sz w:val="21"/>
          <w:u w:val="single"/>
        </w:rPr>
        <w:t xml:space="preserve">   </w:t>
      </w:r>
      <w:r>
        <w:rPr>
          <w:sz w:val="21"/>
        </w:rPr>
        <w:t>份，其中甲乙双方各执</w:t>
      </w:r>
      <w:r>
        <w:rPr>
          <w:sz w:val="21"/>
          <w:u w:val="single"/>
        </w:rPr>
        <w:t xml:space="preserve">  </w:t>
      </w:r>
      <w:r>
        <w:rPr>
          <w:sz w:val="21"/>
        </w:rPr>
        <w:t>份，采购代理机构执</w:t>
      </w:r>
      <w:r>
        <w:rPr>
          <w:sz w:val="21"/>
          <w:u w:val="single"/>
        </w:rPr>
        <w:t>壹</w:t>
      </w:r>
      <w:r>
        <w:rPr>
          <w:sz w:val="21"/>
        </w:rPr>
        <w:t>份，政府采购监督管理部门</w:t>
      </w:r>
      <w:r>
        <w:rPr>
          <w:sz w:val="21"/>
          <w:u w:val="single"/>
        </w:rPr>
        <w:t>壹</w:t>
      </w:r>
      <w:r>
        <w:rPr>
          <w:sz w:val="21"/>
        </w:rPr>
        <w:t>份。</w:t>
      </w:r>
    </w:p>
    <w:p>
      <w:pPr>
        <w:pStyle w:val="null3"/>
        <w:jc w:val="both"/>
      </w:pPr>
      <w:r>
        <w:rPr>
          <w:sz w:val="21"/>
        </w:rPr>
        <w:t xml:space="preserve"> </w:t>
      </w:r>
    </w:p>
    <w:p>
      <w:pPr>
        <w:pStyle w:val="null3"/>
        <w:jc w:val="both"/>
      </w:pPr>
      <w:r>
        <w:rPr>
          <w:sz w:val="21"/>
        </w:rPr>
        <w:t xml:space="preserve"> </w:t>
      </w:r>
    </w:p>
    <w:p>
      <w:pPr>
        <w:pStyle w:val="null3"/>
        <w:jc w:val="both"/>
      </w:pPr>
      <w:r>
        <w:rPr>
          <w:sz w:val="21"/>
        </w:rPr>
        <w:t>甲方（盖章）：</w:t>
      </w:r>
      <w:r>
        <w:rPr>
          <w:sz w:val="21"/>
        </w:rPr>
        <w:t xml:space="preserve">                              </w:t>
      </w:r>
      <w:r>
        <w:rPr>
          <w:sz w:val="21"/>
        </w:rPr>
        <w:t>乙方（盖章）：</w:t>
      </w:r>
    </w:p>
    <w:p>
      <w:pPr>
        <w:pStyle w:val="null3"/>
        <w:jc w:val="both"/>
      </w:pPr>
      <w:r>
        <w:rPr>
          <w:sz w:val="21"/>
        </w:rPr>
        <w:t>代表：</w:t>
      </w:r>
      <w:r>
        <w:rPr>
          <w:sz w:val="21"/>
        </w:rPr>
        <w:t xml:space="preserve">                                  </w:t>
      </w:r>
      <w:r>
        <w:rPr>
          <w:sz w:val="21"/>
        </w:rPr>
        <w:t>代表：</w:t>
      </w:r>
    </w:p>
    <w:p>
      <w:pPr>
        <w:pStyle w:val="null3"/>
        <w:jc w:val="both"/>
      </w:pPr>
      <w:r>
        <w:rPr>
          <w:sz w:val="21"/>
        </w:rPr>
        <w:t>签订地点：</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br/>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440606-2024-03023</w:t>
      </w:r>
    </w:p>
    <w:p>
      <w:pPr>
        <w:pStyle w:val="null3"/>
        <w:jc w:val="center"/>
        <w:outlineLvl w:val="3"/>
      </w:pPr>
      <w:r>
        <w:rPr>
          <w:sz w:val="24"/>
          <w:b/>
        </w:rPr>
        <w:t>采购项目编号：</w:t>
      </w:r>
      <w:r>
        <w:rPr>
          <w:sz w:val="24"/>
          <w:b/>
        </w:rPr>
        <w:t>440606-2024-03023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佛山市顺德区X波段双极化相控阵天气雷达采购项目</w:t>
      </w:r>
      <w:r>
        <w:rPr>
          <w:u w:val="single"/>
        </w:rPr>
        <w:t>”</w:t>
      </w:r>
      <w:r>
        <w:rPr/>
        <w:t>项目的招标[采购项目编号为：</w:t>
      </w:r>
      <w:r>
        <w:rPr>
          <w:u w:val="single"/>
        </w:rPr>
        <w:t>440606-2024-03023</w:t>
      </w:r>
      <w:r>
        <w:rPr/>
        <w:t>]，我方愿参与投标。</w:t>
      </w:r>
    </w:p>
    <w:p>
      <w:pPr>
        <w:pStyle w:val="null3"/>
        <w:ind w:firstLine="480"/>
      </w:pPr>
      <w:r>
        <w:rPr/>
        <w:t>我方确认收到贵方提供的</w:t>
      </w:r>
      <w:r>
        <w:rPr>
          <w:u w:val="single"/>
        </w:rPr>
        <w:t>“</w:t>
      </w:r>
      <w:r>
        <w:rPr>
          <w:u w:val="single"/>
        </w:rPr>
        <w:t>佛山市顺德区X波段双极化相控阵天气雷达采购项目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佛山市顺德区X波段双极化相控阵天气雷达采购项目</w:t>
      </w:r>
      <w:r>
        <w:rPr/>
        <w:t>”项目采购[采购项目编号为</w:t>
      </w:r>
      <w:r>
        <w:rPr/>
        <w:t>440606-2024-03023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佛山市顺德区气象局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佛山市顺德区X波段双极化相控阵天气雷达采购项目</w:t>
      </w:r>
      <w:r>
        <w:rPr/>
        <w:t>招标中获中标（采购项目编号：</w:t>
      </w:r>
      <w:r>
        <w:rPr/>
        <w:t>440606-2024-03023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佛山市顺德区X波段双极化相控阵天气雷达采购项目</w:t>
      </w:r>
      <w:r>
        <w:rPr/>
        <w:t>”项目（采购项目编号：</w:t>
      </w:r>
      <w:r>
        <w:rPr/>
        <w:t>440606-2024-03023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