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50932">
      <w:pPr>
        <w:ind w:firstLine="0" w:firstLineChars="0"/>
        <w:jc w:val="center"/>
        <w:rPr>
          <w:b/>
          <w:bCs/>
          <w:sz w:val="36"/>
          <w:szCs w:val="36"/>
          <w:lang w:val="en-US"/>
        </w:rPr>
      </w:pPr>
      <w:r>
        <w:rPr>
          <w:rFonts w:hint="eastAsia"/>
          <w:b/>
          <w:bCs/>
          <w:sz w:val="36"/>
          <w:szCs w:val="36"/>
          <w:lang w:val="en-US"/>
        </w:rPr>
        <w:t>南方医科大学中西医结合医院</w:t>
      </w:r>
    </w:p>
    <w:p w14:paraId="1E0E7D03">
      <w:pPr>
        <w:ind w:firstLine="0" w:firstLineChars="0"/>
        <w:jc w:val="center"/>
        <w:rPr>
          <w:b/>
          <w:bCs/>
          <w:sz w:val="36"/>
          <w:szCs w:val="36"/>
          <w:lang w:val="en-US"/>
        </w:rPr>
      </w:pPr>
      <w:r>
        <w:rPr>
          <w:rFonts w:hint="eastAsia"/>
          <w:b/>
          <w:bCs/>
          <w:sz w:val="36"/>
          <w:szCs w:val="36"/>
          <w:lang w:val="en-US"/>
        </w:rPr>
        <w:t>运营管理提升咨询项目服务需求</w:t>
      </w:r>
    </w:p>
    <w:p w14:paraId="41BFF111">
      <w:pPr>
        <w:pStyle w:val="2"/>
        <w:numPr>
          <w:ilvl w:val="0"/>
          <w:numId w:val="1"/>
        </w:numPr>
        <w:ind w:firstLine="562"/>
      </w:pPr>
      <w:r>
        <w:rPr>
          <w:rFonts w:hint="eastAsia"/>
        </w:rPr>
        <w:t>项目背景</w:t>
      </w:r>
    </w:p>
    <w:p w14:paraId="5AF22311">
      <w:pPr>
        <w:ind w:firstLine="480"/>
        <w:rPr>
          <w:rFonts w:hint="eastAsia"/>
        </w:rPr>
      </w:pPr>
      <w:r>
        <w:rPr>
          <w:rFonts w:hint="eastAsia"/>
        </w:rPr>
        <w:t>通过加强住院患者数据治理，有效对接病案首页与结算清单数据，规范医务人员诊疗行为，提升院科两级运营管理水平，为医院高质量发展提供支撑。</w:t>
      </w:r>
    </w:p>
    <w:p w14:paraId="5B403AC5">
      <w:pPr>
        <w:ind w:firstLine="480"/>
        <w:rPr>
          <w:rFonts w:hint="eastAsia"/>
        </w:rPr>
      </w:pPr>
      <w:r>
        <w:rPr>
          <w:rFonts w:hint="eastAsia"/>
        </w:rPr>
        <w:t>服务期：合同签订之日一年。</w:t>
      </w:r>
      <w:bookmarkStart w:id="1" w:name="_GoBack"/>
      <w:bookmarkEnd w:id="1"/>
    </w:p>
    <w:p w14:paraId="2CDE9842">
      <w:pPr>
        <w:pStyle w:val="2"/>
        <w:numPr>
          <w:ilvl w:val="0"/>
          <w:numId w:val="1"/>
        </w:numPr>
        <w:ind w:firstLine="562"/>
      </w:pPr>
      <w:r>
        <w:rPr>
          <w:rFonts w:hint="eastAsia"/>
        </w:rPr>
        <w:t>服务目标</w:t>
      </w:r>
    </w:p>
    <w:p w14:paraId="7B74E27A">
      <w:pPr>
        <w:autoSpaceDE/>
        <w:autoSpaceDN/>
        <w:ind w:firstLine="480"/>
        <w:rPr>
          <w:rFonts w:hint="eastAsia" w:ascii="宋体" w:hAnsi="宋体"/>
        </w:rPr>
      </w:pPr>
      <w:r>
        <w:rPr>
          <w:rFonts w:hint="eastAsia" w:ascii="宋体" w:hAnsi="宋体"/>
        </w:rPr>
        <w:t>1.运营管理咨询服务</w:t>
      </w:r>
    </w:p>
    <w:p w14:paraId="122A1FD1">
      <w:pPr>
        <w:pStyle w:val="14"/>
        <w:spacing w:after="0"/>
        <w:ind w:firstLine="480"/>
        <w:rPr>
          <w:rFonts w:hint="eastAsia" w:ascii="宋体" w:hAnsi="宋体" w:cs="Times New Roman"/>
          <w:lang w:val="en-US"/>
        </w:rPr>
      </w:pPr>
      <w:r>
        <w:rPr>
          <w:rFonts w:hint="eastAsia" w:ascii="宋体" w:hAnsi="宋体" w:cs="Times New Roman"/>
          <w:lang w:val="en-US"/>
        </w:rPr>
        <w:t>通过运营数据分析、现场交流等方式，每年提供不少于9次现场专家辅导咨询服务。服务内容包括但不限于医保政策、病案编码、学科发展等方面。同时，借助服务工具对医院与科室运营数据、优势病种、病种</w:t>
      </w:r>
      <w:r>
        <w:rPr>
          <w:rFonts w:ascii="宋体" w:hAnsi="宋体" w:cs="Times New Roman"/>
          <w:lang w:val="en-US"/>
        </w:rPr>
        <w:t>CMI值</w:t>
      </w:r>
      <w:r>
        <w:rPr>
          <w:rFonts w:hint="eastAsia" w:ascii="宋体" w:hAnsi="宋体" w:cs="Times New Roman"/>
          <w:lang w:val="en-US"/>
        </w:rPr>
        <w:t>等进行深度分析，横向比较标杆单位的同类数据，生成可视化报告。</w:t>
      </w:r>
    </w:p>
    <w:p w14:paraId="3A59A6F2">
      <w:pPr>
        <w:pStyle w:val="14"/>
        <w:spacing w:after="0"/>
        <w:ind w:firstLine="482"/>
        <w:rPr>
          <w:rFonts w:hint="eastAsia" w:ascii="宋体" w:hAnsi="宋体" w:cs="Times New Roman"/>
          <w:lang w:val="en-US"/>
        </w:rPr>
      </w:pPr>
      <w:r>
        <w:rPr>
          <w:rFonts w:hint="eastAsia" w:ascii="宋体" w:hAnsi="宋体" w:cs="Times New Roman"/>
          <w:b/>
          <w:bCs/>
        </w:rPr>
        <w:t>（</w:t>
      </w:r>
      <w:r>
        <w:rPr>
          <w:rFonts w:hint="eastAsia" w:ascii="宋体" w:hAnsi="宋体" w:cs="Times New Roman"/>
          <w:b/>
          <w:bCs/>
          <w:lang w:val="en-US"/>
        </w:rPr>
        <w:t>1</w:t>
      </w:r>
      <w:r>
        <w:rPr>
          <w:rFonts w:hint="eastAsia" w:ascii="宋体" w:hAnsi="宋体" w:cs="Times New Roman"/>
          <w:b/>
          <w:bCs/>
        </w:rPr>
        <w:t>）</w:t>
      </w:r>
      <w:r>
        <w:rPr>
          <w:rFonts w:ascii="宋体" w:hAnsi="宋体" w:cs="Times New Roman"/>
          <w:b/>
          <w:bCs/>
        </w:rPr>
        <w:t>管理体系搭建。</w:t>
      </w:r>
      <w:r>
        <w:rPr>
          <w:rFonts w:ascii="宋体" w:hAnsi="宋体" w:cs="Times New Roman"/>
          <w:lang w:val="en-US"/>
        </w:rPr>
        <w:t>通过专家咨询，系统化引入病种管理体系，建立医务、质控、运营、财务、医保、</w:t>
      </w:r>
      <w:r>
        <w:rPr>
          <w:rFonts w:hint="eastAsia" w:ascii="宋体" w:hAnsi="宋体" w:cs="Times New Roman"/>
          <w:lang w:val="en-US"/>
        </w:rPr>
        <w:t>物价、护理、</w:t>
      </w:r>
      <w:r>
        <w:rPr>
          <w:rFonts w:ascii="宋体" w:hAnsi="宋体" w:cs="Times New Roman"/>
          <w:lang w:val="en-US"/>
        </w:rPr>
        <w:t>药学、设备、病案、信息等多部门MDT</w:t>
      </w:r>
      <w:r>
        <w:rPr>
          <w:rFonts w:hint="eastAsia" w:ascii="宋体" w:hAnsi="宋体" w:cs="Times New Roman"/>
          <w:lang w:val="en-US"/>
        </w:rPr>
        <w:t>协同的</w:t>
      </w:r>
      <w:r>
        <w:rPr>
          <w:rFonts w:ascii="宋体" w:hAnsi="宋体" w:cs="Times New Roman"/>
          <w:lang w:val="en-US"/>
        </w:rPr>
        <w:t>管理</w:t>
      </w:r>
      <w:r>
        <w:rPr>
          <w:rFonts w:hint="eastAsia" w:ascii="宋体" w:hAnsi="宋体" w:cs="Times New Roman"/>
          <w:lang w:val="en-US"/>
        </w:rPr>
        <w:t>机制，从病种管理、医疗技术、药耗管控、学科发展等维度，逐步提升运营管理水平</w:t>
      </w:r>
      <w:r>
        <w:rPr>
          <w:rFonts w:ascii="宋体" w:hAnsi="宋体" w:cs="Times New Roman"/>
          <w:lang w:val="en-US"/>
        </w:rPr>
        <w:t>。</w:t>
      </w:r>
    </w:p>
    <w:p w14:paraId="1C6664A3">
      <w:pPr>
        <w:pStyle w:val="14"/>
        <w:spacing w:after="0"/>
        <w:ind w:firstLine="482"/>
        <w:rPr>
          <w:rFonts w:hint="eastAsia" w:ascii="宋体" w:hAnsi="宋体" w:cs="Times New Roman"/>
          <w:lang w:val="en-US"/>
        </w:rPr>
      </w:pPr>
      <w:r>
        <w:rPr>
          <w:rFonts w:hint="eastAsia" w:ascii="宋体" w:hAnsi="宋体" w:cs="Times New Roman"/>
          <w:b/>
          <w:bCs/>
          <w:lang w:val="en-US"/>
        </w:rPr>
        <w:t>（2）</w:t>
      </w:r>
      <w:r>
        <w:rPr>
          <w:rFonts w:ascii="宋体" w:hAnsi="宋体" w:cs="Times New Roman"/>
          <w:b/>
          <w:bCs/>
          <w:lang w:val="en-US"/>
        </w:rPr>
        <w:t>运营数据分析</w:t>
      </w:r>
      <w:r>
        <w:rPr>
          <w:rFonts w:hint="eastAsia" w:ascii="宋体" w:hAnsi="宋体" w:cs="Times New Roman"/>
          <w:b/>
          <w:bCs/>
          <w:lang w:val="en-US"/>
        </w:rPr>
        <w:t>。</w:t>
      </w:r>
      <w:r>
        <w:rPr>
          <w:rFonts w:hint="eastAsia" w:ascii="宋体" w:hAnsi="宋体" w:cs="Times New Roman"/>
          <w:lang w:val="en-US"/>
        </w:rPr>
        <w:t>聚焦病种医保数据，</w:t>
      </w:r>
      <w:r>
        <w:rPr>
          <w:rFonts w:ascii="宋体" w:hAnsi="宋体" w:cs="Times New Roman"/>
          <w:lang w:val="en-US"/>
        </w:rPr>
        <w:t>包括</w:t>
      </w:r>
      <w:r>
        <w:rPr>
          <w:rFonts w:hint="eastAsia" w:ascii="宋体" w:hAnsi="宋体" w:cs="Times New Roman"/>
          <w:lang w:val="en-US"/>
        </w:rPr>
        <w:t>医疗工作量、</w:t>
      </w:r>
      <w:r>
        <w:rPr>
          <w:rFonts w:ascii="宋体" w:hAnsi="宋体" w:cs="Times New Roman"/>
          <w:lang w:val="en-US"/>
        </w:rPr>
        <w:t>医疗收入、</w:t>
      </w:r>
      <w:r>
        <w:rPr>
          <w:rFonts w:hint="eastAsia" w:ascii="宋体" w:hAnsi="宋体" w:cs="Times New Roman"/>
          <w:lang w:val="en-US"/>
        </w:rPr>
        <w:t>药耗成本、</w:t>
      </w:r>
      <w:r>
        <w:rPr>
          <w:rFonts w:ascii="宋体" w:hAnsi="宋体" w:cs="Times New Roman"/>
          <w:lang w:val="en-US"/>
        </w:rPr>
        <w:t>医保结算情况等。以全院</w:t>
      </w:r>
      <w:r>
        <w:rPr>
          <w:rFonts w:hint="eastAsia" w:ascii="宋体" w:hAnsi="宋体" w:cs="Times New Roman"/>
          <w:lang w:val="en-US"/>
        </w:rPr>
        <w:t>——</w:t>
      </w:r>
      <w:r>
        <w:rPr>
          <w:rFonts w:ascii="宋体" w:hAnsi="宋体" w:cs="Times New Roman"/>
          <w:lang w:val="en-US"/>
        </w:rPr>
        <w:t>科室</w:t>
      </w:r>
      <w:r>
        <w:rPr>
          <w:rFonts w:hint="eastAsia" w:ascii="宋体" w:hAnsi="宋体" w:cs="Times New Roman"/>
          <w:lang w:val="en-US"/>
        </w:rPr>
        <w:t>——医疗组——</w:t>
      </w:r>
      <w:r>
        <w:rPr>
          <w:rFonts w:ascii="宋体" w:hAnsi="宋体" w:cs="Times New Roman"/>
          <w:lang w:val="en-US"/>
        </w:rPr>
        <w:t>医</w:t>
      </w:r>
      <w:r>
        <w:rPr>
          <w:rFonts w:ascii="宋体" w:hAnsi="宋体" w:cs="Times New Roman"/>
        </w:rPr>
        <w:t>师</w:t>
      </w:r>
      <w:r>
        <w:rPr>
          <w:rFonts w:hint="eastAsia" w:ascii="宋体" w:hAnsi="宋体" w:cs="Times New Roman"/>
          <w:lang w:val="en-US"/>
        </w:rPr>
        <w:t>——</w:t>
      </w:r>
      <w:r>
        <w:rPr>
          <w:rFonts w:ascii="宋体" w:hAnsi="宋体" w:cs="Times New Roman"/>
          <w:lang w:val="en-US"/>
        </w:rPr>
        <w:t>病种等多个维度，对运营</w:t>
      </w:r>
      <w:r>
        <w:rPr>
          <w:rFonts w:hint="eastAsia" w:ascii="宋体" w:hAnsi="宋体" w:cs="Times New Roman"/>
          <w:lang w:val="en-US"/>
        </w:rPr>
        <w:t>规模</w:t>
      </w:r>
      <w:r>
        <w:rPr>
          <w:rFonts w:ascii="宋体" w:hAnsi="宋体" w:cs="Times New Roman"/>
          <w:lang w:val="en-US"/>
        </w:rPr>
        <w:t>、</w:t>
      </w:r>
      <w:r>
        <w:rPr>
          <w:rFonts w:hint="eastAsia" w:ascii="宋体" w:hAnsi="宋体" w:cs="Times New Roman"/>
          <w:lang w:val="en-US"/>
        </w:rPr>
        <w:t>结构</w:t>
      </w:r>
      <w:r>
        <w:rPr>
          <w:rFonts w:ascii="宋体" w:hAnsi="宋体" w:cs="Times New Roman"/>
          <w:lang w:val="en-US"/>
        </w:rPr>
        <w:t>、</w:t>
      </w:r>
      <w:r>
        <w:rPr>
          <w:rFonts w:hint="eastAsia" w:ascii="宋体" w:hAnsi="宋体" w:cs="Times New Roman"/>
          <w:lang w:val="en-US"/>
        </w:rPr>
        <w:t>质量</w:t>
      </w:r>
      <w:r>
        <w:rPr>
          <w:rFonts w:ascii="宋体" w:hAnsi="宋体" w:cs="Times New Roman"/>
          <w:lang w:val="en-US"/>
        </w:rPr>
        <w:t>进行全方位分析</w:t>
      </w:r>
      <w:r>
        <w:rPr>
          <w:rFonts w:hint="eastAsia" w:ascii="宋体" w:hAnsi="宋体" w:cs="Times New Roman"/>
          <w:lang w:val="en-US"/>
        </w:rPr>
        <w:t>，</w:t>
      </w:r>
      <w:r>
        <w:rPr>
          <w:rFonts w:ascii="宋体" w:hAnsi="宋体" w:cs="Times New Roman"/>
          <w:lang w:val="en-US"/>
        </w:rPr>
        <w:t>对</w:t>
      </w:r>
      <w:r>
        <w:rPr>
          <w:rFonts w:hint="eastAsia" w:ascii="宋体" w:hAnsi="宋体" w:cs="Times New Roman"/>
          <w:lang w:val="en-US"/>
        </w:rPr>
        <w:t>各个维度</w:t>
      </w:r>
      <w:r>
        <w:rPr>
          <w:rFonts w:ascii="宋体" w:hAnsi="宋体" w:cs="Times New Roman"/>
          <w:lang w:val="en-US"/>
        </w:rPr>
        <w:t>的</w:t>
      </w:r>
      <w:r>
        <w:rPr>
          <w:rFonts w:hint="eastAsia" w:ascii="宋体" w:hAnsi="宋体" w:cs="Times New Roman"/>
          <w:lang w:val="en-US"/>
        </w:rPr>
        <w:t>收支</w:t>
      </w:r>
      <w:r>
        <w:rPr>
          <w:rFonts w:ascii="宋体" w:hAnsi="宋体" w:cs="Times New Roman"/>
          <w:lang w:val="en-US"/>
        </w:rPr>
        <w:t>盈亏、费用结构、</w:t>
      </w:r>
      <w:r>
        <w:rPr>
          <w:rFonts w:hint="eastAsia" w:ascii="宋体" w:hAnsi="宋体" w:cs="Times New Roman"/>
          <w:lang w:val="en-US"/>
        </w:rPr>
        <w:t>高</w:t>
      </w:r>
      <w:r>
        <w:rPr>
          <w:rFonts w:ascii="宋体" w:hAnsi="宋体" w:cs="Times New Roman"/>
          <w:lang w:val="en-US"/>
        </w:rPr>
        <w:t>风险病例</w:t>
      </w:r>
      <w:r>
        <w:rPr>
          <w:rFonts w:hint="eastAsia" w:ascii="宋体" w:hAnsi="宋体" w:cs="Times New Roman"/>
          <w:lang w:val="en-US"/>
        </w:rPr>
        <w:t>、低倍率病例、例均费用、平均住院日</w:t>
      </w:r>
      <w:r>
        <w:rPr>
          <w:rFonts w:ascii="宋体" w:hAnsi="宋体" w:cs="Times New Roman"/>
          <w:lang w:val="en-US"/>
        </w:rPr>
        <w:t>等进行分析监控。</w:t>
      </w:r>
    </w:p>
    <w:p w14:paraId="7DAA58CB">
      <w:pPr>
        <w:pStyle w:val="14"/>
        <w:spacing w:after="0"/>
        <w:ind w:firstLine="482"/>
        <w:rPr>
          <w:rFonts w:hint="eastAsia" w:ascii="宋体" w:hAnsi="宋体" w:cs="Times New Roman"/>
          <w:lang w:val="en-US"/>
        </w:rPr>
      </w:pPr>
      <w:r>
        <w:rPr>
          <w:rFonts w:hint="eastAsia" w:ascii="宋体" w:hAnsi="宋体" w:cs="Times New Roman"/>
          <w:b/>
          <w:bCs/>
          <w:lang w:val="en-US"/>
        </w:rPr>
        <w:t>（3）</w:t>
      </w:r>
      <w:r>
        <w:rPr>
          <w:rFonts w:ascii="宋体" w:hAnsi="宋体" w:cs="Times New Roman"/>
          <w:b/>
          <w:bCs/>
          <w:lang w:val="en-US"/>
        </w:rPr>
        <w:t>病种结构优化分析</w:t>
      </w:r>
      <w:r>
        <w:rPr>
          <w:rFonts w:hint="eastAsia" w:ascii="宋体" w:hAnsi="宋体" w:cs="Times New Roman"/>
          <w:b/>
          <w:bCs/>
          <w:lang w:val="en-US"/>
        </w:rPr>
        <w:t>。</w:t>
      </w:r>
      <w:r>
        <w:rPr>
          <w:rFonts w:ascii="宋体" w:hAnsi="宋体" w:cs="Times New Roman"/>
          <w:lang w:val="en-US"/>
        </w:rPr>
        <w:t>基于DIP</w:t>
      </w:r>
      <w:r>
        <w:rPr>
          <w:rFonts w:hint="eastAsia" w:ascii="宋体" w:hAnsi="宋体" w:cs="Times New Roman"/>
          <w:lang w:val="en-US"/>
        </w:rPr>
        <w:t>支付</w:t>
      </w:r>
      <w:r>
        <w:rPr>
          <w:rFonts w:ascii="宋体" w:hAnsi="宋体" w:cs="Times New Roman"/>
          <w:lang w:val="en-US"/>
        </w:rPr>
        <w:t>数据，分析医院病种结构，明确</w:t>
      </w:r>
      <w:r>
        <w:rPr>
          <w:rFonts w:hint="eastAsia" w:ascii="宋体" w:hAnsi="宋体" w:cs="Times New Roman"/>
          <w:lang w:val="en-US"/>
        </w:rPr>
        <w:t>核心病种、</w:t>
      </w:r>
      <w:r>
        <w:rPr>
          <w:rFonts w:ascii="宋体" w:hAnsi="宋体" w:cs="Times New Roman"/>
          <w:lang w:val="en-US"/>
        </w:rPr>
        <w:t>优势病种与亏损病种，为医院病种结构调整提供数据支持。通过波士顿四象限分析法，对病种的经济价值和临床价值进行综合分析，优化病种结构。</w:t>
      </w:r>
    </w:p>
    <w:p w14:paraId="0B1D5B1C">
      <w:pPr>
        <w:pStyle w:val="14"/>
        <w:spacing w:after="0"/>
        <w:ind w:firstLine="482"/>
        <w:rPr>
          <w:rFonts w:hint="eastAsia" w:ascii="宋体" w:hAnsi="宋体" w:cs="Times New Roman"/>
          <w:lang w:val="en-US"/>
        </w:rPr>
      </w:pPr>
      <w:r>
        <w:rPr>
          <w:rFonts w:hint="eastAsia" w:ascii="宋体" w:hAnsi="宋体" w:cs="Times New Roman"/>
          <w:b/>
          <w:bCs/>
          <w:lang w:val="en-US"/>
        </w:rPr>
        <w:t>（4）</w:t>
      </w:r>
      <w:r>
        <w:rPr>
          <w:rFonts w:ascii="宋体" w:hAnsi="宋体" w:cs="Times New Roman"/>
          <w:b/>
          <w:bCs/>
          <w:lang w:val="en-US"/>
        </w:rPr>
        <w:t>学科发展分析</w:t>
      </w:r>
      <w:r>
        <w:rPr>
          <w:rFonts w:hint="eastAsia" w:ascii="宋体" w:hAnsi="宋体" w:cs="Times New Roman"/>
          <w:b/>
          <w:bCs/>
          <w:lang w:val="en-US"/>
        </w:rPr>
        <w:t>。</w:t>
      </w:r>
      <w:r>
        <w:rPr>
          <w:rFonts w:ascii="宋体" w:hAnsi="宋体" w:cs="Times New Roman"/>
          <w:lang w:val="en-US"/>
        </w:rPr>
        <w:t>结合医院发展战略和DIP</w:t>
      </w:r>
      <w:r>
        <w:rPr>
          <w:rFonts w:hint="eastAsia" w:ascii="宋体" w:hAnsi="宋体" w:cs="Times New Roman"/>
          <w:lang w:val="en-US"/>
        </w:rPr>
        <w:t>支付</w:t>
      </w:r>
      <w:r>
        <w:rPr>
          <w:rFonts w:ascii="宋体" w:hAnsi="宋体" w:cs="Times New Roman"/>
          <w:lang w:val="en-US"/>
        </w:rPr>
        <w:t>数据，分析各学科的发展现状和潜力，为医院学科建设提供决策依据。分析学科的CMI值、RW值等指标，评估学科的疑难复杂病例收治能力，推动学科发展。</w:t>
      </w:r>
    </w:p>
    <w:p w14:paraId="3F8D7E71">
      <w:pPr>
        <w:pStyle w:val="14"/>
        <w:spacing w:after="0"/>
        <w:ind w:firstLine="482"/>
        <w:rPr>
          <w:rFonts w:hint="eastAsia" w:ascii="宋体" w:hAnsi="宋体" w:cs="Times New Roman"/>
          <w:lang w:val="en-US"/>
        </w:rPr>
      </w:pPr>
      <w:r>
        <w:rPr>
          <w:rFonts w:hint="eastAsia" w:ascii="宋体" w:hAnsi="宋体" w:cs="Times New Roman"/>
          <w:b/>
          <w:bCs/>
          <w:lang w:val="en-US"/>
        </w:rPr>
        <w:t>（5）</w:t>
      </w:r>
      <w:r>
        <w:rPr>
          <w:rFonts w:ascii="宋体" w:hAnsi="宋体" w:cs="Times New Roman"/>
          <w:b/>
          <w:bCs/>
          <w:lang w:val="en-US"/>
        </w:rPr>
        <w:t>标杆测算服务</w:t>
      </w:r>
      <w:r>
        <w:rPr>
          <w:rFonts w:ascii="宋体" w:hAnsi="宋体" w:cs="Times New Roman"/>
          <w:b/>
          <w:bCs/>
        </w:rPr>
        <w:t>。</w:t>
      </w:r>
      <w:r>
        <w:rPr>
          <w:rFonts w:ascii="宋体" w:hAnsi="宋体" w:cs="Times New Roman"/>
          <w:lang w:val="en-US"/>
        </w:rPr>
        <w:t>按照医院定位、学科规划和医保</w:t>
      </w:r>
      <w:r>
        <w:rPr>
          <w:rFonts w:hint="eastAsia" w:ascii="宋体" w:hAnsi="宋体" w:cs="Times New Roman"/>
          <w:lang w:val="en-US"/>
        </w:rPr>
        <w:t>支付</w:t>
      </w:r>
      <w:r>
        <w:rPr>
          <w:rFonts w:ascii="宋体" w:hAnsi="宋体" w:cs="Times New Roman"/>
          <w:lang w:val="en-US"/>
        </w:rPr>
        <w:t>的要求，以</w:t>
      </w:r>
      <w:r>
        <w:rPr>
          <w:rFonts w:hint="eastAsia" w:ascii="宋体" w:hAnsi="宋体" w:cs="Times New Roman"/>
          <w:lang w:val="en-US"/>
        </w:rPr>
        <w:t>行业</w:t>
      </w:r>
      <w:r>
        <w:rPr>
          <w:rFonts w:ascii="宋体" w:hAnsi="宋体" w:cs="Times New Roman"/>
          <w:lang w:val="en-US"/>
        </w:rPr>
        <w:t>数据为参照进行标杆测算。将测算后的标杆与本院数据进行拟合和统计分析，最终得出符合医院</w:t>
      </w:r>
      <w:r>
        <w:rPr>
          <w:rFonts w:hint="eastAsia" w:ascii="宋体" w:hAnsi="宋体" w:cs="Times New Roman"/>
          <w:lang w:val="en-US"/>
        </w:rPr>
        <w:t>运营</w:t>
      </w:r>
      <w:r>
        <w:rPr>
          <w:rFonts w:ascii="宋体" w:hAnsi="宋体" w:cs="Times New Roman"/>
          <w:lang w:val="en-US"/>
        </w:rPr>
        <w:t>管理特点的标杆数据。</w:t>
      </w:r>
    </w:p>
    <w:p w14:paraId="32387950">
      <w:pPr>
        <w:pStyle w:val="14"/>
        <w:spacing w:after="0"/>
        <w:ind w:firstLine="482"/>
        <w:rPr>
          <w:rFonts w:hint="eastAsia" w:ascii="宋体" w:hAnsi="宋体" w:cs="Times New Roman"/>
          <w:lang w:val="en-US"/>
        </w:rPr>
      </w:pPr>
      <w:r>
        <w:rPr>
          <w:rFonts w:hint="eastAsia" w:ascii="宋体" w:hAnsi="宋体" w:cs="Times New Roman"/>
          <w:b/>
          <w:bCs/>
          <w:lang w:val="en-US"/>
        </w:rPr>
        <w:t>（6）</w:t>
      </w:r>
      <w:r>
        <w:rPr>
          <w:rFonts w:ascii="宋体" w:hAnsi="宋体" w:cs="Times New Roman"/>
          <w:b/>
          <w:bCs/>
          <w:lang w:val="en-US"/>
        </w:rPr>
        <w:t>病种数据建模服务</w:t>
      </w:r>
      <w:r>
        <w:rPr>
          <w:rFonts w:ascii="宋体" w:hAnsi="宋体" w:cs="Times New Roman"/>
          <w:b/>
          <w:bCs/>
        </w:rPr>
        <w:t>。</w:t>
      </w:r>
      <w:r>
        <w:rPr>
          <w:rFonts w:ascii="宋体" w:hAnsi="宋体" w:cs="Times New Roman"/>
          <w:lang w:val="en-US"/>
        </w:rPr>
        <w:t>将</w:t>
      </w:r>
      <w:r>
        <w:rPr>
          <w:rFonts w:hint="eastAsia" w:ascii="宋体" w:hAnsi="宋体" w:cs="Times New Roman"/>
          <w:lang w:val="en-US"/>
        </w:rPr>
        <w:t>完成</w:t>
      </w:r>
      <w:r>
        <w:rPr>
          <w:rFonts w:ascii="宋体" w:hAnsi="宋体" w:cs="Times New Roman"/>
          <w:lang w:val="en-US"/>
        </w:rPr>
        <w:t>质控的病种数据进行清洗、标化、映射成可管理应用的病种数据湖</w:t>
      </w:r>
      <w:r>
        <w:rPr>
          <w:rFonts w:hint="eastAsia" w:ascii="宋体" w:hAnsi="宋体" w:cs="Times New Roman"/>
          <w:lang w:val="en-US"/>
        </w:rPr>
        <w:t>，搭建</w:t>
      </w:r>
      <w:r>
        <w:rPr>
          <w:rFonts w:ascii="宋体" w:hAnsi="宋体" w:cs="Times New Roman"/>
          <w:lang w:val="en-US"/>
        </w:rPr>
        <w:t>管理模型与数据挖掘，实现管理数据的多维分析，并</w:t>
      </w:r>
      <w:r>
        <w:rPr>
          <w:rFonts w:hint="eastAsia" w:ascii="宋体" w:hAnsi="宋体" w:cs="Times New Roman"/>
          <w:lang w:val="en-US"/>
        </w:rPr>
        <w:t>借助</w:t>
      </w:r>
      <w:r>
        <w:rPr>
          <w:rFonts w:ascii="宋体" w:hAnsi="宋体" w:cs="Times New Roman"/>
          <w:lang w:val="en-US"/>
        </w:rPr>
        <w:t>病种数据</w:t>
      </w:r>
      <w:r>
        <w:rPr>
          <w:rFonts w:hint="eastAsia" w:ascii="宋体" w:hAnsi="宋体" w:cs="Times New Roman"/>
          <w:lang w:val="en-US"/>
        </w:rPr>
        <w:t>辅助专科方向</w:t>
      </w:r>
      <w:r>
        <w:rPr>
          <w:rFonts w:ascii="宋体" w:hAnsi="宋体" w:cs="Times New Roman"/>
          <w:lang w:val="en-US"/>
        </w:rPr>
        <w:t>定位</w:t>
      </w:r>
      <w:r>
        <w:rPr>
          <w:rFonts w:hint="eastAsia" w:ascii="宋体" w:hAnsi="宋体" w:cs="Times New Roman"/>
          <w:lang w:val="en-US"/>
        </w:rPr>
        <w:t>，提高</w:t>
      </w:r>
      <w:r>
        <w:rPr>
          <w:rFonts w:ascii="宋体" w:hAnsi="宋体" w:cs="Times New Roman"/>
          <w:lang w:val="en-US"/>
        </w:rPr>
        <w:t>精细化管理</w:t>
      </w:r>
      <w:r>
        <w:rPr>
          <w:rFonts w:hint="eastAsia" w:ascii="宋体" w:hAnsi="宋体" w:cs="Times New Roman"/>
          <w:lang w:val="en-US"/>
        </w:rPr>
        <w:t>水平</w:t>
      </w:r>
      <w:r>
        <w:rPr>
          <w:rFonts w:ascii="宋体" w:hAnsi="宋体" w:cs="Times New Roman"/>
          <w:lang w:val="en-US"/>
        </w:rPr>
        <w:t>。</w:t>
      </w:r>
    </w:p>
    <w:p w14:paraId="3B92C622">
      <w:pPr>
        <w:pStyle w:val="14"/>
        <w:spacing w:after="0"/>
        <w:ind w:firstLine="482"/>
        <w:rPr>
          <w:rFonts w:hint="eastAsia" w:ascii="宋体" w:hAnsi="宋体" w:cs="Times New Roman"/>
          <w:lang w:val="en-US"/>
        </w:rPr>
      </w:pPr>
      <w:r>
        <w:rPr>
          <w:rFonts w:hint="eastAsia" w:ascii="宋体" w:hAnsi="宋体" w:cs="Times New Roman"/>
          <w:b/>
          <w:bCs/>
          <w:lang w:val="en-US"/>
        </w:rPr>
        <w:t>（7）</w:t>
      </w:r>
      <w:r>
        <w:rPr>
          <w:rFonts w:ascii="宋体" w:hAnsi="宋体" w:cs="Times New Roman"/>
          <w:b/>
          <w:bCs/>
          <w:lang w:val="en-US"/>
        </w:rPr>
        <w:t>目标管理服务</w:t>
      </w:r>
      <w:r>
        <w:rPr>
          <w:rFonts w:ascii="宋体" w:hAnsi="宋体" w:cs="Times New Roman"/>
        </w:rPr>
        <w:t>。</w:t>
      </w:r>
      <w:r>
        <w:rPr>
          <w:rFonts w:ascii="宋体" w:hAnsi="宋体" w:cs="Times New Roman"/>
          <w:lang w:val="en-US"/>
        </w:rPr>
        <w:t>将目标管理体系和二八管理法则融入到医院管理中，通过数据精准定位管理对象和管理标尺，最大程度简化管理投入，提升管理收益。</w:t>
      </w:r>
    </w:p>
    <w:p w14:paraId="08C7D88D">
      <w:pPr>
        <w:pStyle w:val="14"/>
        <w:spacing w:after="0"/>
        <w:ind w:firstLine="482"/>
        <w:rPr>
          <w:rFonts w:hint="eastAsia" w:ascii="宋体" w:hAnsi="宋体" w:cs="Times New Roman"/>
          <w:lang w:val="en-US"/>
        </w:rPr>
      </w:pPr>
      <w:r>
        <w:rPr>
          <w:rFonts w:hint="eastAsia" w:ascii="宋体" w:hAnsi="宋体" w:cs="Times New Roman"/>
          <w:b/>
          <w:bCs/>
          <w:lang w:val="en-US"/>
        </w:rPr>
        <w:t>（8）</w:t>
      </w:r>
      <w:r>
        <w:rPr>
          <w:rFonts w:ascii="宋体" w:hAnsi="宋体" w:cs="Times New Roman"/>
          <w:b/>
          <w:bCs/>
          <w:lang w:val="en-US"/>
        </w:rPr>
        <w:t>结构</w:t>
      </w:r>
      <w:r>
        <w:rPr>
          <w:rFonts w:hint="eastAsia" w:ascii="宋体" w:hAnsi="宋体" w:cs="Times New Roman"/>
          <w:b/>
          <w:bCs/>
          <w:lang w:val="en-US"/>
        </w:rPr>
        <w:t>优化</w:t>
      </w:r>
      <w:r>
        <w:rPr>
          <w:rFonts w:ascii="宋体" w:hAnsi="宋体" w:cs="Times New Roman"/>
          <w:b/>
          <w:bCs/>
          <w:lang w:val="en-US"/>
        </w:rPr>
        <w:t>服务</w:t>
      </w:r>
      <w:r>
        <w:rPr>
          <w:rFonts w:ascii="宋体" w:hAnsi="宋体" w:cs="Times New Roman"/>
          <w:b/>
          <w:bCs/>
        </w:rPr>
        <w:t>。</w:t>
      </w:r>
      <w:r>
        <w:rPr>
          <w:rFonts w:ascii="宋体" w:hAnsi="宋体" w:cs="Times New Roman"/>
          <w:lang w:val="en-US"/>
        </w:rPr>
        <w:t>结构</w:t>
      </w:r>
      <w:r>
        <w:rPr>
          <w:rFonts w:hint="eastAsia" w:ascii="宋体" w:hAnsi="宋体" w:cs="Times New Roman"/>
          <w:lang w:val="en-US"/>
        </w:rPr>
        <w:t>优化</w:t>
      </w:r>
      <w:r>
        <w:rPr>
          <w:rFonts w:ascii="宋体" w:hAnsi="宋体" w:cs="Times New Roman"/>
          <w:lang w:val="en-US"/>
        </w:rPr>
        <w:t>包含着费用结构、病种结构、学科结构、人员结构的</w:t>
      </w:r>
      <w:r>
        <w:rPr>
          <w:rFonts w:hint="eastAsia" w:ascii="宋体" w:hAnsi="宋体" w:cs="Times New Roman"/>
          <w:lang w:val="en-US"/>
        </w:rPr>
        <w:t>优化</w:t>
      </w:r>
      <w:r>
        <w:rPr>
          <w:rFonts w:ascii="宋体" w:hAnsi="宋体" w:cs="Times New Roman"/>
          <w:lang w:val="en-US"/>
        </w:rPr>
        <w:t>，与医院定位、服务覆盖、能力建设相关。结构</w:t>
      </w:r>
      <w:r>
        <w:rPr>
          <w:rFonts w:hint="eastAsia" w:ascii="宋体" w:hAnsi="宋体" w:cs="Times New Roman"/>
          <w:lang w:val="en-US"/>
        </w:rPr>
        <w:t>优化</w:t>
      </w:r>
      <w:r>
        <w:rPr>
          <w:rFonts w:ascii="宋体" w:hAnsi="宋体" w:cs="Times New Roman"/>
          <w:lang w:val="en-US"/>
        </w:rPr>
        <w:t>服务的核心是评价体系建设，通过创新评价体系，优化激励政策，</w:t>
      </w:r>
      <w:r>
        <w:rPr>
          <w:rFonts w:hint="eastAsia" w:ascii="宋体" w:hAnsi="宋体" w:cs="Times New Roman"/>
          <w:lang w:val="en-US"/>
        </w:rPr>
        <w:t>规范</w:t>
      </w:r>
      <w:r>
        <w:rPr>
          <w:rFonts w:ascii="宋体" w:hAnsi="宋体" w:cs="Times New Roman"/>
          <w:lang w:val="en-US"/>
        </w:rPr>
        <w:t>临床</w:t>
      </w:r>
      <w:r>
        <w:rPr>
          <w:rFonts w:hint="eastAsia" w:ascii="宋体" w:hAnsi="宋体" w:cs="Times New Roman"/>
          <w:lang w:val="en-US"/>
        </w:rPr>
        <w:t>诊疗</w:t>
      </w:r>
      <w:r>
        <w:rPr>
          <w:rFonts w:ascii="宋体" w:hAnsi="宋体" w:cs="Times New Roman"/>
          <w:lang w:val="en-US"/>
        </w:rPr>
        <w:t>，</w:t>
      </w:r>
      <w:r>
        <w:rPr>
          <w:rFonts w:hint="eastAsia" w:ascii="宋体" w:hAnsi="宋体" w:cs="Times New Roman"/>
          <w:lang w:val="en-US"/>
        </w:rPr>
        <w:t>提高规模、优化结构、保证质量、提升效益，支撑</w:t>
      </w:r>
      <w:r>
        <w:rPr>
          <w:rFonts w:ascii="宋体" w:hAnsi="宋体" w:cs="Times New Roman"/>
          <w:lang w:val="en-US"/>
        </w:rPr>
        <w:t>医院高质量发展。</w:t>
      </w:r>
    </w:p>
    <w:p w14:paraId="5FA021F5">
      <w:pPr>
        <w:pStyle w:val="14"/>
        <w:spacing w:after="0"/>
        <w:ind w:firstLine="480"/>
        <w:rPr>
          <w:rFonts w:hint="eastAsia" w:ascii="宋体" w:hAnsi="宋体" w:cs="Times New Roman"/>
          <w:lang w:val="en-US"/>
        </w:rPr>
      </w:pPr>
      <w:r>
        <w:rPr>
          <w:rFonts w:hint="eastAsia" w:ascii="宋体" w:hAnsi="宋体" w:cs="Times New Roman"/>
          <w:lang w:val="en-US"/>
        </w:rPr>
        <w:t>2.运营数据辅助治理服务</w:t>
      </w:r>
    </w:p>
    <w:p w14:paraId="094DF965">
      <w:pPr>
        <w:pStyle w:val="14"/>
        <w:spacing w:after="0"/>
        <w:ind w:firstLine="480"/>
        <w:rPr>
          <w:rFonts w:hint="eastAsia" w:ascii="宋体" w:hAnsi="宋体" w:cs="Times New Roman"/>
          <w:lang w:val="en-US"/>
        </w:rPr>
      </w:pPr>
      <w:r>
        <w:rPr>
          <w:rFonts w:hint="eastAsia" w:ascii="宋体" w:hAnsi="宋体" w:cs="Times New Roman"/>
          <w:lang w:val="en-US"/>
        </w:rPr>
        <w:t>配合医院医保管理部门与病案管理部门，组织专业化培训，</w:t>
      </w:r>
      <w:r>
        <w:rPr>
          <w:rFonts w:ascii="宋体" w:hAnsi="宋体" w:cs="Times New Roman"/>
          <w:lang w:val="en-US"/>
        </w:rPr>
        <w:t>从</w:t>
      </w:r>
      <w:r>
        <w:rPr>
          <w:rFonts w:hint="eastAsia" w:ascii="宋体" w:hAnsi="宋体" w:cs="Times New Roman"/>
          <w:lang w:val="en-US"/>
        </w:rPr>
        <w:t>数据填报</w:t>
      </w:r>
      <w:r>
        <w:rPr>
          <w:rFonts w:ascii="宋体" w:hAnsi="宋体" w:cs="Times New Roman"/>
          <w:lang w:val="en-US"/>
        </w:rPr>
        <w:t>、病案编码、清单审核、</w:t>
      </w:r>
      <w:r>
        <w:rPr>
          <w:rFonts w:hint="eastAsia" w:ascii="宋体" w:hAnsi="宋体" w:cs="Times New Roman"/>
          <w:lang w:val="en-US"/>
        </w:rPr>
        <w:t>数据</w:t>
      </w:r>
      <w:r>
        <w:rPr>
          <w:rFonts w:ascii="宋体" w:hAnsi="宋体" w:cs="Times New Roman"/>
          <w:lang w:val="en-US"/>
        </w:rPr>
        <w:t>上报</w:t>
      </w:r>
      <w:r>
        <w:rPr>
          <w:rFonts w:ascii="宋体" w:hAnsi="宋体" w:cs="Times New Roman"/>
        </w:rPr>
        <w:t>的</w:t>
      </w:r>
      <w:r>
        <w:rPr>
          <w:rFonts w:ascii="宋体" w:hAnsi="宋体" w:cs="Times New Roman"/>
          <w:lang w:val="en-US"/>
        </w:rPr>
        <w:t>全流程</w:t>
      </w:r>
      <w:r>
        <w:rPr>
          <w:rFonts w:ascii="宋体" w:hAnsi="宋体" w:cs="Times New Roman"/>
        </w:rPr>
        <w:t>辅助</w:t>
      </w:r>
      <w:r>
        <w:rPr>
          <w:rFonts w:ascii="宋体" w:hAnsi="宋体" w:cs="Times New Roman"/>
          <w:lang w:val="en-US"/>
        </w:rPr>
        <w:t>服务。</w:t>
      </w:r>
    </w:p>
    <w:p w14:paraId="132FBFB9">
      <w:pPr>
        <w:pStyle w:val="14"/>
        <w:spacing w:after="0"/>
        <w:ind w:firstLine="480"/>
        <w:rPr>
          <w:rFonts w:hint="eastAsia" w:ascii="宋体" w:hAnsi="宋体" w:cs="Times New Roman"/>
          <w:lang w:val="en-US"/>
        </w:rPr>
      </w:pPr>
      <w:r>
        <w:rPr>
          <w:rFonts w:ascii="宋体" w:hAnsi="宋体" w:cs="Times New Roman"/>
          <w:lang w:val="en-US"/>
        </w:rPr>
        <w:t>建立</w:t>
      </w:r>
      <w:r>
        <w:rPr>
          <w:rFonts w:hint="eastAsia" w:ascii="宋体" w:hAnsi="宋体" w:cs="Times New Roman"/>
          <w:lang w:val="en-US"/>
        </w:rPr>
        <w:t>病案首页与</w:t>
      </w:r>
      <w:r>
        <w:rPr>
          <w:rFonts w:ascii="宋体" w:hAnsi="宋体" w:cs="Times New Roman"/>
          <w:lang w:val="en-US"/>
        </w:rPr>
        <w:t>医保结算清单上传</w:t>
      </w:r>
      <w:r>
        <w:rPr>
          <w:rFonts w:hint="eastAsia" w:ascii="宋体" w:hAnsi="宋体" w:cs="Times New Roman"/>
          <w:lang w:val="en-US"/>
        </w:rPr>
        <w:t>数据质控体系</w:t>
      </w:r>
      <w:r>
        <w:rPr>
          <w:rFonts w:ascii="宋体" w:hAnsi="宋体" w:cs="Times New Roman"/>
        </w:rPr>
        <w:t>，</w:t>
      </w:r>
      <w:r>
        <w:rPr>
          <w:rFonts w:ascii="宋体" w:hAnsi="宋体" w:cs="Times New Roman"/>
          <w:lang w:val="en-US"/>
        </w:rPr>
        <w:t>减少医保结算清单</w:t>
      </w:r>
      <w:r>
        <w:rPr>
          <w:rFonts w:hint="eastAsia" w:ascii="宋体" w:hAnsi="宋体" w:cs="Times New Roman"/>
          <w:lang w:val="en-US"/>
        </w:rPr>
        <w:t>编码入组出现的</w:t>
      </w:r>
      <w:r>
        <w:rPr>
          <w:rFonts w:ascii="宋体" w:hAnsi="宋体" w:cs="Times New Roman"/>
          <w:lang w:val="en-US"/>
        </w:rPr>
        <w:t>低编、错编、漏编，实现每一份清单的合理入组。</w:t>
      </w:r>
      <w:r>
        <w:rPr>
          <w:rFonts w:hint="eastAsia" w:ascii="宋体" w:hAnsi="宋体" w:cs="Times New Roman"/>
        </w:rPr>
        <w:t>匹配病案首页与医保结算清单数据校验，</w:t>
      </w:r>
      <w:r>
        <w:rPr>
          <w:rFonts w:ascii="宋体" w:hAnsi="宋体" w:cs="Times New Roman"/>
          <w:lang w:val="en-US"/>
        </w:rPr>
        <w:t>确保完整、及时、准确上传清单</w:t>
      </w:r>
      <w:r>
        <w:rPr>
          <w:rFonts w:hint="eastAsia" w:ascii="宋体" w:hAnsi="宋体" w:cs="Times New Roman"/>
          <w:lang w:val="en-US"/>
        </w:rPr>
        <w:t>数据</w:t>
      </w:r>
      <w:r>
        <w:rPr>
          <w:rFonts w:ascii="宋体" w:hAnsi="宋体" w:cs="Times New Roman"/>
          <w:lang w:val="en-US"/>
        </w:rPr>
        <w:t>。</w:t>
      </w:r>
    </w:p>
    <w:p w14:paraId="23850454">
      <w:pPr>
        <w:pStyle w:val="14"/>
        <w:spacing w:after="0"/>
        <w:ind w:firstLine="480"/>
        <w:rPr>
          <w:rFonts w:hint="eastAsia" w:ascii="宋体" w:hAnsi="宋体" w:cs="Times New Roman"/>
          <w:lang w:val="en-US"/>
        </w:rPr>
      </w:pPr>
      <w:r>
        <w:rPr>
          <w:rFonts w:hint="eastAsia" w:ascii="宋体" w:hAnsi="宋体" w:cs="Times New Roman"/>
          <w:lang w:val="en-US"/>
        </w:rPr>
        <w:t>每月</w:t>
      </w:r>
      <w:r>
        <w:rPr>
          <w:rFonts w:ascii="宋体" w:hAnsi="宋体" w:cs="Times New Roman"/>
          <w:lang w:val="en-US"/>
        </w:rPr>
        <w:t>对医保结算清单入组</w:t>
      </w:r>
      <w:r>
        <w:rPr>
          <w:rFonts w:hint="eastAsia" w:ascii="宋体" w:hAnsi="宋体" w:cs="Times New Roman"/>
          <w:lang w:val="en-US"/>
        </w:rPr>
        <w:t>数据</w:t>
      </w:r>
      <w:r>
        <w:rPr>
          <w:rFonts w:ascii="宋体" w:hAnsi="宋体" w:cs="Times New Roman"/>
          <w:lang w:val="en-US"/>
        </w:rPr>
        <w:t>的差异进行评估，避免漏传、错传，</w:t>
      </w:r>
      <w:r>
        <w:rPr>
          <w:rFonts w:hint="eastAsia" w:ascii="宋体" w:hAnsi="宋体" w:cs="Times New Roman"/>
          <w:lang w:val="en-US"/>
        </w:rPr>
        <w:t>及时</w:t>
      </w:r>
      <w:r>
        <w:rPr>
          <w:rFonts w:ascii="宋体" w:hAnsi="宋体" w:cs="Times New Roman"/>
          <w:lang w:val="en-US"/>
        </w:rPr>
        <w:t>发现政策性亏损的</w:t>
      </w:r>
      <w:r>
        <w:rPr>
          <w:rFonts w:hint="eastAsia" w:ascii="宋体" w:hAnsi="宋体" w:cs="Times New Roman"/>
        </w:rPr>
        <w:t>病例</w:t>
      </w:r>
      <w:r>
        <w:rPr>
          <w:rFonts w:ascii="宋体" w:hAnsi="宋体" w:cs="Times New Roman"/>
          <w:lang w:val="en-US"/>
        </w:rPr>
        <w:t>。</w:t>
      </w:r>
    </w:p>
    <w:p w14:paraId="0A535C8F">
      <w:pPr>
        <w:pStyle w:val="14"/>
        <w:spacing w:after="0"/>
        <w:ind w:firstLine="562"/>
        <w:rPr>
          <w:rFonts w:ascii="Times New Roman" w:hAnsi="Times New Roman" w:cs="宋体"/>
          <w:b/>
          <w:kern w:val="44"/>
          <w:sz w:val="28"/>
          <w:szCs w:val="44"/>
          <w:lang w:val="en-US"/>
        </w:rPr>
      </w:pPr>
      <w:r>
        <w:rPr>
          <w:rFonts w:hint="eastAsia" w:ascii="Times New Roman" w:hAnsi="Times New Roman" w:cs="宋体"/>
          <w:b/>
          <w:kern w:val="44"/>
          <w:sz w:val="28"/>
          <w:szCs w:val="44"/>
          <w:lang w:val="en-US"/>
        </w:rPr>
        <w:t>三、服务（技术）要求</w:t>
      </w:r>
    </w:p>
    <w:p w14:paraId="72E1A31B">
      <w:pPr>
        <w:pStyle w:val="4"/>
        <w:ind w:firstLine="480"/>
        <w:contextualSpacing/>
        <w:rPr>
          <w:rFonts w:hint="eastAsia" w:ascii="宋体" w:hAnsi="宋体"/>
          <w:b w:val="0"/>
          <w:bCs w:val="0"/>
          <w:sz w:val="24"/>
          <w:szCs w:val="24"/>
          <w:lang w:val="en-US"/>
        </w:rPr>
      </w:pPr>
      <w:r>
        <w:rPr>
          <w:rFonts w:hint="eastAsia" w:ascii="宋体" w:hAnsi="宋体"/>
          <w:b w:val="0"/>
          <w:bCs w:val="0"/>
          <w:sz w:val="24"/>
          <w:szCs w:val="24"/>
          <w:lang w:val="en-US"/>
        </w:rPr>
        <w:t>1.运营</w:t>
      </w:r>
      <w:r>
        <w:rPr>
          <w:rFonts w:ascii="宋体" w:hAnsi="宋体"/>
          <w:b w:val="0"/>
          <w:bCs w:val="0"/>
          <w:sz w:val="24"/>
          <w:szCs w:val="24"/>
          <w:lang w:val="en-US"/>
        </w:rPr>
        <w:t>管理咨询服务</w:t>
      </w:r>
    </w:p>
    <w:p w14:paraId="077BF986">
      <w:pPr>
        <w:pStyle w:val="8"/>
        <w:tabs>
          <w:tab w:val="left" w:pos="540"/>
        </w:tabs>
        <w:ind w:firstLine="480"/>
        <w:contextualSpacing/>
        <w:rPr>
          <w:rFonts w:hint="eastAsia" w:ascii="宋体" w:hAnsi="宋体" w:cs="宋体"/>
          <w:bCs/>
          <w:sz w:val="24"/>
          <w:szCs w:val="24"/>
        </w:rPr>
      </w:pPr>
      <w:r>
        <w:rPr>
          <w:rFonts w:hint="eastAsia" w:ascii="宋体" w:hAnsi="宋体"/>
          <w:sz w:val="24"/>
          <w:szCs w:val="24"/>
        </w:rPr>
        <w:t>运营</w:t>
      </w:r>
      <w:r>
        <w:rPr>
          <w:rFonts w:ascii="宋体" w:hAnsi="宋体"/>
          <w:sz w:val="24"/>
          <w:szCs w:val="24"/>
        </w:rPr>
        <w:t>管理咨询服务</w:t>
      </w:r>
      <w:r>
        <w:rPr>
          <w:rFonts w:hint="eastAsia" w:ascii="宋体" w:hAnsi="宋体"/>
          <w:sz w:val="24"/>
          <w:szCs w:val="24"/>
        </w:rPr>
        <w:t>：具备</w:t>
      </w:r>
      <w:r>
        <w:rPr>
          <w:rFonts w:hint="eastAsia" w:hAnsi="宋体" w:cs="宋体"/>
          <w:bCs/>
          <w:sz w:val="24"/>
          <w:szCs w:val="24"/>
        </w:rPr>
        <w:t>融合医院相关信息系统的业务数据能力，结合标杆单位横向比较，协助医院建设优势病种大数据运营管理体系。对医院的病种结构、药耗管理、医疗技术和学科发展等情况进行全面分析解读，并为医院绩效考核工作提供数据支撑。在保证医疗质量的前提下，协助医院合理控制药耗成本，提升专科服务能力，推动学科发展。</w:t>
      </w:r>
      <w:r>
        <w:rPr>
          <w:rFonts w:hint="eastAsia" w:ascii="宋体" w:hAnsi="宋体" w:cs="宋体"/>
          <w:bCs/>
          <w:sz w:val="24"/>
          <w:szCs w:val="24"/>
        </w:rPr>
        <w:t>根据服务目标与具体内容，主要服务要求包括但不限于：</w:t>
      </w:r>
    </w:p>
    <w:tbl>
      <w:tblPr>
        <w:tblStyle w:val="15"/>
        <w:tblW w:w="5640" w:type="pct"/>
        <w:tblInd w:w="-572" w:type="dxa"/>
        <w:tblLayout w:type="autofit"/>
        <w:tblCellMar>
          <w:top w:w="0" w:type="dxa"/>
          <w:left w:w="108" w:type="dxa"/>
          <w:bottom w:w="0" w:type="dxa"/>
          <w:right w:w="108" w:type="dxa"/>
        </w:tblCellMar>
      </w:tblPr>
      <w:tblGrid>
        <w:gridCol w:w="725"/>
        <w:gridCol w:w="1162"/>
        <w:gridCol w:w="1599"/>
        <w:gridCol w:w="7117"/>
      </w:tblGrid>
      <w:tr w14:paraId="35D6EAA5">
        <w:tblPrEx>
          <w:tblCellMar>
            <w:top w:w="0" w:type="dxa"/>
            <w:left w:w="108" w:type="dxa"/>
            <w:bottom w:w="0" w:type="dxa"/>
            <w:right w:w="108" w:type="dxa"/>
          </w:tblCellMar>
        </w:tblPrEx>
        <w:trPr>
          <w:trHeight w:val="69" w:hRule="atLeast"/>
          <w:tblHeader/>
        </w:trPr>
        <w:tc>
          <w:tcPr>
            <w:tcW w:w="342" w:type="pct"/>
            <w:tcBorders>
              <w:top w:val="single" w:color="000000" w:sz="4" w:space="0"/>
              <w:left w:val="single" w:color="000000" w:sz="4" w:space="0"/>
              <w:bottom w:val="single" w:color="000000" w:sz="4" w:space="0"/>
              <w:right w:val="single" w:color="000000" w:sz="4" w:space="0"/>
            </w:tcBorders>
            <w:vAlign w:val="center"/>
          </w:tcPr>
          <w:p w14:paraId="5CA665EC">
            <w:pPr>
              <w:widowControl/>
              <w:spacing w:line="360" w:lineRule="exact"/>
              <w:ind w:firstLine="0" w:firstLineChars="0"/>
              <w:jc w:val="center"/>
              <w:textAlignment w:val="center"/>
              <w:rPr>
                <w:rFonts w:hint="eastAsia" w:ascii="宋体" w:hAnsi="宋体"/>
                <w:b/>
                <w:bCs/>
                <w:sz w:val="22"/>
                <w:lang w:val="en-US" w:bidi="ar"/>
              </w:rPr>
            </w:pPr>
            <w:r>
              <w:rPr>
                <w:rFonts w:hint="eastAsia" w:ascii="宋体" w:hAnsi="宋体"/>
                <w:b/>
                <w:bCs/>
                <w:sz w:val="22"/>
                <w:lang w:val="en-US" w:bidi="ar"/>
              </w:rPr>
              <w:t>序号</w:t>
            </w:r>
          </w:p>
        </w:tc>
        <w:tc>
          <w:tcPr>
            <w:tcW w:w="1302" w:type="pct"/>
            <w:gridSpan w:val="2"/>
            <w:tcBorders>
              <w:top w:val="single" w:color="000000" w:sz="4" w:space="0"/>
              <w:left w:val="single" w:color="000000" w:sz="4" w:space="0"/>
              <w:bottom w:val="single" w:color="000000" w:sz="4" w:space="0"/>
              <w:right w:val="single" w:color="000000" w:sz="4" w:space="0"/>
            </w:tcBorders>
            <w:vAlign w:val="center"/>
          </w:tcPr>
          <w:p w14:paraId="76A0FDA0">
            <w:pPr>
              <w:widowControl/>
              <w:spacing w:line="360" w:lineRule="exact"/>
              <w:ind w:firstLine="0" w:firstLineChars="0"/>
              <w:jc w:val="center"/>
              <w:textAlignment w:val="center"/>
              <w:rPr>
                <w:rFonts w:hint="eastAsia" w:ascii="宋体" w:hAnsi="宋体"/>
                <w:b/>
                <w:bCs/>
                <w:sz w:val="22"/>
                <w:lang w:val="en-US" w:bidi="ar"/>
              </w:rPr>
            </w:pPr>
            <w:r>
              <w:rPr>
                <w:rFonts w:hint="eastAsia" w:ascii="宋体" w:hAnsi="宋体"/>
                <w:b/>
                <w:bCs/>
                <w:sz w:val="22"/>
                <w:lang w:val="en-US" w:bidi="ar"/>
              </w:rPr>
              <w:t>服务内容</w:t>
            </w:r>
          </w:p>
        </w:tc>
        <w:tc>
          <w:tcPr>
            <w:tcW w:w="3356" w:type="pct"/>
            <w:tcBorders>
              <w:top w:val="single" w:color="000000" w:sz="4" w:space="0"/>
              <w:left w:val="single" w:color="000000" w:sz="4" w:space="0"/>
              <w:bottom w:val="single" w:color="000000" w:sz="4" w:space="0"/>
              <w:right w:val="single" w:color="000000" w:sz="4" w:space="0"/>
            </w:tcBorders>
            <w:vAlign w:val="center"/>
          </w:tcPr>
          <w:p w14:paraId="192EDCBC">
            <w:pPr>
              <w:widowControl/>
              <w:spacing w:line="360" w:lineRule="exact"/>
              <w:ind w:firstLine="0" w:firstLineChars="0"/>
              <w:jc w:val="center"/>
              <w:textAlignment w:val="center"/>
              <w:rPr>
                <w:rFonts w:hint="eastAsia" w:ascii="宋体" w:hAnsi="宋体"/>
                <w:b/>
                <w:bCs/>
                <w:sz w:val="22"/>
                <w:lang w:val="en-US" w:bidi="ar"/>
              </w:rPr>
            </w:pPr>
            <w:r>
              <w:rPr>
                <w:rFonts w:hint="eastAsia" w:ascii="宋体" w:hAnsi="宋体"/>
                <w:b/>
                <w:bCs/>
                <w:sz w:val="22"/>
                <w:lang w:val="en-US" w:bidi="ar"/>
              </w:rPr>
              <w:t>具体服务要求</w:t>
            </w:r>
          </w:p>
        </w:tc>
      </w:tr>
      <w:tr w14:paraId="3E03B0C3">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10F48753">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0FF8244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整体概况</w:t>
            </w:r>
          </w:p>
        </w:tc>
        <w:tc>
          <w:tcPr>
            <w:tcW w:w="754" w:type="pct"/>
            <w:tcBorders>
              <w:top w:val="single" w:color="000000" w:sz="4" w:space="0"/>
              <w:left w:val="single" w:color="000000" w:sz="4" w:space="0"/>
              <w:bottom w:val="single" w:color="000000" w:sz="4" w:space="0"/>
              <w:right w:val="single" w:color="000000" w:sz="4" w:space="0"/>
            </w:tcBorders>
            <w:vAlign w:val="center"/>
          </w:tcPr>
          <w:p w14:paraId="3D94FA0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费用趋势</w:t>
            </w:r>
          </w:p>
        </w:tc>
        <w:tc>
          <w:tcPr>
            <w:tcW w:w="3356" w:type="pct"/>
            <w:tcBorders>
              <w:top w:val="single" w:color="000000" w:sz="4" w:space="0"/>
              <w:left w:val="single" w:color="000000" w:sz="4" w:space="0"/>
              <w:bottom w:val="single" w:color="000000" w:sz="4" w:space="0"/>
              <w:right w:val="single" w:color="000000" w:sz="4" w:space="0"/>
            </w:tcBorders>
            <w:vAlign w:val="center"/>
          </w:tcPr>
          <w:p w14:paraId="1747F160">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统计不同时间段内的费用变化情况，包括例均费用、例均盈亏、例均超支和平均住院日等指标的图表展示。通过选择不同的时间范围和科室类别，查看费用的同比和当期变化趋势。</w:t>
            </w:r>
          </w:p>
        </w:tc>
      </w:tr>
      <w:tr w14:paraId="735FEF72">
        <w:tblPrEx>
          <w:tblCellMar>
            <w:top w:w="0" w:type="dxa"/>
            <w:left w:w="108" w:type="dxa"/>
            <w:bottom w:w="0" w:type="dxa"/>
            <w:right w:w="108" w:type="dxa"/>
          </w:tblCellMar>
        </w:tblPrEx>
        <w:trPr>
          <w:trHeight w:val="60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2EA10E38">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73AB4AF7">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0D67D0A8">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指数趋势</w:t>
            </w:r>
          </w:p>
        </w:tc>
        <w:tc>
          <w:tcPr>
            <w:tcW w:w="3356" w:type="pct"/>
            <w:tcBorders>
              <w:top w:val="single" w:color="000000" w:sz="4" w:space="0"/>
              <w:left w:val="single" w:color="000000" w:sz="4" w:space="0"/>
              <w:bottom w:val="single" w:color="000000" w:sz="4" w:space="0"/>
              <w:right w:val="single" w:color="000000" w:sz="4" w:space="0"/>
            </w:tcBorders>
            <w:vAlign w:val="center"/>
          </w:tcPr>
          <w:p w14:paraId="62BC784C">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统计在不同时间段内的关键指标变化情况，包括CMI（病例组合指数）、费用消耗指数、时间消耗指数、支用比等。可以通过选择不同的时间段和科室类别，查看这些指标的同比和当期变化趋势。</w:t>
            </w:r>
          </w:p>
        </w:tc>
      </w:tr>
      <w:tr w14:paraId="7AE80534">
        <w:tblPrEx>
          <w:tblCellMar>
            <w:top w:w="0" w:type="dxa"/>
            <w:left w:w="108" w:type="dxa"/>
            <w:bottom w:w="0" w:type="dxa"/>
            <w:right w:w="108" w:type="dxa"/>
          </w:tblCellMar>
        </w:tblPrEx>
        <w:trPr>
          <w:trHeight w:val="145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4271E193">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3</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25E7934E">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400AD514">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年度分析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A9D2D8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在指定年度内的费用和病例数据的全面分析，包括总费用、总例数和总超支的对比，并通过图表展示市居民和市职工的费用分布情况。提供详细的年度数据表，涵盖总费用、总超支、总盈亏、总例数、例均费用、例均超支、CMI、费用消耗指数、时间消耗指数、患者总统筹和医保总拨付金额等关键指标。</w:t>
            </w:r>
          </w:p>
        </w:tc>
      </w:tr>
      <w:tr w14:paraId="635A89DF">
        <w:tblPrEx>
          <w:tblCellMar>
            <w:top w:w="0" w:type="dxa"/>
            <w:left w:w="108" w:type="dxa"/>
            <w:bottom w:w="0" w:type="dxa"/>
            <w:right w:w="108" w:type="dxa"/>
          </w:tblCellMar>
        </w:tblPrEx>
        <w:trPr>
          <w:trHeight w:val="503"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321C9D98">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4</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0ED693E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费用分析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58F3F966">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费用分类分析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22B3B604">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将费用进行进一步细分类，从不同维度，如全院、科室、医生、病种等维度，利用不同图表类型展示分析细分类费用的趋势与占比结构，细分类费用与各分类标杆对比分析，与同期对比分析。</w:t>
            </w:r>
          </w:p>
        </w:tc>
      </w:tr>
      <w:tr w14:paraId="27588B93">
        <w:tblPrEx>
          <w:tblCellMar>
            <w:top w:w="0" w:type="dxa"/>
            <w:left w:w="108" w:type="dxa"/>
            <w:bottom w:w="0" w:type="dxa"/>
            <w:right w:w="108" w:type="dxa"/>
          </w:tblCellMar>
        </w:tblPrEx>
        <w:trPr>
          <w:trHeight w:val="710"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236828B9">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5</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6DEF0C95">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06C2A5FF">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费用分类与标杆对比分析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466D078">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对费用类别的多维度分析，从科室、费别等不同维度，对药品费、卫材费、医技费、其他费用（医疗、管理、护理）的收入以及占比的结构分析，各项分类费用的实际与标杆对比分析。</w:t>
            </w:r>
          </w:p>
        </w:tc>
      </w:tr>
      <w:tr w14:paraId="48746825">
        <w:tblPrEx>
          <w:tblCellMar>
            <w:top w:w="0" w:type="dxa"/>
            <w:left w:w="108" w:type="dxa"/>
            <w:bottom w:w="0" w:type="dxa"/>
            <w:right w:w="108" w:type="dxa"/>
          </w:tblCellMar>
        </w:tblPrEx>
        <w:trPr>
          <w:trHeight w:val="624"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0AEF432C">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6</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17F0AE60">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超支趋势分析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075E65F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科室超支趋势分析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4B7AFE2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对超支及超支趋势的科室四象限分析，对已超支趋势好、已超支趋势差、未超支趋势好、未超支趋势差进行划分。</w:t>
            </w:r>
          </w:p>
        </w:tc>
      </w:tr>
      <w:tr w14:paraId="6C2D3A7D">
        <w:tblPrEx>
          <w:tblCellMar>
            <w:top w:w="0" w:type="dxa"/>
            <w:left w:w="108" w:type="dxa"/>
            <w:bottom w:w="0" w:type="dxa"/>
            <w:right w:w="108" w:type="dxa"/>
          </w:tblCellMar>
        </w:tblPrEx>
        <w:trPr>
          <w:trHeight w:val="289"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34CC2EB4">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7</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18289260">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67841E5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病种超支趋势分析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528C51DC">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对超支及超支趋势的病种四象限分析，列出各组的例数、超支以及超支趋势，分析具体病种情况。</w:t>
            </w:r>
          </w:p>
        </w:tc>
      </w:tr>
      <w:tr w14:paraId="4D67AE24">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1E29B7E3">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8</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41803749">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6ED5D1B8">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病种科室对比分析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1BDB76C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对各病种超支的对比分析，从科室、费别等不同维度，分析多个周期内病种涉及科室数据分析，展示某病种下各科室总例数、总费用、总超支、总盈亏、例均住院日、卫材消耗指数等信息。</w:t>
            </w:r>
          </w:p>
        </w:tc>
      </w:tr>
      <w:tr w14:paraId="7CE1792B">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1D9087BA">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9</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4CB3AC9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分类分析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23F0AAF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两周及31天再入院分析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62DABF1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对于医疗服务质量的分析，包括对两周再入院、31天再入院的趋势及同期情况进行分析，同时可以汇总查看转科、转院患者明细，包括不限于费别、总费用、超支、住院日等。</w:t>
            </w:r>
          </w:p>
        </w:tc>
      </w:tr>
      <w:tr w14:paraId="068028D9">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70F26014">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10</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1D5CCA0A">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0BBFB55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转科转院患者分析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549C2D3C">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通过不同检索条件分析转科、转院患者例数趋势及同期对比情况，同时可以汇总查看转科、转院患者明细，包括不限于费别、总费用、超支、住院日等。</w:t>
            </w:r>
          </w:p>
        </w:tc>
      </w:tr>
      <w:tr w14:paraId="7C45EB87">
        <w:tblPrEx>
          <w:tblCellMar>
            <w:top w:w="0" w:type="dxa"/>
            <w:left w:w="108" w:type="dxa"/>
            <w:bottom w:w="0" w:type="dxa"/>
            <w:right w:w="108" w:type="dxa"/>
          </w:tblCellMar>
        </w:tblPrEx>
        <w:trPr>
          <w:trHeight w:val="531"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7DABBC55">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11</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40650F3A">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偏移分析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0005F1C6">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超支与CMI偏移分析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F18FA4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按照超支及CMI进行四象限偏移分析，按照时间段展示科室的超支及CMI的四象限位置情况，以科室为统计维度的各项指标明细情况。</w:t>
            </w:r>
          </w:p>
        </w:tc>
      </w:tr>
      <w:tr w14:paraId="46E56E71">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2169862B">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12</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684CD74A">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66EC308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时间消耗指数与费用消耗指数偏移分析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0E0DEA62">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按照时间消耗指数及费用消耗指数进行四象限偏移分析，按照时间段展示病种的时间消耗指数与费用消耗指数的四象限位置情况及CMI值大小情况、病种指标明细情况。</w:t>
            </w:r>
          </w:p>
        </w:tc>
      </w:tr>
      <w:tr w14:paraId="7408CE9B">
        <w:tblPrEx>
          <w:tblCellMar>
            <w:top w:w="0" w:type="dxa"/>
            <w:left w:w="108" w:type="dxa"/>
            <w:bottom w:w="0" w:type="dxa"/>
            <w:right w:w="108" w:type="dxa"/>
          </w:tblCellMar>
        </w:tblPrEx>
        <w:trPr>
          <w:trHeight w:val="429"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6ACAD1C5">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13</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01DE61EA">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4B5EFE7C">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超支与盈亏偏移分析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1655C8E6">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按照超支及盈亏进行四象限偏移分析，实现按照时间段展示病种的超支及盈亏的四象限位置情况、病种指标明细情况。</w:t>
            </w:r>
          </w:p>
        </w:tc>
      </w:tr>
      <w:tr w14:paraId="0FAC1823">
        <w:tblPrEx>
          <w:tblCellMar>
            <w:top w:w="0" w:type="dxa"/>
            <w:left w:w="108" w:type="dxa"/>
            <w:bottom w:w="0" w:type="dxa"/>
            <w:right w:w="108" w:type="dxa"/>
          </w:tblCellMar>
        </w:tblPrEx>
        <w:trPr>
          <w:trHeight w:val="39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10EB1336">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14</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254CBEAF">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中医分析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0C3BFEA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药品费用分析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4A59759">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对中医药品费用的多维度分析，从不同维度，分析西药费用趋势、中成药费用趋势、中草药费用趋势，同期及当期对比。</w:t>
            </w:r>
          </w:p>
        </w:tc>
      </w:tr>
      <w:tr w14:paraId="68D9D38D">
        <w:tblPrEx>
          <w:tblCellMar>
            <w:top w:w="0" w:type="dxa"/>
            <w:left w:w="108" w:type="dxa"/>
            <w:bottom w:w="0" w:type="dxa"/>
            <w:right w:w="108" w:type="dxa"/>
          </w:tblCellMar>
        </w:tblPrEx>
        <w:trPr>
          <w:trHeight w:val="379"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5826B248">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15</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5F925D81">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0D1A068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中医非药物疗法分析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3A79AC7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对中医非药物疗法分析，从科室、医生等不同维度，分析中医非药物疗法的各项指标。</w:t>
            </w:r>
          </w:p>
        </w:tc>
      </w:tr>
      <w:tr w14:paraId="2CA1C9F3">
        <w:tblPrEx>
          <w:tblCellMar>
            <w:top w:w="0" w:type="dxa"/>
            <w:left w:w="108" w:type="dxa"/>
            <w:bottom w:w="0" w:type="dxa"/>
            <w:right w:w="108" w:type="dxa"/>
          </w:tblCellMar>
        </w:tblPrEx>
        <w:trPr>
          <w:trHeight w:val="624"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0795BA44">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16</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161787B7">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1FBE361F">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以中医为主的治疗分析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5F2F1768">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以中医为主的治疗分析，从不同维度，分析以中医为主的治疗的各项指标。</w:t>
            </w:r>
          </w:p>
        </w:tc>
      </w:tr>
      <w:tr w14:paraId="0B6AF433">
        <w:tblPrEx>
          <w:tblCellMar>
            <w:top w:w="0" w:type="dxa"/>
            <w:left w:w="108" w:type="dxa"/>
            <w:bottom w:w="0" w:type="dxa"/>
            <w:right w:w="108" w:type="dxa"/>
          </w:tblCellMar>
        </w:tblPrEx>
        <w:trPr>
          <w:trHeight w:val="322"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55CD2899">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17</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3A9B4DB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异常数据分析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730096E1">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异常数据分析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8A9212F">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对不同异常指标进行单独分析，例如极高费用、低标数据、住院日极高、住院日极低、超60天重症患者、传染病患者等病种相关指标。</w:t>
            </w:r>
          </w:p>
        </w:tc>
      </w:tr>
      <w:tr w14:paraId="6C5E6F0C">
        <w:tblPrEx>
          <w:tblCellMar>
            <w:top w:w="0" w:type="dxa"/>
            <w:left w:w="108" w:type="dxa"/>
            <w:bottom w:w="0" w:type="dxa"/>
            <w:right w:w="108" w:type="dxa"/>
          </w:tblCellMar>
        </w:tblPrEx>
        <w:trPr>
          <w:trHeight w:val="740"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21270034">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18</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703F7CCA">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4EA35089">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去异常数据分析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6A557B0C">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对于医院特殊的异常数据进行剔除进行分析，确保使用者对于异常数据的影响度判定。</w:t>
            </w:r>
          </w:p>
        </w:tc>
      </w:tr>
      <w:tr w14:paraId="564F2E09">
        <w:tblPrEx>
          <w:tblCellMar>
            <w:top w:w="0" w:type="dxa"/>
            <w:left w:w="108" w:type="dxa"/>
            <w:bottom w:w="0" w:type="dxa"/>
            <w:right w:w="108" w:type="dxa"/>
          </w:tblCellMar>
        </w:tblPrEx>
        <w:trPr>
          <w:trHeight w:val="584"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7DD70A94">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19</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3DBDCD4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综合分析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3578B37F">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院级分析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728AEA66">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实现全院运营数据分析，包括总费用、总超支、总权重、总例数、时间消耗指数、费用消耗指数、CMI、支用比等，同时展示超支排名靠前科室及病种，及全院范围内的疾病图谱情况。</w:t>
            </w:r>
          </w:p>
        </w:tc>
      </w:tr>
      <w:tr w14:paraId="23BC031D">
        <w:tblPrEx>
          <w:tblCellMar>
            <w:top w:w="0" w:type="dxa"/>
            <w:left w:w="108" w:type="dxa"/>
            <w:bottom w:w="0" w:type="dxa"/>
            <w:right w:w="108" w:type="dxa"/>
          </w:tblCellMar>
        </w:tblPrEx>
        <w:trPr>
          <w:trHeight w:val="1385"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36A5E729">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20</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15A1EC36">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7FEF7EB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科级分析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21DC83E1">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实现科室运营数据分析，包括总总费用、总超支、总权重、总例数、时间消耗指数、费用消耗指数、CMI、支用比等，同时能够展示表现医疗服务能力的指标CMI、表现效率的时间费用消耗指数，以及超支趋势等各指标的趋势情况；科室内医生超支排名情况以及科室覆盖各病种组的详细指标情况。</w:t>
            </w:r>
          </w:p>
        </w:tc>
      </w:tr>
      <w:tr w14:paraId="4F7DF2B1">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7ED04819">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21</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176ADBC0">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监控管控</w:t>
            </w:r>
          </w:p>
        </w:tc>
        <w:tc>
          <w:tcPr>
            <w:tcW w:w="754" w:type="pct"/>
            <w:tcBorders>
              <w:top w:val="single" w:color="000000" w:sz="4" w:space="0"/>
              <w:left w:val="single" w:color="000000" w:sz="4" w:space="0"/>
              <w:bottom w:val="single" w:color="000000" w:sz="4" w:space="0"/>
              <w:right w:val="single" w:color="000000" w:sz="4" w:space="0"/>
            </w:tcBorders>
            <w:vAlign w:val="center"/>
          </w:tcPr>
          <w:p w14:paraId="797D012E">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效率监控分析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4BA336E6">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监测时间消耗指数、费用消耗指数等效率指标每月变化趋势情况及同期数据情况，通过时间条件检索可以对比当前值、同期值以及去年全年值的情况，便于监控当前进度分析。</w:t>
            </w:r>
          </w:p>
        </w:tc>
      </w:tr>
      <w:tr w14:paraId="3DFA4164">
        <w:tblPrEx>
          <w:tblCellMar>
            <w:top w:w="0" w:type="dxa"/>
            <w:left w:w="108" w:type="dxa"/>
            <w:bottom w:w="0" w:type="dxa"/>
            <w:right w:w="108" w:type="dxa"/>
          </w:tblCellMar>
        </w:tblPrEx>
        <w:trPr>
          <w:trHeight w:val="936"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2DD441AD">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22</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42E8475D">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6406997E">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监控类病种组分析</w:t>
            </w:r>
          </w:p>
        </w:tc>
        <w:tc>
          <w:tcPr>
            <w:tcW w:w="3356" w:type="pct"/>
            <w:tcBorders>
              <w:top w:val="single" w:color="000000" w:sz="4" w:space="0"/>
              <w:left w:val="single" w:color="000000" w:sz="4" w:space="0"/>
              <w:bottom w:val="single" w:color="000000" w:sz="4" w:space="0"/>
              <w:right w:val="single" w:color="000000" w:sz="4" w:space="0"/>
            </w:tcBorders>
            <w:vAlign w:val="center"/>
          </w:tcPr>
          <w:p w14:paraId="6C3B6763">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针对本医院特殊病种或官方公布的基层病种进行分析，能够分析各基层病种的占比情况，以及各科室覆盖明细情况和各基层病种组的明细情况。</w:t>
            </w:r>
          </w:p>
        </w:tc>
      </w:tr>
      <w:tr w14:paraId="22946C47">
        <w:tblPrEx>
          <w:tblCellMar>
            <w:top w:w="0" w:type="dxa"/>
            <w:left w:w="108" w:type="dxa"/>
            <w:bottom w:w="0" w:type="dxa"/>
            <w:right w:w="108" w:type="dxa"/>
          </w:tblCellMar>
        </w:tblPrEx>
        <w:trPr>
          <w:trHeight w:val="1560"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44AB800E">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23</w:t>
            </w:r>
          </w:p>
        </w:tc>
        <w:tc>
          <w:tcPr>
            <w:tcW w:w="548" w:type="pct"/>
            <w:vMerge w:val="restart"/>
            <w:tcBorders>
              <w:top w:val="single" w:color="000000" w:sz="4" w:space="0"/>
              <w:left w:val="single" w:color="000000" w:sz="4" w:space="0"/>
              <w:bottom w:val="single" w:color="000000" w:sz="4" w:space="0"/>
              <w:right w:val="single" w:color="000000" w:sz="4" w:space="0"/>
            </w:tcBorders>
            <w:vAlign w:val="center"/>
          </w:tcPr>
          <w:p w14:paraId="025C740E">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标杆单位分析</w:t>
            </w:r>
          </w:p>
        </w:tc>
        <w:tc>
          <w:tcPr>
            <w:tcW w:w="754" w:type="pct"/>
            <w:tcBorders>
              <w:top w:val="single" w:color="000000" w:sz="4" w:space="0"/>
              <w:left w:val="single" w:color="000000" w:sz="4" w:space="0"/>
              <w:bottom w:val="single" w:color="000000" w:sz="4" w:space="0"/>
              <w:right w:val="single" w:color="000000" w:sz="4" w:space="0"/>
            </w:tcBorders>
            <w:vAlign w:val="center"/>
          </w:tcPr>
          <w:p w14:paraId="2FDCDDD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标杆参考</w:t>
            </w:r>
          </w:p>
        </w:tc>
        <w:tc>
          <w:tcPr>
            <w:tcW w:w="3356" w:type="pct"/>
            <w:tcBorders>
              <w:top w:val="single" w:color="000000" w:sz="4" w:space="0"/>
              <w:left w:val="single" w:color="000000" w:sz="4" w:space="0"/>
              <w:bottom w:val="single" w:color="000000" w:sz="4" w:space="0"/>
              <w:right w:val="single" w:color="000000" w:sz="4" w:space="0"/>
            </w:tcBorders>
            <w:vAlign w:val="center"/>
          </w:tcPr>
          <w:p w14:paraId="4736F651">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根据需要选择不同时间段内，不同标杆类型、不同组进行筛选，支持对某一标杆类型下某个组的有效时间范围、总费用标杆、住院日标杆、药品费用标杆、卫材费用标杆、医技费用标杆、护理费用标杆、管理费用标杆、医疗费用标杆展示，提供管理者清晰的标杆参考值。</w:t>
            </w:r>
          </w:p>
        </w:tc>
      </w:tr>
      <w:tr w14:paraId="529FB6B8">
        <w:tblPrEx>
          <w:tblCellMar>
            <w:top w:w="0" w:type="dxa"/>
            <w:left w:w="108" w:type="dxa"/>
            <w:bottom w:w="0" w:type="dxa"/>
            <w:right w:w="108" w:type="dxa"/>
          </w:tblCellMar>
        </w:tblPrEx>
        <w:trPr>
          <w:trHeight w:val="972"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330A9405">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24</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37DD4E72">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401741F5">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标杆选定</w:t>
            </w:r>
          </w:p>
        </w:tc>
        <w:tc>
          <w:tcPr>
            <w:tcW w:w="3356" w:type="pct"/>
            <w:tcBorders>
              <w:top w:val="single" w:color="000000" w:sz="4" w:space="0"/>
              <w:left w:val="single" w:color="000000" w:sz="4" w:space="0"/>
              <w:bottom w:val="single" w:color="000000" w:sz="4" w:space="0"/>
              <w:right w:val="single" w:color="000000" w:sz="4" w:space="0"/>
            </w:tcBorders>
            <w:vAlign w:val="center"/>
          </w:tcPr>
          <w:p w14:paraId="574A25F9">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根据参考值，进行总费用标杆、住院日标杆、药品费用标杆、卫材费用标杆、医技费用标杆、护理费用标杆、管理费用标杆、医疗费用标杆数据的修改，对修改后的标杆进行数据模拟，展示模拟后的结果展示。为管理者选定标杆提供依据。</w:t>
            </w:r>
          </w:p>
        </w:tc>
      </w:tr>
      <w:tr w14:paraId="6D063232">
        <w:tblPrEx>
          <w:tblCellMar>
            <w:top w:w="0" w:type="dxa"/>
            <w:left w:w="108" w:type="dxa"/>
            <w:bottom w:w="0" w:type="dxa"/>
            <w:right w:w="108" w:type="dxa"/>
          </w:tblCellMar>
        </w:tblPrEx>
        <w:trPr>
          <w:trHeight w:val="624" w:hRule="atLeast"/>
        </w:trPr>
        <w:tc>
          <w:tcPr>
            <w:tcW w:w="342" w:type="pct"/>
            <w:tcBorders>
              <w:top w:val="single" w:color="000000" w:sz="4" w:space="0"/>
              <w:left w:val="single" w:color="000000" w:sz="4" w:space="0"/>
              <w:bottom w:val="single" w:color="000000" w:sz="4" w:space="0"/>
              <w:right w:val="single" w:color="000000" w:sz="4" w:space="0"/>
            </w:tcBorders>
            <w:vAlign w:val="center"/>
          </w:tcPr>
          <w:p w14:paraId="543194F2">
            <w:pPr>
              <w:widowControl/>
              <w:spacing w:line="240" w:lineRule="auto"/>
              <w:ind w:firstLine="0" w:firstLineChars="0"/>
              <w:jc w:val="center"/>
              <w:textAlignment w:val="center"/>
              <w:rPr>
                <w:rFonts w:hint="eastAsia" w:ascii="宋体" w:hAnsi="宋体"/>
                <w:sz w:val="22"/>
                <w:lang w:val="en-US" w:bidi="ar"/>
              </w:rPr>
            </w:pPr>
            <w:r>
              <w:rPr>
                <w:rFonts w:hint="eastAsia" w:ascii="宋体" w:hAnsi="宋体"/>
                <w:sz w:val="22"/>
                <w:lang w:val="en-US" w:bidi="ar"/>
              </w:rPr>
              <w:t>25</w:t>
            </w:r>
          </w:p>
        </w:tc>
        <w:tc>
          <w:tcPr>
            <w:tcW w:w="548" w:type="pct"/>
            <w:vMerge w:val="continue"/>
            <w:tcBorders>
              <w:top w:val="single" w:color="000000" w:sz="4" w:space="0"/>
              <w:left w:val="single" w:color="000000" w:sz="4" w:space="0"/>
              <w:bottom w:val="single" w:color="000000" w:sz="4" w:space="0"/>
              <w:right w:val="single" w:color="000000" w:sz="4" w:space="0"/>
            </w:tcBorders>
            <w:vAlign w:val="center"/>
          </w:tcPr>
          <w:p w14:paraId="0D2BFB88">
            <w:pPr>
              <w:widowControl/>
              <w:spacing w:line="360" w:lineRule="exact"/>
              <w:ind w:firstLine="0" w:firstLineChars="0"/>
              <w:jc w:val="left"/>
              <w:textAlignment w:val="center"/>
              <w:rPr>
                <w:rFonts w:hint="eastAsia" w:ascii="宋体" w:hAnsi="宋体"/>
                <w:sz w:val="22"/>
                <w:lang w:val="en-US" w:bidi="ar"/>
              </w:rPr>
            </w:pPr>
          </w:p>
        </w:tc>
        <w:tc>
          <w:tcPr>
            <w:tcW w:w="754" w:type="pct"/>
            <w:tcBorders>
              <w:top w:val="single" w:color="000000" w:sz="4" w:space="0"/>
              <w:left w:val="single" w:color="000000" w:sz="4" w:space="0"/>
              <w:bottom w:val="single" w:color="000000" w:sz="4" w:space="0"/>
              <w:right w:val="single" w:color="000000" w:sz="4" w:space="0"/>
            </w:tcBorders>
            <w:vAlign w:val="center"/>
          </w:tcPr>
          <w:p w14:paraId="6B5D4E4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历史模拟标杆查询</w:t>
            </w:r>
          </w:p>
        </w:tc>
        <w:tc>
          <w:tcPr>
            <w:tcW w:w="3356" w:type="pct"/>
            <w:tcBorders>
              <w:top w:val="single" w:color="000000" w:sz="4" w:space="0"/>
              <w:left w:val="single" w:color="000000" w:sz="4" w:space="0"/>
              <w:bottom w:val="single" w:color="000000" w:sz="4" w:space="0"/>
              <w:right w:val="single" w:color="000000" w:sz="4" w:space="0"/>
            </w:tcBorders>
            <w:vAlign w:val="center"/>
          </w:tcPr>
          <w:p w14:paraId="759194CB">
            <w:pPr>
              <w:widowControl/>
              <w:spacing w:line="360" w:lineRule="exact"/>
              <w:ind w:firstLine="0" w:firstLineChars="0"/>
              <w:jc w:val="left"/>
              <w:textAlignment w:val="center"/>
              <w:rPr>
                <w:rFonts w:hint="eastAsia" w:ascii="宋体" w:hAnsi="宋体"/>
                <w:sz w:val="22"/>
                <w:lang w:val="en-US" w:bidi="ar"/>
              </w:rPr>
            </w:pPr>
            <w:r>
              <w:rPr>
                <w:rFonts w:hint="eastAsia" w:ascii="宋体" w:hAnsi="宋体"/>
                <w:sz w:val="22"/>
                <w:lang w:val="en-US" w:bidi="ar"/>
              </w:rPr>
              <w:t>对历史测算过的标杆进行查询，方便使用者对比历史修改的标杆进行选定。</w:t>
            </w:r>
          </w:p>
        </w:tc>
      </w:tr>
    </w:tbl>
    <w:p w14:paraId="6A694969">
      <w:pPr>
        <w:pStyle w:val="4"/>
        <w:ind w:firstLine="480"/>
        <w:contextualSpacing/>
        <w:rPr>
          <w:rFonts w:hint="eastAsia" w:ascii="宋体" w:hAnsi="宋体"/>
          <w:b w:val="0"/>
          <w:bCs w:val="0"/>
          <w:sz w:val="24"/>
          <w:szCs w:val="24"/>
          <w:lang w:val="en-US"/>
        </w:rPr>
      </w:pPr>
      <w:r>
        <w:rPr>
          <w:rFonts w:hint="eastAsia" w:ascii="宋体" w:hAnsi="宋体"/>
          <w:b w:val="0"/>
          <w:bCs w:val="0"/>
          <w:sz w:val="24"/>
          <w:szCs w:val="24"/>
          <w:lang w:val="en-US"/>
        </w:rPr>
        <w:t>2.运营数据辅助治理服务</w:t>
      </w:r>
    </w:p>
    <w:p w14:paraId="6432423E">
      <w:pPr>
        <w:ind w:firstLine="480"/>
        <w:rPr>
          <w:lang w:val="en-US"/>
        </w:rPr>
      </w:pPr>
      <w:r>
        <w:rPr>
          <w:rFonts w:hint="eastAsia" w:ascii="宋体" w:hAnsi="宋体"/>
          <w:szCs w:val="24"/>
          <w:lang w:val="en-US"/>
        </w:rPr>
        <w:t>运营数据辅助治理服务：根据</w:t>
      </w:r>
      <w:r>
        <w:rPr>
          <w:rFonts w:hint="eastAsia" w:hAnsi="宋体"/>
          <w:bCs/>
          <w:szCs w:val="24"/>
          <w:lang w:val="en-US"/>
        </w:rPr>
        <w:t>国际编码规则库</w:t>
      </w:r>
      <w:r>
        <w:rPr>
          <w:rFonts w:hint="eastAsia" w:hAnsi="宋体"/>
          <w:bCs/>
          <w:szCs w:val="24"/>
        </w:rPr>
        <w:t>、</w:t>
      </w:r>
      <w:r>
        <w:rPr>
          <w:rFonts w:hint="eastAsia" w:hAnsi="宋体"/>
          <w:bCs/>
          <w:szCs w:val="24"/>
          <w:lang w:val="en-US"/>
        </w:rPr>
        <w:t>病案首页填写规范要求以及</w:t>
      </w:r>
      <w:r>
        <w:rPr>
          <w:rFonts w:hint="eastAsia" w:hAnsi="宋体"/>
          <w:bCs/>
          <w:szCs w:val="24"/>
        </w:rPr>
        <w:t>区域病案质量要求等内容，融合形成病案质量综合校验体系。融合所有编码所需数据（</w:t>
      </w:r>
      <w:r>
        <w:rPr>
          <w:rFonts w:hint="eastAsia" w:hAnsi="宋体"/>
          <w:bCs/>
          <w:szCs w:val="24"/>
          <w:lang w:val="en-US"/>
        </w:rPr>
        <w:t>包括</w:t>
      </w:r>
      <w:r>
        <w:rPr>
          <w:rFonts w:hint="eastAsia" w:hAnsi="宋体"/>
          <w:bCs/>
          <w:szCs w:val="24"/>
        </w:rPr>
        <w:t>HIS、EMR、检查检验</w:t>
      </w:r>
      <w:r>
        <w:rPr>
          <w:rFonts w:hint="eastAsia" w:hAnsi="宋体"/>
          <w:bCs/>
          <w:szCs w:val="24"/>
          <w:lang w:val="en-US"/>
        </w:rPr>
        <w:t>等</w:t>
      </w:r>
      <w:r>
        <w:rPr>
          <w:rFonts w:hint="eastAsia" w:hAnsi="宋体"/>
          <w:bCs/>
          <w:szCs w:val="24"/>
        </w:rPr>
        <w:t>相关系统</w:t>
      </w:r>
      <w:r>
        <w:rPr>
          <w:rFonts w:hint="eastAsia" w:hAnsi="宋体"/>
          <w:bCs/>
          <w:szCs w:val="24"/>
          <w:lang w:val="en-US"/>
        </w:rPr>
        <w:t>数据</w:t>
      </w:r>
      <w:r>
        <w:rPr>
          <w:rFonts w:hint="eastAsia" w:hAnsi="宋体"/>
          <w:bCs/>
          <w:szCs w:val="24"/>
        </w:rPr>
        <w:t>），</w:t>
      </w:r>
      <w:r>
        <w:rPr>
          <w:rFonts w:hint="eastAsia" w:hAnsi="宋体"/>
          <w:bCs/>
          <w:szCs w:val="24"/>
          <w:lang w:val="en-US"/>
        </w:rPr>
        <w:t>提供一体化的</w:t>
      </w:r>
      <w:r>
        <w:rPr>
          <w:rFonts w:hint="eastAsia" w:hAnsi="宋体"/>
          <w:bCs/>
          <w:szCs w:val="24"/>
        </w:rPr>
        <w:t>病案</w:t>
      </w:r>
      <w:r>
        <w:rPr>
          <w:rFonts w:hint="eastAsia" w:hAnsi="宋体"/>
          <w:bCs/>
          <w:szCs w:val="24"/>
          <w:lang w:val="en-US"/>
        </w:rPr>
        <w:t>首页智能编码服务，</w:t>
      </w:r>
      <w:r>
        <w:rPr>
          <w:rFonts w:hint="eastAsia" w:hAnsi="宋体"/>
          <w:bCs/>
          <w:szCs w:val="24"/>
        </w:rPr>
        <w:t>同步实现对临床的运行病历和归档后的末端病历</w:t>
      </w:r>
      <w:r>
        <w:rPr>
          <w:rFonts w:hint="eastAsia" w:hAnsi="宋体"/>
          <w:bCs/>
          <w:szCs w:val="24"/>
          <w:lang w:val="en-US"/>
        </w:rPr>
        <w:t>进行</w:t>
      </w:r>
      <w:r>
        <w:rPr>
          <w:rFonts w:hint="eastAsia" w:hAnsi="宋体"/>
          <w:bCs/>
          <w:szCs w:val="24"/>
        </w:rPr>
        <w:t>全面校验、质控</w:t>
      </w:r>
      <w:r>
        <w:rPr>
          <w:rFonts w:hint="eastAsia" w:hAnsi="宋体"/>
          <w:bCs/>
          <w:szCs w:val="24"/>
          <w:lang w:val="en-US"/>
        </w:rPr>
        <w:t>提醒、智能辅助编码，以及同步实现HQMS及省病案数据的上传服务</w:t>
      </w:r>
      <w:r>
        <w:rPr>
          <w:rFonts w:hint="eastAsia" w:hAnsi="宋体"/>
          <w:bCs/>
          <w:szCs w:val="24"/>
        </w:rPr>
        <w:t>。具体</w:t>
      </w:r>
      <w:r>
        <w:rPr>
          <w:rFonts w:hint="eastAsia" w:hAnsi="宋体"/>
          <w:bCs/>
          <w:szCs w:val="24"/>
          <w:lang w:val="en-US"/>
        </w:rPr>
        <w:t>服务</w:t>
      </w:r>
      <w:r>
        <w:rPr>
          <w:rFonts w:hint="eastAsia" w:hAnsi="宋体"/>
          <w:bCs/>
          <w:szCs w:val="24"/>
        </w:rPr>
        <w:t>包括但不限于：费用分类分析、科室与病种超支趋势及偏移分析、转院转科病种分析、中医病种分析、异常指标分析、院科（组）多层次分析、标杆单位选定与参考值分析。</w:t>
      </w:r>
    </w:p>
    <w:p w14:paraId="3432AF0C">
      <w:pPr>
        <w:pStyle w:val="3"/>
        <w:ind w:left="562" w:firstLine="0" w:firstLineChars="0"/>
        <w:rPr>
          <w:lang w:val="en-US"/>
        </w:rPr>
      </w:pPr>
      <w:r>
        <w:rPr>
          <w:rFonts w:hint="eastAsia"/>
          <w:lang w:val="en-US"/>
        </w:rPr>
        <w:t>四、实施要求</w:t>
      </w:r>
    </w:p>
    <w:p w14:paraId="745FC68C">
      <w:pPr>
        <w:pStyle w:val="22"/>
        <w:numPr>
          <w:ilvl w:val="0"/>
          <w:numId w:val="2"/>
        </w:numPr>
        <w:tabs>
          <w:tab w:val="left" w:pos="525"/>
          <w:tab w:val="left" w:pos="945"/>
        </w:tabs>
        <w:autoSpaceDE/>
        <w:autoSpaceDN/>
        <w:spacing w:before="0"/>
        <w:ind w:firstLine="480"/>
        <w:rPr>
          <w:rFonts w:hint="eastAsia" w:ascii="宋体" w:hAnsi="宋体"/>
        </w:rPr>
      </w:pPr>
      <w:bookmarkStart w:id="0" w:name="_Hlk186458328"/>
      <w:r>
        <w:rPr>
          <w:rFonts w:hint="eastAsia" w:ascii="宋体" w:hAnsi="宋体"/>
        </w:rPr>
        <w:t>本次招标采购内容为南方医科大学中西医结合医院运营管理提升咨询项目（具体要求详见“技术要求”）。投标人不得将本项目中的内容拆散来投标。</w:t>
      </w:r>
    </w:p>
    <w:p w14:paraId="1950D881">
      <w:pPr>
        <w:pStyle w:val="22"/>
        <w:numPr>
          <w:ilvl w:val="0"/>
          <w:numId w:val="2"/>
        </w:numPr>
        <w:tabs>
          <w:tab w:val="left" w:pos="525"/>
          <w:tab w:val="left" w:pos="945"/>
        </w:tabs>
        <w:autoSpaceDE/>
        <w:autoSpaceDN/>
        <w:spacing w:before="0"/>
        <w:ind w:firstLine="480"/>
        <w:rPr>
          <w:rFonts w:hint="eastAsia" w:ascii="宋体" w:hAnsi="宋体"/>
          <w:bCs/>
        </w:rPr>
      </w:pPr>
      <w:r>
        <w:rPr>
          <w:rFonts w:hint="eastAsia" w:ascii="宋体" w:hAnsi="宋体"/>
          <w:bCs/>
        </w:rPr>
        <w:t>投标报价应为人民币含税全包价，包括咨询服务、培训等一切费用。</w:t>
      </w:r>
    </w:p>
    <w:p w14:paraId="7298B057">
      <w:pPr>
        <w:pStyle w:val="22"/>
        <w:numPr>
          <w:ilvl w:val="0"/>
          <w:numId w:val="2"/>
        </w:numPr>
        <w:tabs>
          <w:tab w:val="left" w:pos="525"/>
          <w:tab w:val="left" w:pos="945"/>
        </w:tabs>
        <w:autoSpaceDE/>
        <w:autoSpaceDN/>
        <w:spacing w:before="0"/>
        <w:ind w:firstLine="480"/>
        <w:rPr>
          <w:rFonts w:hint="eastAsia" w:ascii="宋体" w:hAnsi="宋体"/>
        </w:rPr>
      </w:pPr>
      <w:r>
        <w:rPr>
          <w:rFonts w:hint="eastAsia" w:ascii="宋体" w:hAnsi="宋体"/>
        </w:rPr>
        <w:t>服务期：</w:t>
      </w:r>
      <w:r>
        <w:rPr>
          <w:rFonts w:ascii="宋体" w:hAnsi="宋体"/>
        </w:rPr>
        <w:t>12个月</w:t>
      </w:r>
      <w:r>
        <w:rPr>
          <w:rFonts w:hint="eastAsia" w:ascii="宋体" w:hAnsi="宋体"/>
        </w:rPr>
        <w:t>，自项目合同签订之日起计算。</w:t>
      </w:r>
    </w:p>
    <w:p w14:paraId="66B1DFE1">
      <w:pPr>
        <w:pStyle w:val="22"/>
        <w:numPr>
          <w:ilvl w:val="0"/>
          <w:numId w:val="2"/>
        </w:numPr>
        <w:tabs>
          <w:tab w:val="left" w:pos="525"/>
          <w:tab w:val="left" w:pos="945"/>
        </w:tabs>
        <w:autoSpaceDE/>
        <w:autoSpaceDN/>
        <w:spacing w:before="0"/>
        <w:ind w:firstLine="480"/>
        <w:rPr>
          <w:rFonts w:hint="eastAsia" w:ascii="宋体" w:hAnsi="宋体"/>
        </w:rPr>
      </w:pPr>
      <w:r>
        <w:rPr>
          <w:rFonts w:hint="eastAsia" w:ascii="宋体" w:hAnsi="宋体"/>
        </w:rPr>
        <w:t>交货地点：采购人指定地点（以合同为准）。</w:t>
      </w:r>
    </w:p>
    <w:p w14:paraId="50E6B8B1">
      <w:pPr>
        <w:pStyle w:val="22"/>
        <w:numPr>
          <w:ilvl w:val="0"/>
          <w:numId w:val="2"/>
        </w:numPr>
        <w:tabs>
          <w:tab w:val="left" w:pos="525"/>
          <w:tab w:val="left" w:pos="945"/>
        </w:tabs>
        <w:autoSpaceDE/>
        <w:autoSpaceDN/>
        <w:spacing w:before="0"/>
        <w:ind w:firstLine="480"/>
        <w:rPr>
          <w:rFonts w:hint="eastAsia" w:ascii="宋体" w:hAnsi="宋体"/>
        </w:rPr>
      </w:pPr>
      <w:r>
        <w:rPr>
          <w:rFonts w:hint="eastAsia" w:ascii="宋体" w:hAnsi="宋体"/>
        </w:rPr>
        <w:t>报价要求：允许一次性报价、组合式报价。</w:t>
      </w:r>
    </w:p>
    <w:p w14:paraId="2A6CC43A">
      <w:pPr>
        <w:pStyle w:val="22"/>
        <w:numPr>
          <w:ilvl w:val="0"/>
          <w:numId w:val="2"/>
        </w:numPr>
        <w:tabs>
          <w:tab w:val="left" w:pos="525"/>
          <w:tab w:val="left" w:pos="945"/>
        </w:tabs>
        <w:autoSpaceDE/>
        <w:autoSpaceDN/>
        <w:spacing w:before="0"/>
        <w:ind w:firstLine="480"/>
        <w:rPr>
          <w:rFonts w:hint="eastAsia" w:ascii="宋体" w:hAnsi="宋体"/>
        </w:rPr>
      </w:pPr>
      <w:r>
        <w:rPr>
          <w:rFonts w:ascii="宋体" w:hAnsi="宋体"/>
        </w:rPr>
        <w:t>咨询</w:t>
      </w:r>
      <w:r>
        <w:rPr>
          <w:rFonts w:hint="eastAsia" w:ascii="宋体" w:hAnsi="宋体"/>
        </w:rPr>
        <w:t>服务：</w:t>
      </w:r>
      <w:r>
        <w:rPr>
          <w:rFonts w:ascii="宋体" w:hAnsi="宋体"/>
        </w:rPr>
        <w:t>为医院管理者及相关科室提供医院数智化运营分析、管理重点分析、医保管理分析等服务、月度、季度、年度运营分析等咨询服务。</w:t>
      </w:r>
    </w:p>
    <w:p w14:paraId="29B0A789">
      <w:pPr>
        <w:tabs>
          <w:tab w:val="left" w:pos="1080"/>
        </w:tabs>
        <w:ind w:firstLine="482"/>
        <w:rPr>
          <w:rFonts w:hint="eastAsia" w:ascii="宋体" w:hAnsi="宋体"/>
          <w:b/>
          <w:bCs/>
        </w:rPr>
      </w:pPr>
      <w:r>
        <w:rPr>
          <w:rFonts w:hint="eastAsia" w:ascii="宋体" w:hAnsi="宋体"/>
          <w:b/>
        </w:rPr>
        <w:t>（技术要求中有特别要求的以技术要求为主）</w:t>
      </w:r>
    </w:p>
    <w:p w14:paraId="11A746A4">
      <w:pPr>
        <w:ind w:firstLine="482"/>
        <w:rPr>
          <w:rFonts w:hint="eastAsia" w:ascii="宋体" w:hAnsi="宋体"/>
          <w:b/>
          <w:bCs/>
        </w:rPr>
      </w:pPr>
      <w:r>
        <w:rPr>
          <w:rFonts w:hint="eastAsia" w:ascii="宋体" w:hAnsi="宋体"/>
          <w:b/>
          <w:bCs/>
        </w:rPr>
        <w:t>注：“实施要求”中的内容有与“技术要求”中的内容不一致的，以“技术要求”中的要求为准。</w:t>
      </w:r>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361" w:bottom="1440" w:left="136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4464524"/>
    </w:sdtPr>
    <w:sdtContent>
      <w:p w14:paraId="630B9CE7">
        <w:pPr>
          <w:pStyle w:val="10"/>
          <w:ind w:firstLine="360"/>
          <w:jc w:val="center"/>
        </w:pPr>
        <w:r>
          <w:fldChar w:fldCharType="begin"/>
        </w:r>
        <w:r>
          <w:instrText xml:space="preserve">PAGE   \* MERGEFORMAT</w:instrText>
        </w:r>
        <w:r>
          <w:fldChar w:fldCharType="separate"/>
        </w:r>
        <w: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79F50">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3F172">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DBAB3">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99613">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9CEFE">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1BA84"/>
    <w:multiLevelType w:val="singleLevel"/>
    <w:tmpl w:val="BBA1BA84"/>
    <w:lvl w:ilvl="0" w:tentative="0">
      <w:start w:val="1"/>
      <w:numFmt w:val="chineseCounting"/>
      <w:suff w:val="nothing"/>
      <w:lvlText w:val="%1、"/>
      <w:lvlJc w:val="left"/>
      <w:rPr>
        <w:rFonts w:hint="eastAsia"/>
      </w:rPr>
    </w:lvl>
  </w:abstractNum>
  <w:abstractNum w:abstractNumId="1">
    <w:nsid w:val="143E8B73"/>
    <w:multiLevelType w:val="singleLevel"/>
    <w:tmpl w:val="143E8B73"/>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0ODJlODY0NTBlMmIzYjgzOGY5NDk2ZjA1OTlmMTgifQ=="/>
  </w:docVars>
  <w:rsids>
    <w:rsidRoot w:val="00393024"/>
    <w:rsid w:val="00007EB7"/>
    <w:rsid w:val="000172F2"/>
    <w:rsid w:val="00021532"/>
    <w:rsid w:val="000268E1"/>
    <w:rsid w:val="000431D3"/>
    <w:rsid w:val="00043B0A"/>
    <w:rsid w:val="00063E4C"/>
    <w:rsid w:val="000A2511"/>
    <w:rsid w:val="000A33E8"/>
    <w:rsid w:val="000B49B4"/>
    <w:rsid w:val="000D2E99"/>
    <w:rsid w:val="000D73F4"/>
    <w:rsid w:val="000E6A07"/>
    <w:rsid w:val="000F6C17"/>
    <w:rsid w:val="001144D7"/>
    <w:rsid w:val="00114FEB"/>
    <w:rsid w:val="00124419"/>
    <w:rsid w:val="00136601"/>
    <w:rsid w:val="001541E9"/>
    <w:rsid w:val="00154AED"/>
    <w:rsid w:val="00156488"/>
    <w:rsid w:val="00181291"/>
    <w:rsid w:val="001B330B"/>
    <w:rsid w:val="001B427E"/>
    <w:rsid w:val="001C446C"/>
    <w:rsid w:val="001D5B27"/>
    <w:rsid w:val="001E31B3"/>
    <w:rsid w:val="001F13D8"/>
    <w:rsid w:val="002533C1"/>
    <w:rsid w:val="002824EB"/>
    <w:rsid w:val="00291D02"/>
    <w:rsid w:val="002938B3"/>
    <w:rsid w:val="002B060D"/>
    <w:rsid w:val="002C3BE5"/>
    <w:rsid w:val="002D15D7"/>
    <w:rsid w:val="002E7D11"/>
    <w:rsid w:val="00304053"/>
    <w:rsid w:val="003511AE"/>
    <w:rsid w:val="00367547"/>
    <w:rsid w:val="003747A2"/>
    <w:rsid w:val="003877DB"/>
    <w:rsid w:val="00393024"/>
    <w:rsid w:val="003B7F6F"/>
    <w:rsid w:val="003C5296"/>
    <w:rsid w:val="003D0910"/>
    <w:rsid w:val="003E098E"/>
    <w:rsid w:val="003E780C"/>
    <w:rsid w:val="00405733"/>
    <w:rsid w:val="00407715"/>
    <w:rsid w:val="00437C46"/>
    <w:rsid w:val="004815BF"/>
    <w:rsid w:val="004953EA"/>
    <w:rsid w:val="004A011A"/>
    <w:rsid w:val="004A3CDA"/>
    <w:rsid w:val="004C5ECC"/>
    <w:rsid w:val="004C7B76"/>
    <w:rsid w:val="004D7EC6"/>
    <w:rsid w:val="004F1C96"/>
    <w:rsid w:val="004F7417"/>
    <w:rsid w:val="00535F5E"/>
    <w:rsid w:val="00536725"/>
    <w:rsid w:val="005420CB"/>
    <w:rsid w:val="0055072F"/>
    <w:rsid w:val="00551309"/>
    <w:rsid w:val="00564F9E"/>
    <w:rsid w:val="00591475"/>
    <w:rsid w:val="00595098"/>
    <w:rsid w:val="0059543E"/>
    <w:rsid w:val="00596959"/>
    <w:rsid w:val="005A58CC"/>
    <w:rsid w:val="005E14C5"/>
    <w:rsid w:val="005F7926"/>
    <w:rsid w:val="0060606D"/>
    <w:rsid w:val="0060653C"/>
    <w:rsid w:val="00625AEA"/>
    <w:rsid w:val="00643799"/>
    <w:rsid w:val="006632F3"/>
    <w:rsid w:val="00674ABE"/>
    <w:rsid w:val="0068031C"/>
    <w:rsid w:val="006A1894"/>
    <w:rsid w:val="006C49F4"/>
    <w:rsid w:val="006D01F0"/>
    <w:rsid w:val="006E4B05"/>
    <w:rsid w:val="006E7FCE"/>
    <w:rsid w:val="006F0BC9"/>
    <w:rsid w:val="007103E1"/>
    <w:rsid w:val="007135D9"/>
    <w:rsid w:val="00713AD5"/>
    <w:rsid w:val="00756232"/>
    <w:rsid w:val="00756365"/>
    <w:rsid w:val="00770FA7"/>
    <w:rsid w:val="007753A6"/>
    <w:rsid w:val="00787E72"/>
    <w:rsid w:val="007B45AA"/>
    <w:rsid w:val="007B47AF"/>
    <w:rsid w:val="007C71F7"/>
    <w:rsid w:val="007E1FA1"/>
    <w:rsid w:val="00806E81"/>
    <w:rsid w:val="008333C3"/>
    <w:rsid w:val="00836BC2"/>
    <w:rsid w:val="0084031E"/>
    <w:rsid w:val="00853C71"/>
    <w:rsid w:val="008573C3"/>
    <w:rsid w:val="00863381"/>
    <w:rsid w:val="008919BE"/>
    <w:rsid w:val="008A215D"/>
    <w:rsid w:val="008C1F0A"/>
    <w:rsid w:val="008D588A"/>
    <w:rsid w:val="008F0FA9"/>
    <w:rsid w:val="00902890"/>
    <w:rsid w:val="00903D22"/>
    <w:rsid w:val="009120D8"/>
    <w:rsid w:val="009208C8"/>
    <w:rsid w:val="009551A3"/>
    <w:rsid w:val="00970945"/>
    <w:rsid w:val="009830D2"/>
    <w:rsid w:val="009907F8"/>
    <w:rsid w:val="009D3BF1"/>
    <w:rsid w:val="009D4737"/>
    <w:rsid w:val="009E0CDA"/>
    <w:rsid w:val="009F40D5"/>
    <w:rsid w:val="00A02224"/>
    <w:rsid w:val="00A076AD"/>
    <w:rsid w:val="00A22B4A"/>
    <w:rsid w:val="00A254F1"/>
    <w:rsid w:val="00A322D4"/>
    <w:rsid w:val="00A32F98"/>
    <w:rsid w:val="00A33F7F"/>
    <w:rsid w:val="00A425D2"/>
    <w:rsid w:val="00A5629D"/>
    <w:rsid w:val="00A60CE2"/>
    <w:rsid w:val="00A71155"/>
    <w:rsid w:val="00A71EFF"/>
    <w:rsid w:val="00A925C9"/>
    <w:rsid w:val="00A9401B"/>
    <w:rsid w:val="00AB318A"/>
    <w:rsid w:val="00AC19D5"/>
    <w:rsid w:val="00AC3659"/>
    <w:rsid w:val="00AE23FF"/>
    <w:rsid w:val="00AF077B"/>
    <w:rsid w:val="00B3017E"/>
    <w:rsid w:val="00B40B9B"/>
    <w:rsid w:val="00B420F2"/>
    <w:rsid w:val="00B553E2"/>
    <w:rsid w:val="00B62582"/>
    <w:rsid w:val="00B6547D"/>
    <w:rsid w:val="00B723C6"/>
    <w:rsid w:val="00B73FF2"/>
    <w:rsid w:val="00B84833"/>
    <w:rsid w:val="00B84CEE"/>
    <w:rsid w:val="00B91643"/>
    <w:rsid w:val="00BA06D3"/>
    <w:rsid w:val="00BB00D9"/>
    <w:rsid w:val="00BB0D6F"/>
    <w:rsid w:val="00BC35AB"/>
    <w:rsid w:val="00BD70DF"/>
    <w:rsid w:val="00BF3C19"/>
    <w:rsid w:val="00C0314E"/>
    <w:rsid w:val="00C26D35"/>
    <w:rsid w:val="00C34DA7"/>
    <w:rsid w:val="00C66285"/>
    <w:rsid w:val="00C86975"/>
    <w:rsid w:val="00C917D6"/>
    <w:rsid w:val="00D006E9"/>
    <w:rsid w:val="00D019D9"/>
    <w:rsid w:val="00D0354E"/>
    <w:rsid w:val="00D269D0"/>
    <w:rsid w:val="00D66779"/>
    <w:rsid w:val="00D84064"/>
    <w:rsid w:val="00D9368C"/>
    <w:rsid w:val="00DA4921"/>
    <w:rsid w:val="00DE385E"/>
    <w:rsid w:val="00E165A9"/>
    <w:rsid w:val="00E43021"/>
    <w:rsid w:val="00E539E2"/>
    <w:rsid w:val="00E557EC"/>
    <w:rsid w:val="00EC6582"/>
    <w:rsid w:val="00EF6937"/>
    <w:rsid w:val="00F03A84"/>
    <w:rsid w:val="00F16640"/>
    <w:rsid w:val="00F36283"/>
    <w:rsid w:val="00F3729A"/>
    <w:rsid w:val="00F37C88"/>
    <w:rsid w:val="00F40E98"/>
    <w:rsid w:val="00F46FB3"/>
    <w:rsid w:val="00F5278E"/>
    <w:rsid w:val="00F52FBB"/>
    <w:rsid w:val="00F543C3"/>
    <w:rsid w:val="00F70DC2"/>
    <w:rsid w:val="00F8091B"/>
    <w:rsid w:val="00F96B6A"/>
    <w:rsid w:val="00FA7BD3"/>
    <w:rsid w:val="00FB065C"/>
    <w:rsid w:val="00FC2173"/>
    <w:rsid w:val="00FC4E3C"/>
    <w:rsid w:val="00FC73E9"/>
    <w:rsid w:val="00FD286B"/>
    <w:rsid w:val="00FD4284"/>
    <w:rsid w:val="00FE4E51"/>
    <w:rsid w:val="00FF314C"/>
    <w:rsid w:val="01255120"/>
    <w:rsid w:val="017D1D97"/>
    <w:rsid w:val="02E903CF"/>
    <w:rsid w:val="03675AE6"/>
    <w:rsid w:val="03FD6699"/>
    <w:rsid w:val="04670F37"/>
    <w:rsid w:val="050E3F58"/>
    <w:rsid w:val="05241B93"/>
    <w:rsid w:val="058761A0"/>
    <w:rsid w:val="063D55B6"/>
    <w:rsid w:val="06C704B1"/>
    <w:rsid w:val="07711C08"/>
    <w:rsid w:val="07CD7F36"/>
    <w:rsid w:val="08135524"/>
    <w:rsid w:val="08416A45"/>
    <w:rsid w:val="08D7422F"/>
    <w:rsid w:val="08E57152"/>
    <w:rsid w:val="097E4E02"/>
    <w:rsid w:val="0A51342A"/>
    <w:rsid w:val="0A952A19"/>
    <w:rsid w:val="0ADE3117"/>
    <w:rsid w:val="0B813DCE"/>
    <w:rsid w:val="0B9C2CC3"/>
    <w:rsid w:val="0C730B7E"/>
    <w:rsid w:val="0C9731E7"/>
    <w:rsid w:val="0D641B84"/>
    <w:rsid w:val="0D8E1FC0"/>
    <w:rsid w:val="0DA73CA7"/>
    <w:rsid w:val="0E851662"/>
    <w:rsid w:val="0E96765D"/>
    <w:rsid w:val="0EC75A69"/>
    <w:rsid w:val="0F2729AB"/>
    <w:rsid w:val="10127F8E"/>
    <w:rsid w:val="102C1B2C"/>
    <w:rsid w:val="10355E7D"/>
    <w:rsid w:val="10D51B29"/>
    <w:rsid w:val="11001706"/>
    <w:rsid w:val="11286567"/>
    <w:rsid w:val="122735DC"/>
    <w:rsid w:val="12A22D09"/>
    <w:rsid w:val="137B32C6"/>
    <w:rsid w:val="139B50EA"/>
    <w:rsid w:val="14120624"/>
    <w:rsid w:val="14171240"/>
    <w:rsid w:val="144B0EEA"/>
    <w:rsid w:val="146F2E2A"/>
    <w:rsid w:val="148B3890"/>
    <w:rsid w:val="14E21423"/>
    <w:rsid w:val="15196B50"/>
    <w:rsid w:val="151B24D4"/>
    <w:rsid w:val="15E21718"/>
    <w:rsid w:val="163A1216"/>
    <w:rsid w:val="16CA2842"/>
    <w:rsid w:val="17F4557D"/>
    <w:rsid w:val="18363C5F"/>
    <w:rsid w:val="18B828C6"/>
    <w:rsid w:val="19033B41"/>
    <w:rsid w:val="19924EC5"/>
    <w:rsid w:val="1A1A3838"/>
    <w:rsid w:val="1AC92C2E"/>
    <w:rsid w:val="1B4A7417"/>
    <w:rsid w:val="1C5D6394"/>
    <w:rsid w:val="1D5F1562"/>
    <w:rsid w:val="1D686669"/>
    <w:rsid w:val="1DCA08C1"/>
    <w:rsid w:val="1E004AF3"/>
    <w:rsid w:val="1E7554E1"/>
    <w:rsid w:val="1E937715"/>
    <w:rsid w:val="1EF02DBA"/>
    <w:rsid w:val="1F9118F4"/>
    <w:rsid w:val="1FB44D03"/>
    <w:rsid w:val="20075CE0"/>
    <w:rsid w:val="20D858B3"/>
    <w:rsid w:val="20FB77F4"/>
    <w:rsid w:val="21FB01ED"/>
    <w:rsid w:val="22032E04"/>
    <w:rsid w:val="22343306"/>
    <w:rsid w:val="229D0DC1"/>
    <w:rsid w:val="22F24386"/>
    <w:rsid w:val="24247062"/>
    <w:rsid w:val="24F84776"/>
    <w:rsid w:val="25C30677"/>
    <w:rsid w:val="26337982"/>
    <w:rsid w:val="270513CC"/>
    <w:rsid w:val="276812ED"/>
    <w:rsid w:val="27871DE1"/>
    <w:rsid w:val="27ED7569"/>
    <w:rsid w:val="29377DEB"/>
    <w:rsid w:val="2976210D"/>
    <w:rsid w:val="29D37560"/>
    <w:rsid w:val="2A385C74"/>
    <w:rsid w:val="2AA71D7E"/>
    <w:rsid w:val="2B0D0850"/>
    <w:rsid w:val="2BDE4A6F"/>
    <w:rsid w:val="2BEB6DE3"/>
    <w:rsid w:val="2CE22E03"/>
    <w:rsid w:val="2DB553C8"/>
    <w:rsid w:val="2DBF7F69"/>
    <w:rsid w:val="2E0E500A"/>
    <w:rsid w:val="2E135B09"/>
    <w:rsid w:val="2E6609A2"/>
    <w:rsid w:val="2EC15BD9"/>
    <w:rsid w:val="2F2B5748"/>
    <w:rsid w:val="309612E7"/>
    <w:rsid w:val="32537490"/>
    <w:rsid w:val="339935C8"/>
    <w:rsid w:val="34456EB4"/>
    <w:rsid w:val="345D465C"/>
    <w:rsid w:val="34CB7AC1"/>
    <w:rsid w:val="34DD450A"/>
    <w:rsid w:val="350A4E2C"/>
    <w:rsid w:val="35AB75E3"/>
    <w:rsid w:val="35E548A3"/>
    <w:rsid w:val="360A3AE4"/>
    <w:rsid w:val="37114AE6"/>
    <w:rsid w:val="3731755D"/>
    <w:rsid w:val="37D04D71"/>
    <w:rsid w:val="381310BB"/>
    <w:rsid w:val="385F7E89"/>
    <w:rsid w:val="396E5874"/>
    <w:rsid w:val="3A12378C"/>
    <w:rsid w:val="3AED70F7"/>
    <w:rsid w:val="3AFB781A"/>
    <w:rsid w:val="3BA4691D"/>
    <w:rsid w:val="3BD50F16"/>
    <w:rsid w:val="3C3E2F5F"/>
    <w:rsid w:val="3CA8487C"/>
    <w:rsid w:val="3D7E738B"/>
    <w:rsid w:val="3D900E66"/>
    <w:rsid w:val="3DBA42C7"/>
    <w:rsid w:val="3DEC0798"/>
    <w:rsid w:val="3DF00CDD"/>
    <w:rsid w:val="3E4203B8"/>
    <w:rsid w:val="3F854C89"/>
    <w:rsid w:val="40254073"/>
    <w:rsid w:val="413F5BE3"/>
    <w:rsid w:val="42516D31"/>
    <w:rsid w:val="429F7A40"/>
    <w:rsid w:val="42FD2321"/>
    <w:rsid w:val="433E3844"/>
    <w:rsid w:val="436C1CAB"/>
    <w:rsid w:val="44CB1108"/>
    <w:rsid w:val="44ED0165"/>
    <w:rsid w:val="457F4BC7"/>
    <w:rsid w:val="45961716"/>
    <w:rsid w:val="45A55952"/>
    <w:rsid w:val="465B2EA3"/>
    <w:rsid w:val="46BF4C9C"/>
    <w:rsid w:val="47AA5F79"/>
    <w:rsid w:val="480565FD"/>
    <w:rsid w:val="4851243C"/>
    <w:rsid w:val="486D4BDD"/>
    <w:rsid w:val="48B564CB"/>
    <w:rsid w:val="48BC4752"/>
    <w:rsid w:val="48BD16AF"/>
    <w:rsid w:val="4A24164D"/>
    <w:rsid w:val="4A5B72E9"/>
    <w:rsid w:val="4A757FD0"/>
    <w:rsid w:val="4AD7381F"/>
    <w:rsid w:val="4B4B6AFE"/>
    <w:rsid w:val="4B573E8C"/>
    <w:rsid w:val="4C6B00A8"/>
    <w:rsid w:val="4D2729A1"/>
    <w:rsid w:val="4D57223F"/>
    <w:rsid w:val="4DE33966"/>
    <w:rsid w:val="4E315043"/>
    <w:rsid w:val="4E7C1AB5"/>
    <w:rsid w:val="4F471CD3"/>
    <w:rsid w:val="4FBB2E06"/>
    <w:rsid w:val="4FDA2238"/>
    <w:rsid w:val="501222E0"/>
    <w:rsid w:val="513005C6"/>
    <w:rsid w:val="51BD45EF"/>
    <w:rsid w:val="52664269"/>
    <w:rsid w:val="52F312D4"/>
    <w:rsid w:val="54091288"/>
    <w:rsid w:val="54491C6A"/>
    <w:rsid w:val="547277F2"/>
    <w:rsid w:val="55104E28"/>
    <w:rsid w:val="553F13D8"/>
    <w:rsid w:val="556F4202"/>
    <w:rsid w:val="559F2084"/>
    <w:rsid w:val="55B6370E"/>
    <w:rsid w:val="562064DF"/>
    <w:rsid w:val="56505911"/>
    <w:rsid w:val="56DD720F"/>
    <w:rsid w:val="573214BA"/>
    <w:rsid w:val="57E4161C"/>
    <w:rsid w:val="59C34337"/>
    <w:rsid w:val="5A464D57"/>
    <w:rsid w:val="5A4B3F32"/>
    <w:rsid w:val="5B0B44FC"/>
    <w:rsid w:val="5BD10D34"/>
    <w:rsid w:val="5BF3746A"/>
    <w:rsid w:val="5C052CF9"/>
    <w:rsid w:val="5C3C5309"/>
    <w:rsid w:val="5CAC6D2A"/>
    <w:rsid w:val="5CBB785C"/>
    <w:rsid w:val="5CBC2B81"/>
    <w:rsid w:val="5D417D61"/>
    <w:rsid w:val="5D494E68"/>
    <w:rsid w:val="5D944335"/>
    <w:rsid w:val="5D971DF0"/>
    <w:rsid w:val="5DDD7D96"/>
    <w:rsid w:val="5E5E6D9C"/>
    <w:rsid w:val="5F334021"/>
    <w:rsid w:val="5F492A07"/>
    <w:rsid w:val="5F8816BA"/>
    <w:rsid w:val="5FFC0086"/>
    <w:rsid w:val="6020141D"/>
    <w:rsid w:val="60590E1C"/>
    <w:rsid w:val="6171498D"/>
    <w:rsid w:val="61963056"/>
    <w:rsid w:val="61A62889"/>
    <w:rsid w:val="61E635CD"/>
    <w:rsid w:val="62015D11"/>
    <w:rsid w:val="62D60F4C"/>
    <w:rsid w:val="638B7F88"/>
    <w:rsid w:val="64020EED"/>
    <w:rsid w:val="647E7AED"/>
    <w:rsid w:val="649C61C5"/>
    <w:rsid w:val="64AC5CCA"/>
    <w:rsid w:val="64B74DAD"/>
    <w:rsid w:val="64F46001"/>
    <w:rsid w:val="65DC2D1D"/>
    <w:rsid w:val="660263A0"/>
    <w:rsid w:val="666A19E3"/>
    <w:rsid w:val="666D1C20"/>
    <w:rsid w:val="66B912B0"/>
    <w:rsid w:val="67B425C3"/>
    <w:rsid w:val="68464643"/>
    <w:rsid w:val="68BD4880"/>
    <w:rsid w:val="69C935B8"/>
    <w:rsid w:val="6A01531E"/>
    <w:rsid w:val="6A14442B"/>
    <w:rsid w:val="6A666F2E"/>
    <w:rsid w:val="6A9C2278"/>
    <w:rsid w:val="6B0A38C7"/>
    <w:rsid w:val="6B5415A7"/>
    <w:rsid w:val="6B681DEF"/>
    <w:rsid w:val="6BBB7B0C"/>
    <w:rsid w:val="6C2C42D2"/>
    <w:rsid w:val="6C511F47"/>
    <w:rsid w:val="6C661592"/>
    <w:rsid w:val="6D6B0BCD"/>
    <w:rsid w:val="6F5C4ECE"/>
    <w:rsid w:val="6F764E7F"/>
    <w:rsid w:val="6F9251A5"/>
    <w:rsid w:val="6FB41AAC"/>
    <w:rsid w:val="6FE078AE"/>
    <w:rsid w:val="70661544"/>
    <w:rsid w:val="70823BE0"/>
    <w:rsid w:val="71B40E6D"/>
    <w:rsid w:val="72103F82"/>
    <w:rsid w:val="722B755C"/>
    <w:rsid w:val="72784EEE"/>
    <w:rsid w:val="728E17FF"/>
    <w:rsid w:val="72C072D0"/>
    <w:rsid w:val="73487C44"/>
    <w:rsid w:val="73875ADD"/>
    <w:rsid w:val="73AB76E0"/>
    <w:rsid w:val="73E738B1"/>
    <w:rsid w:val="743261FE"/>
    <w:rsid w:val="74D24BA6"/>
    <w:rsid w:val="756267C9"/>
    <w:rsid w:val="75A843C3"/>
    <w:rsid w:val="761738FD"/>
    <w:rsid w:val="76AC19E5"/>
    <w:rsid w:val="78104C52"/>
    <w:rsid w:val="78574485"/>
    <w:rsid w:val="78AD4EAF"/>
    <w:rsid w:val="7ABA3AA8"/>
    <w:rsid w:val="7B284379"/>
    <w:rsid w:val="7BFC15CB"/>
    <w:rsid w:val="7D3C4CF8"/>
    <w:rsid w:val="7D4F378F"/>
    <w:rsid w:val="7E9E651D"/>
    <w:rsid w:val="7EA47CF8"/>
    <w:rsid w:val="7ED10D4F"/>
    <w:rsid w:val="7EFC7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360" w:lineRule="auto"/>
      <w:ind w:firstLine="723" w:firstLineChars="200"/>
      <w:jc w:val="both"/>
    </w:pPr>
    <w:rPr>
      <w:rFonts w:ascii="Times New Roman" w:hAnsi="Times New Roman" w:eastAsia="宋体" w:cs="宋体"/>
      <w:sz w:val="24"/>
      <w:szCs w:val="22"/>
      <w:lang w:val="zh-CN" w:eastAsia="zh-CN" w:bidi="zh-CN"/>
    </w:rPr>
  </w:style>
  <w:style w:type="paragraph" w:styleId="2">
    <w:name w:val="heading 1"/>
    <w:basedOn w:val="1"/>
    <w:next w:val="1"/>
    <w:link w:val="26"/>
    <w:qFormat/>
    <w:uiPriority w:val="9"/>
    <w:pPr>
      <w:keepNext/>
      <w:keepLines/>
      <w:jc w:val="left"/>
      <w:outlineLvl w:val="0"/>
    </w:pPr>
    <w:rPr>
      <w:b/>
      <w:kern w:val="44"/>
      <w:sz w:val="28"/>
      <w:szCs w:val="44"/>
    </w:rPr>
  </w:style>
  <w:style w:type="paragraph" w:styleId="3">
    <w:name w:val="heading 2"/>
    <w:basedOn w:val="1"/>
    <w:next w:val="1"/>
    <w:link w:val="18"/>
    <w:unhideWhenUsed/>
    <w:qFormat/>
    <w:uiPriority w:val="9"/>
    <w:pPr>
      <w:ind w:firstLine="1044"/>
      <w:outlineLvl w:val="1"/>
    </w:pPr>
    <w:rPr>
      <w:b/>
      <w:bCs/>
      <w:sz w:val="28"/>
      <w:szCs w:val="28"/>
    </w:rPr>
  </w:style>
  <w:style w:type="paragraph" w:styleId="4">
    <w:name w:val="heading 3"/>
    <w:basedOn w:val="1"/>
    <w:next w:val="1"/>
    <w:link w:val="27"/>
    <w:unhideWhenUsed/>
    <w:qFormat/>
    <w:uiPriority w:val="9"/>
    <w:pPr>
      <w:keepNext/>
      <w:keepLines/>
      <w:outlineLvl w:val="2"/>
    </w:pPr>
    <w:rPr>
      <w:b/>
      <w:bCs/>
      <w:sz w:val="28"/>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9"/>
    <w:semiHidden/>
    <w:unhideWhenUsed/>
    <w:qFormat/>
    <w:uiPriority w:val="99"/>
  </w:style>
  <w:style w:type="paragraph" w:styleId="6">
    <w:name w:val="Body Text"/>
    <w:basedOn w:val="1"/>
    <w:link w:val="21"/>
    <w:qFormat/>
    <w:uiPriority w:val="1"/>
    <w:rPr>
      <w:szCs w:val="24"/>
    </w:rPr>
  </w:style>
  <w:style w:type="paragraph" w:styleId="7">
    <w:name w:val="Body Text Indent"/>
    <w:basedOn w:val="1"/>
    <w:link w:val="31"/>
    <w:semiHidden/>
    <w:unhideWhenUsed/>
    <w:qFormat/>
    <w:uiPriority w:val="99"/>
    <w:pPr>
      <w:spacing w:after="120"/>
      <w:ind w:left="420" w:leftChars="200"/>
    </w:pPr>
  </w:style>
  <w:style w:type="paragraph" w:styleId="8">
    <w:name w:val="Plain Text"/>
    <w:basedOn w:val="1"/>
    <w:link w:val="25"/>
    <w:qFormat/>
    <w:uiPriority w:val="0"/>
    <w:pPr>
      <w:autoSpaceDE/>
      <w:autoSpaceDN/>
    </w:pPr>
    <w:rPr>
      <w:rFonts w:hAnsi="Courier New" w:cs="Times New Roman"/>
      <w:kern w:val="2"/>
      <w:sz w:val="21"/>
      <w:szCs w:val="20"/>
      <w:lang w:val="en-US" w:bidi="ar-SA"/>
    </w:rPr>
  </w:style>
  <w:style w:type="paragraph" w:styleId="9">
    <w:name w:val="Balloon Text"/>
    <w:basedOn w:val="1"/>
    <w:link w:val="23"/>
    <w:semiHidden/>
    <w:unhideWhenUsed/>
    <w:qFormat/>
    <w:uiPriority w:val="99"/>
    <w:rPr>
      <w:sz w:val="18"/>
      <w:szCs w:val="18"/>
    </w:rPr>
  </w:style>
  <w:style w:type="paragraph" w:styleId="10">
    <w:name w:val="footer"/>
    <w:basedOn w:val="1"/>
    <w:link w:val="20"/>
    <w:unhideWhenUsed/>
    <w:qFormat/>
    <w:uiPriority w:val="99"/>
    <w:pPr>
      <w:tabs>
        <w:tab w:val="center" w:pos="4153"/>
        <w:tab w:val="right" w:pos="8306"/>
      </w:tabs>
      <w:snapToGrid w:val="0"/>
    </w:pPr>
    <w:rPr>
      <w:sz w:val="18"/>
      <w:szCs w:val="18"/>
    </w:rPr>
  </w:style>
  <w:style w:type="paragraph" w:styleId="11">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autoSpaceDE/>
      <w:autoSpaceDN/>
      <w:spacing w:before="100" w:after="100"/>
    </w:pPr>
    <w:rPr>
      <w:rFonts w:cs="Times New Roman"/>
      <w:color w:val="000000"/>
      <w:szCs w:val="20"/>
      <w:lang w:val="en-US" w:bidi="ar-SA"/>
    </w:rPr>
  </w:style>
  <w:style w:type="paragraph" w:styleId="13">
    <w:name w:val="annotation subject"/>
    <w:basedOn w:val="5"/>
    <w:next w:val="5"/>
    <w:link w:val="30"/>
    <w:semiHidden/>
    <w:unhideWhenUsed/>
    <w:qFormat/>
    <w:uiPriority w:val="99"/>
    <w:rPr>
      <w:b/>
      <w:bCs/>
    </w:rPr>
  </w:style>
  <w:style w:type="paragraph" w:styleId="14">
    <w:name w:val="Body Text First Indent 2"/>
    <w:basedOn w:val="7"/>
    <w:unhideWhenUsed/>
    <w:qFormat/>
    <w:uiPriority w:val="99"/>
    <w:pPr>
      <w:ind w:left="0" w:leftChars="0" w:firstLine="420"/>
    </w:pPr>
    <w:rPr>
      <w:rFonts w:ascii="仿宋" w:hAnsi="仿宋" w:cs="仿宋"/>
    </w:rPr>
  </w:style>
  <w:style w:type="character" w:styleId="17">
    <w:name w:val="annotation reference"/>
    <w:basedOn w:val="16"/>
    <w:semiHidden/>
    <w:unhideWhenUsed/>
    <w:qFormat/>
    <w:uiPriority w:val="99"/>
    <w:rPr>
      <w:sz w:val="21"/>
      <w:szCs w:val="21"/>
    </w:rPr>
  </w:style>
  <w:style w:type="character" w:customStyle="1" w:styleId="18">
    <w:name w:val="标题 2 字符"/>
    <w:basedOn w:val="16"/>
    <w:link w:val="3"/>
    <w:qFormat/>
    <w:uiPriority w:val="9"/>
    <w:rPr>
      <w:rFonts w:ascii="宋体" w:hAnsi="宋体" w:eastAsia="宋体" w:cs="宋体"/>
      <w:b/>
      <w:bCs/>
      <w:kern w:val="0"/>
      <w:sz w:val="28"/>
      <w:szCs w:val="28"/>
      <w:lang w:val="zh-CN" w:bidi="zh-CN"/>
    </w:rPr>
  </w:style>
  <w:style w:type="character" w:customStyle="1" w:styleId="19">
    <w:name w:val="页眉 字符"/>
    <w:basedOn w:val="16"/>
    <w:link w:val="11"/>
    <w:qFormat/>
    <w:uiPriority w:val="99"/>
    <w:rPr>
      <w:sz w:val="18"/>
      <w:szCs w:val="18"/>
    </w:rPr>
  </w:style>
  <w:style w:type="character" w:customStyle="1" w:styleId="20">
    <w:name w:val="页脚 字符"/>
    <w:basedOn w:val="16"/>
    <w:link w:val="10"/>
    <w:qFormat/>
    <w:uiPriority w:val="99"/>
    <w:rPr>
      <w:sz w:val="18"/>
      <w:szCs w:val="18"/>
    </w:rPr>
  </w:style>
  <w:style w:type="character" w:customStyle="1" w:styleId="21">
    <w:name w:val="正文文本 字符"/>
    <w:basedOn w:val="16"/>
    <w:link w:val="6"/>
    <w:qFormat/>
    <w:uiPriority w:val="1"/>
    <w:rPr>
      <w:rFonts w:ascii="宋体" w:hAnsi="宋体" w:eastAsia="宋体" w:cs="宋体"/>
      <w:kern w:val="0"/>
      <w:sz w:val="24"/>
      <w:szCs w:val="24"/>
      <w:lang w:val="zh-CN" w:bidi="zh-CN"/>
    </w:rPr>
  </w:style>
  <w:style w:type="paragraph" w:styleId="22">
    <w:name w:val="List Paragraph"/>
    <w:basedOn w:val="1"/>
    <w:qFormat/>
    <w:uiPriority w:val="1"/>
    <w:pPr>
      <w:spacing w:before="1"/>
      <w:ind w:left="694" w:firstLine="525"/>
    </w:pPr>
  </w:style>
  <w:style w:type="character" w:customStyle="1" w:styleId="23">
    <w:name w:val="批注框文本 字符"/>
    <w:basedOn w:val="16"/>
    <w:link w:val="9"/>
    <w:semiHidden/>
    <w:qFormat/>
    <w:uiPriority w:val="99"/>
    <w:rPr>
      <w:rFonts w:ascii="宋体" w:hAnsi="宋体" w:eastAsia="宋体" w:cs="宋体"/>
      <w:kern w:val="0"/>
      <w:sz w:val="18"/>
      <w:szCs w:val="18"/>
      <w:lang w:val="zh-CN" w:bidi="zh-CN"/>
    </w:rPr>
  </w:style>
  <w:style w:type="character" w:customStyle="1" w:styleId="24">
    <w:name w:val="纯文本 字符"/>
    <w:basedOn w:val="16"/>
    <w:semiHidden/>
    <w:qFormat/>
    <w:uiPriority w:val="99"/>
    <w:rPr>
      <w:rFonts w:hAnsi="Courier New" w:cs="Courier New" w:asciiTheme="minorEastAsia"/>
      <w:kern w:val="0"/>
      <w:sz w:val="22"/>
      <w:lang w:val="zh-CN" w:bidi="zh-CN"/>
    </w:rPr>
  </w:style>
  <w:style w:type="character" w:customStyle="1" w:styleId="25">
    <w:name w:val="纯文本 字符1"/>
    <w:link w:val="8"/>
    <w:qFormat/>
    <w:uiPriority w:val="0"/>
    <w:rPr>
      <w:rFonts w:ascii="宋体" w:hAnsi="Courier New" w:eastAsia="宋体" w:cs="Times New Roman"/>
      <w:szCs w:val="20"/>
    </w:rPr>
  </w:style>
  <w:style w:type="character" w:customStyle="1" w:styleId="26">
    <w:name w:val="标题 1 字符"/>
    <w:basedOn w:val="16"/>
    <w:link w:val="2"/>
    <w:qFormat/>
    <w:uiPriority w:val="9"/>
    <w:rPr>
      <w:rFonts w:ascii="Times New Roman" w:hAnsi="Times New Roman" w:eastAsia="宋体" w:cs="宋体"/>
      <w:b/>
      <w:bCs/>
      <w:kern w:val="44"/>
      <w:sz w:val="28"/>
      <w:szCs w:val="44"/>
      <w:lang w:val="zh-CN" w:bidi="zh-CN"/>
    </w:rPr>
  </w:style>
  <w:style w:type="character" w:customStyle="1" w:styleId="27">
    <w:name w:val="标题 3 字符"/>
    <w:basedOn w:val="16"/>
    <w:link w:val="4"/>
    <w:qFormat/>
    <w:uiPriority w:val="9"/>
    <w:rPr>
      <w:rFonts w:ascii="Times New Roman" w:hAnsi="Times New Roman" w:eastAsia="宋体" w:cs="宋体"/>
      <w:b/>
      <w:bCs/>
      <w:kern w:val="0"/>
      <w:sz w:val="28"/>
      <w:szCs w:val="32"/>
      <w:lang w:val="zh-CN" w:bidi="zh-CN"/>
    </w:rPr>
  </w:style>
  <w:style w:type="paragraph" w:customStyle="1" w:styleId="28">
    <w:name w:val="Table Paragraph"/>
    <w:basedOn w:val="1"/>
    <w:qFormat/>
    <w:uiPriority w:val="1"/>
  </w:style>
  <w:style w:type="character" w:customStyle="1" w:styleId="29">
    <w:name w:val="批注文字 字符"/>
    <w:basedOn w:val="16"/>
    <w:link w:val="5"/>
    <w:semiHidden/>
    <w:qFormat/>
    <w:uiPriority w:val="99"/>
    <w:rPr>
      <w:rFonts w:ascii="宋体" w:hAnsi="宋体" w:cs="宋体"/>
      <w:sz w:val="22"/>
      <w:szCs w:val="22"/>
      <w:lang w:val="zh-CN" w:bidi="zh-CN"/>
    </w:rPr>
  </w:style>
  <w:style w:type="character" w:customStyle="1" w:styleId="30">
    <w:name w:val="批注主题 字符"/>
    <w:basedOn w:val="29"/>
    <w:link w:val="13"/>
    <w:semiHidden/>
    <w:qFormat/>
    <w:uiPriority w:val="99"/>
    <w:rPr>
      <w:rFonts w:ascii="宋体" w:hAnsi="宋体" w:cs="宋体"/>
      <w:b/>
      <w:bCs/>
      <w:sz w:val="22"/>
      <w:szCs w:val="22"/>
      <w:lang w:val="zh-CN" w:bidi="zh-CN"/>
    </w:rPr>
  </w:style>
  <w:style w:type="character" w:customStyle="1" w:styleId="31">
    <w:name w:val="正文文本缩进 字符"/>
    <w:basedOn w:val="16"/>
    <w:link w:val="7"/>
    <w:qFormat/>
    <w:uiPriority w:val="0"/>
    <w:rPr>
      <w:rFonts w:hint="eastAsia" w:ascii="等线" w:hAnsi="等线" w:eastAsia="等线" w:cs="Times New Roman"/>
      <w:kern w:val="2"/>
      <w:sz w:val="24"/>
      <w:szCs w:val="22"/>
    </w:rPr>
  </w:style>
  <w:style w:type="character" w:customStyle="1" w:styleId="32">
    <w:name w:val="正文文本首行缩进 2 字符"/>
    <w:basedOn w:val="31"/>
    <w:qFormat/>
    <w:uiPriority w:val="0"/>
    <w:rPr>
      <w:rFonts w:hint="eastAsia" w:ascii="等线" w:hAnsi="等线" w:eastAsia="等线" w:cs="Times New Roman"/>
      <w:kern w:val="2"/>
      <w:sz w:val="24"/>
      <w:szCs w:val="22"/>
    </w:rPr>
  </w:style>
  <w:style w:type="character" w:customStyle="1" w:styleId="33">
    <w:name w:val="font31"/>
    <w:basedOn w:val="16"/>
    <w:qFormat/>
    <w:uiPriority w:val="0"/>
    <w:rPr>
      <w:rFonts w:hint="eastAsia" w:ascii="宋体" w:hAnsi="宋体" w:eastAsia="宋体" w:cs="宋体"/>
      <w:color w:val="000000"/>
      <w:sz w:val="20"/>
      <w:szCs w:val="20"/>
      <w:u w:val="none"/>
    </w:rPr>
  </w:style>
  <w:style w:type="character" w:customStyle="1" w:styleId="34">
    <w:name w:val="font51"/>
    <w:basedOn w:val="16"/>
    <w:qFormat/>
    <w:uiPriority w:val="0"/>
    <w:rPr>
      <w:rFonts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1550</Words>
  <Characters>1564</Characters>
  <Lines>30</Lines>
  <Paragraphs>8</Paragraphs>
  <TotalTime>117</TotalTime>
  <ScaleCrop>false</ScaleCrop>
  <LinksUpToDate>false</LinksUpToDate>
  <CharactersWithSpaces>1564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2025-09-15T08:43:00Z</dcterms:created>
  <dc:creator>liaojf</dc:creator>
  <cp:lastModifiedBy>华伦-杨立敏</cp:lastModifiedBy>
  <cp:lastPrinted>2021-04-29T09:18:00Z</cp:lastPrinted>
  <dcterms:modified xsi:type="dcterms:W3CDTF">2025-10-14T07:10:57Z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34FD95B69D214FB6B90A29BA3C573119_13</vt:lpwstr>
  </property>
  <property fmtid="{D5CDD505-2E9C-101B-9397-08002B2CF9AE}" pid="4" name="KSOTemplateDocerSaveRecord">
    <vt:lpwstr>eyJoZGlkIjoiZjJlMTY5YjQ2NGMwMzBlMmQ2ODg2OGE5MDFhMDc3ZmUiLCJ1c2VySWQiOiIzMTQ1MzkzMzUifQ==</vt:lpwstr>
  </property>
</Properties>
</file>