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7BFFCDF">
      <w:pPr>
        <w:spacing w:line="360" w:lineRule="auto"/>
        <w:jc w:val="center"/>
        <w:rPr>
          <w:b/>
          <w:color w:val="auto"/>
          <w:sz w:val="36"/>
          <w:szCs w:val="36"/>
          <w:highlight w:val="none"/>
        </w:rPr>
      </w:pPr>
      <w:r>
        <w:rPr>
          <w:rFonts w:hint="eastAsia"/>
          <w:b/>
          <w:bCs/>
          <w:color w:val="auto"/>
          <w:sz w:val="36"/>
          <w:szCs w:val="36"/>
          <w:highlight w:val="none"/>
        </w:rPr>
        <w:t>环境化工过程强化动态监测与分析平台</w:t>
      </w:r>
      <w:r>
        <w:rPr>
          <w:b/>
          <w:color w:val="auto"/>
          <w:sz w:val="36"/>
          <w:szCs w:val="36"/>
          <w:highlight w:val="none"/>
        </w:rPr>
        <w:t>采购需求</w:t>
      </w:r>
    </w:p>
    <w:p w14:paraId="784CBD3A">
      <w:pPr>
        <w:spacing w:line="360" w:lineRule="auto"/>
        <w:rPr>
          <w:rFonts w:hint="eastAsia" w:ascii="宋体" w:hAnsi="宋体" w:cs="宋体"/>
          <w:color w:val="auto"/>
          <w:sz w:val="24"/>
          <w:highlight w:val="none"/>
        </w:rPr>
      </w:pPr>
    </w:p>
    <w:p w14:paraId="02EA8BED">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一、采购预算</w:t>
      </w:r>
    </w:p>
    <w:p w14:paraId="432EF1D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采购预算：人民</w:t>
      </w:r>
      <w:bookmarkStart w:id="0" w:name="_GoBack"/>
      <w:bookmarkEnd w:id="0"/>
      <w:r>
        <w:rPr>
          <w:rFonts w:hint="eastAsia" w:ascii="宋体" w:hAnsi="宋体" w:cs="宋体"/>
          <w:color w:val="auto"/>
          <w:sz w:val="24"/>
          <w:szCs w:val="24"/>
          <w:highlight w:val="none"/>
        </w:rPr>
        <w:t>币2,370,000.00元</w:t>
      </w:r>
    </w:p>
    <w:p w14:paraId="69EC6A91">
      <w:pPr>
        <w:spacing w:line="360" w:lineRule="auto"/>
        <w:ind w:firstLine="480" w:firstLineChars="200"/>
        <w:rPr>
          <w:rFonts w:hint="eastAsia" w:ascii="宋体" w:hAnsi="宋体" w:cs="宋体"/>
          <w:color w:val="auto"/>
          <w:sz w:val="24"/>
          <w:szCs w:val="24"/>
          <w:highlight w:val="none"/>
        </w:rPr>
      </w:pPr>
    </w:p>
    <w:p w14:paraId="2A305277">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二、项目概况</w:t>
      </w:r>
    </w:p>
    <w:p w14:paraId="25C42CD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佛山大学拟计划通过公开招标方式，确定符合要求的供应商，由其负责提供符合招标文件要求的设备仪器以满足佛山大学环境与化工学院科研工作的需要。本项目围绕环境化工过程强化动态监测与分析平台采购设备，如高性能腐蚀性气体吸附及微孔分析仪、催化材料在线分析平台、电化学石英晶体微分天平、多组分红外气体分析仪一批。</w:t>
      </w:r>
    </w:p>
    <w:p w14:paraId="5136F4A1">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本次需求调查拟分包情况</w:t>
      </w:r>
    </w:p>
    <w:tbl>
      <w:tblPr>
        <w:tblStyle w:val="40"/>
        <w:tblW w:w="524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7"/>
        <w:gridCol w:w="4358"/>
        <w:gridCol w:w="2060"/>
        <w:gridCol w:w="2893"/>
      </w:tblGrid>
      <w:tr w14:paraId="729DF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000" w:type="pct"/>
            <w:gridSpan w:val="4"/>
            <w:tcBorders>
              <w:top w:val="single" w:color="000000" w:sz="4" w:space="0"/>
              <w:left w:val="single" w:color="000000" w:sz="4" w:space="0"/>
              <w:bottom w:val="single" w:color="000000" w:sz="4" w:space="0"/>
              <w:right w:val="single" w:color="auto" w:sz="4" w:space="0"/>
            </w:tcBorders>
            <w:shd w:val="clear" w:color="auto" w:fill="auto"/>
            <w:noWrap/>
            <w:vAlign w:val="center"/>
          </w:tcPr>
          <w:p w14:paraId="11A7DF88">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进口仪器设备购置清单</w:t>
            </w:r>
          </w:p>
        </w:tc>
      </w:tr>
      <w:tr w14:paraId="12346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E3F90">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2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2E7F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设备名称</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ED8C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金额（万元）</w:t>
            </w:r>
          </w:p>
        </w:tc>
        <w:tc>
          <w:tcPr>
            <w:tcW w:w="1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45F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拟定采购包</w:t>
            </w:r>
          </w:p>
        </w:tc>
      </w:tr>
      <w:tr w14:paraId="5BE91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3B5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B49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电化学石英晶体微分天平</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3DF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1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C5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14:paraId="687F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156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344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多组分红外气体分析仪</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4C6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w:t>
            </w:r>
          </w:p>
        </w:tc>
        <w:tc>
          <w:tcPr>
            <w:tcW w:w="1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62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bl>
    <w:p w14:paraId="456233F0">
      <w:pPr>
        <w:spacing w:line="360" w:lineRule="auto"/>
        <w:ind w:firstLine="480" w:firstLineChars="200"/>
        <w:rPr>
          <w:rFonts w:hint="eastAsia" w:ascii="宋体" w:hAnsi="宋体" w:eastAsia="宋体" w:cs="宋体"/>
          <w:color w:val="auto"/>
          <w:sz w:val="24"/>
          <w:szCs w:val="24"/>
          <w:highlight w:val="none"/>
          <w:lang w:val="en-US" w:eastAsia="zh-CN"/>
        </w:rPr>
      </w:pPr>
    </w:p>
    <w:p w14:paraId="49A6D801">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三、设备采购清单及技术参数</w:t>
      </w:r>
    </w:p>
    <w:tbl>
      <w:tblPr>
        <w:tblStyle w:val="40"/>
        <w:tblW w:w="10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871"/>
        <w:gridCol w:w="1140"/>
        <w:gridCol w:w="6237"/>
      </w:tblGrid>
      <w:tr w14:paraId="7FCE4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2" w:type="dxa"/>
            <w:noWrap w:val="0"/>
            <w:vAlign w:val="center"/>
          </w:tcPr>
          <w:p w14:paraId="215882A3">
            <w:pPr>
              <w:kinsoku w:val="0"/>
              <w:overflowPunct w:val="0"/>
              <w:autoSpaceDE w:val="0"/>
              <w:autoSpaceDN w:val="0"/>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871" w:type="dxa"/>
            <w:noWrap w:val="0"/>
            <w:vAlign w:val="center"/>
          </w:tcPr>
          <w:p w14:paraId="7AD7480E">
            <w:pPr>
              <w:kinsoku w:val="0"/>
              <w:overflowPunct w:val="0"/>
              <w:autoSpaceDE w:val="0"/>
              <w:autoSpaceDN w:val="0"/>
              <w:jc w:val="center"/>
              <w:rPr>
                <w:rFonts w:hint="eastAsia" w:ascii="宋体" w:hAnsi="宋体" w:cs="宋体"/>
                <w:b/>
                <w:color w:val="auto"/>
                <w:szCs w:val="21"/>
                <w:highlight w:val="none"/>
              </w:rPr>
            </w:pPr>
            <w:r>
              <w:rPr>
                <w:rFonts w:hint="eastAsia" w:ascii="宋体" w:hAnsi="宋体" w:cs="宋体"/>
                <w:b/>
                <w:color w:val="auto"/>
                <w:szCs w:val="21"/>
                <w:highlight w:val="none"/>
              </w:rPr>
              <w:t>设备名称</w:t>
            </w:r>
          </w:p>
        </w:tc>
        <w:tc>
          <w:tcPr>
            <w:tcW w:w="1140" w:type="dxa"/>
            <w:noWrap w:val="0"/>
            <w:vAlign w:val="center"/>
          </w:tcPr>
          <w:p w14:paraId="7E0C8C7D">
            <w:pPr>
              <w:kinsoku w:val="0"/>
              <w:overflowPunct w:val="0"/>
              <w:autoSpaceDE w:val="0"/>
              <w:autoSpaceDN w:val="0"/>
              <w:jc w:val="center"/>
              <w:rPr>
                <w:rFonts w:hint="eastAsia" w:ascii="宋体" w:hAnsi="宋体" w:cs="宋体"/>
                <w:b/>
                <w:color w:val="auto"/>
                <w:szCs w:val="21"/>
                <w:highlight w:val="none"/>
              </w:rPr>
            </w:pPr>
            <w:r>
              <w:rPr>
                <w:rFonts w:hint="eastAsia" w:ascii="宋体" w:hAnsi="宋体" w:cs="宋体"/>
                <w:b/>
                <w:color w:val="auto"/>
                <w:szCs w:val="21"/>
                <w:highlight w:val="none"/>
              </w:rPr>
              <w:t>数量</w:t>
            </w:r>
          </w:p>
        </w:tc>
        <w:tc>
          <w:tcPr>
            <w:tcW w:w="6237" w:type="dxa"/>
            <w:noWrap w:val="0"/>
            <w:vAlign w:val="center"/>
          </w:tcPr>
          <w:p w14:paraId="3C7C884C">
            <w:pPr>
              <w:kinsoku w:val="0"/>
              <w:overflowPunct w:val="0"/>
              <w:autoSpaceDE w:val="0"/>
              <w:autoSpaceDN w:val="0"/>
              <w:jc w:val="center"/>
              <w:rPr>
                <w:rFonts w:hint="eastAsia" w:ascii="宋体" w:hAnsi="宋体" w:cs="宋体"/>
                <w:b/>
                <w:color w:val="auto"/>
                <w:szCs w:val="21"/>
                <w:highlight w:val="none"/>
              </w:rPr>
            </w:pPr>
            <w:r>
              <w:rPr>
                <w:rFonts w:hint="eastAsia" w:ascii="宋体" w:hAnsi="宋体" w:cs="宋体"/>
                <w:b/>
                <w:color w:val="auto"/>
                <w:szCs w:val="21"/>
                <w:highlight w:val="none"/>
              </w:rPr>
              <w:t>详细技术参数</w:t>
            </w:r>
          </w:p>
        </w:tc>
      </w:tr>
      <w:tr w14:paraId="27833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2" w:type="dxa"/>
            <w:noWrap w:val="0"/>
            <w:vAlign w:val="center"/>
          </w:tcPr>
          <w:p w14:paraId="7A3B9DCF">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1</w:t>
            </w:r>
          </w:p>
        </w:tc>
        <w:tc>
          <w:tcPr>
            <w:tcW w:w="1871" w:type="dxa"/>
            <w:noWrap w:val="0"/>
            <w:vAlign w:val="center"/>
          </w:tcPr>
          <w:p w14:paraId="29B86463">
            <w:pPr>
              <w:kinsoku w:val="0"/>
              <w:overflowPunct w:val="0"/>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电化学石英晶体微分天平</w:t>
            </w:r>
          </w:p>
        </w:tc>
        <w:tc>
          <w:tcPr>
            <w:tcW w:w="1140" w:type="dxa"/>
            <w:noWrap w:val="0"/>
            <w:vAlign w:val="center"/>
          </w:tcPr>
          <w:p w14:paraId="5413A8CC">
            <w:pPr>
              <w:kinsoku w:val="0"/>
              <w:overflowPunct w:val="0"/>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237" w:type="dxa"/>
            <w:noWrap w:val="0"/>
            <w:vAlign w:val="center"/>
          </w:tcPr>
          <w:p w14:paraId="47F27E79">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1电化学工作站</w:t>
            </w:r>
          </w:p>
          <w:p w14:paraId="7C49AE9E">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▲1.1时间分辨率：≤ 2 us （500k样品点/秒）</w:t>
            </w:r>
          </w:p>
          <w:p w14:paraId="4E382EE5">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1.2自动噪声滤波：可用</w:t>
            </w:r>
          </w:p>
          <w:p w14:paraId="7086473E">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1.3序列实验设置个数：＞18000</w:t>
            </w:r>
          </w:p>
          <w:p w14:paraId="32489F3E">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▲1.4缓存：≥ 4M</w:t>
            </w:r>
          </w:p>
          <w:p w14:paraId="63B7517E">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1.5电化学噪声：标配</w:t>
            </w:r>
          </w:p>
          <w:p w14:paraId="3C5F50A8">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1.6输出电压：≥ ±12V</w:t>
            </w:r>
          </w:p>
          <w:p w14:paraId="2EEFE2BC">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1.7最大输出电流：≥ ±2A</w:t>
            </w:r>
          </w:p>
          <w:p w14:paraId="2CDA8A9F">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1.8回转速度：≥ 8V/μs</w:t>
            </w:r>
          </w:p>
          <w:p w14:paraId="6EB6307E">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1.9升压时间：(-1.0V to +1.0V) &lt;350ns</w:t>
            </w:r>
          </w:p>
          <w:p w14:paraId="501B118E">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1.10施加电位范围：±10V</w:t>
            </w:r>
          </w:p>
          <w:p w14:paraId="50034E16">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1.11电位分辨率： ≤305nV（±10mV）、300μV（±10V）</w:t>
            </w:r>
          </w:p>
          <w:p w14:paraId="0C1B3D88">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1.12电位精度： ±0.2%量程</w:t>
            </w:r>
          </w:p>
          <w:p w14:paraId="5FD6295C">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▲1.13最大扫速：5000V/s</w:t>
            </w:r>
          </w:p>
          <w:p w14:paraId="0BA39B60">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▲1.14电位扫描方式：具有线性扫描及阶梯波扫描双重方式.</w:t>
            </w:r>
          </w:p>
          <w:p w14:paraId="1BAE6605">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▲1.15施加电流（无外加电流放大器）：≥ ±2A</w:t>
            </w:r>
          </w:p>
          <w:p w14:paraId="2EFF99ED">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 xml:space="preserve">1.16全量程电流分辨率：1/32000 </w:t>
            </w:r>
          </w:p>
          <w:p w14:paraId="0C8BE1D6">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1.17电流精度：≤±0.2%量程</w:t>
            </w:r>
          </w:p>
          <w:p w14:paraId="472DB835">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1.18最大电流范围/分辨率：±2A/60uA</w:t>
            </w:r>
          </w:p>
          <w:p w14:paraId="432FBCFB">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▲1.19最小电流范围/分辨率：≤±4nA/120fA</w:t>
            </w:r>
          </w:p>
          <w:p w14:paraId="1961BE9A">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1.20频率范围：10uHz-1MHz</w:t>
            </w:r>
          </w:p>
          <w:p w14:paraId="17D1CC9C">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1.21最小交流电压：≤ 0.1mV</w:t>
            </w:r>
          </w:p>
          <w:p w14:paraId="26E74D79">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▲1.22 阻抗测试精度：≤0.3%，0.3°</w:t>
            </w:r>
          </w:p>
          <w:p w14:paraId="4EF7FE13">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1.23.软件：软件终身免费，可以随意装机，无密码狗等硬件限制。3独立腐蚀实验：电化学噪声，电偶腐蚀，循环极化，线性极化，塔菲尔，恒电位扫描，恒电流扫描，动电流扫描。</w:t>
            </w:r>
          </w:p>
          <w:p w14:paraId="7AC24C0C">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2. 石英晶体微分天平参数</w:t>
            </w:r>
          </w:p>
          <w:p w14:paraId="4E317E43">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▲2.1 基频率范围：5MHz-30MHz</w:t>
            </w:r>
          </w:p>
          <w:p w14:paraId="25A3ED62">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▲2.2 分辨：0.01Hz</w:t>
            </w:r>
          </w:p>
          <w:p w14:paraId="5CACA168">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2.3共振导纳范围： 1Ω-10kΩ (分辨率 0.01Ω)</w:t>
            </w:r>
          </w:p>
          <w:p w14:paraId="70AA1A9F">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2.4Δf模拟输出：±10V</w:t>
            </w:r>
          </w:p>
          <w:p w14:paraId="1525BF55">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 xml:space="preserve">2.5 ΔR模拟量输出：±10V </w:t>
            </w:r>
          </w:p>
          <w:p w14:paraId="107EC298">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 xml:space="preserve">          范围：±10 Ω- ±10 kΩ</w:t>
            </w:r>
          </w:p>
          <w:p w14:paraId="5D66764D">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2.6 模拟量输入：2通道，全量程：±3V/6V/12V(14位)</w:t>
            </w:r>
          </w:p>
          <w:p w14:paraId="4A9B96E2">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 xml:space="preserve">     控制时间：10毫秒/20毫秒/100毫秒/1秒/10秒</w:t>
            </w:r>
          </w:p>
          <w:p w14:paraId="1096B01E">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 xml:space="preserve">2.7石英晶体晶振片：钛基底 镀黄金 </w:t>
            </w:r>
          </w:p>
          <w:p w14:paraId="5D5D7756">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 xml:space="preserve">               电极面积： 0.2²cm</w:t>
            </w:r>
          </w:p>
          <w:p w14:paraId="47D32B35">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2.8电极厚度：  Pt～100nm</w:t>
            </w:r>
          </w:p>
          <w:p w14:paraId="3AEDFC96">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2.9 同时测试晶振片频率和电阻或者电导的频率特征</w:t>
            </w:r>
          </w:p>
          <w:p w14:paraId="2446D294">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2.10 软件：通过托通道电化学工作站软件同步控制及数据采集，完成附加 QCA测量的常规电化学实验。</w:t>
            </w:r>
          </w:p>
          <w:p w14:paraId="10163A9B">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3.配置：</w:t>
            </w:r>
          </w:p>
          <w:p w14:paraId="340BD67D">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3.1 电化学工作站               1台</w:t>
            </w:r>
          </w:p>
          <w:p w14:paraId="5B96C143">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3.2 石英晶体微分天平            1台</w:t>
            </w:r>
          </w:p>
          <w:p w14:paraId="79A63FC7">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3.3原位电解池                 1个</w:t>
            </w:r>
          </w:p>
          <w:p w14:paraId="1AF03C5E">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3.4 铂晶振片                  1套</w:t>
            </w:r>
            <w:r>
              <w:rPr>
                <w:rFonts w:hint="eastAsia" w:ascii="宋体" w:hAnsi="宋体" w:cs="宋体"/>
                <w:color w:val="auto"/>
                <w:szCs w:val="21"/>
                <w:highlight w:val="none"/>
              </w:rPr>
              <w:tab/>
            </w:r>
          </w:p>
          <w:p w14:paraId="45BC3BB5">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3.5 数据连接线                1套</w:t>
            </w:r>
          </w:p>
          <w:p w14:paraId="1F56810D">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3.6  软件                     1套</w:t>
            </w:r>
          </w:p>
          <w:p w14:paraId="5B6A82F6">
            <w:pPr>
              <w:tabs>
                <w:tab w:val="left" w:pos="681"/>
              </w:tabs>
              <w:wordWrap w:val="0"/>
              <w:jc w:val="left"/>
              <w:rPr>
                <w:rFonts w:hint="eastAsia" w:ascii="宋体" w:hAnsi="宋体" w:cs="宋体"/>
                <w:color w:val="auto"/>
                <w:szCs w:val="21"/>
                <w:highlight w:val="none"/>
              </w:rPr>
            </w:pPr>
            <w:r>
              <w:rPr>
                <w:rFonts w:hint="eastAsia" w:ascii="宋体" w:hAnsi="宋体" w:cs="宋体"/>
                <w:color w:val="auto"/>
                <w:szCs w:val="21"/>
                <w:highlight w:val="none"/>
              </w:rPr>
              <w:t>3.7  工作站                     1台</w:t>
            </w:r>
          </w:p>
        </w:tc>
      </w:tr>
      <w:tr w14:paraId="618B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772" w:type="dxa"/>
            <w:noWrap w:val="0"/>
            <w:vAlign w:val="center"/>
          </w:tcPr>
          <w:p w14:paraId="6F561677">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2</w:t>
            </w:r>
          </w:p>
        </w:tc>
        <w:tc>
          <w:tcPr>
            <w:tcW w:w="1871" w:type="dxa"/>
            <w:noWrap w:val="0"/>
            <w:vAlign w:val="center"/>
          </w:tcPr>
          <w:p w14:paraId="630F8383">
            <w:pPr>
              <w:kinsoku w:val="0"/>
              <w:overflowPunct w:val="0"/>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多组分红外气体分析仪</w:t>
            </w:r>
          </w:p>
        </w:tc>
        <w:tc>
          <w:tcPr>
            <w:tcW w:w="1140" w:type="dxa"/>
            <w:noWrap w:val="0"/>
            <w:vAlign w:val="center"/>
          </w:tcPr>
          <w:p w14:paraId="6DFFF837">
            <w:pPr>
              <w:kinsoku w:val="0"/>
              <w:overflowPunct w:val="0"/>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237" w:type="dxa"/>
            <w:noWrap w:val="0"/>
            <w:vAlign w:val="center"/>
          </w:tcPr>
          <w:p w14:paraId="33D36D50">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1.适用法规：</w:t>
            </w:r>
          </w:p>
          <w:p w14:paraId="06A9B068">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GB13271-2014《锅炉大气污染物排放标准》</w:t>
            </w:r>
          </w:p>
          <w:p w14:paraId="3BCB23D3">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HJ629-2011《固定污染源废气二氧化硫的测定非分散红外吸收法》</w:t>
            </w:r>
          </w:p>
          <w:p w14:paraId="1E3645CA">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HJ692-2014《固定污染源废气氮氧化物的测定 非分散红外吸收法》</w:t>
            </w:r>
          </w:p>
          <w:p w14:paraId="0B336A86">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HJ/T44-1999《固定污染源排气中一氧化碳的测定非分散红外吸收法》</w:t>
            </w:r>
          </w:p>
          <w:p w14:paraId="4EFFFC79">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GB18485-2014《生活垃圾焚烧污染控制标准》</w:t>
            </w:r>
          </w:p>
          <w:p w14:paraId="7D328685">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JJG968-2002《烟气分析仪》</w:t>
            </w:r>
          </w:p>
          <w:p w14:paraId="0A3102F1">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HJ/T397-2007《固定源废气监测技术规范》</w:t>
            </w:r>
          </w:p>
          <w:p w14:paraId="7512EA09">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2.仪器结构：</w:t>
            </w:r>
          </w:p>
          <w:p w14:paraId="0A4A823C">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2.1零点漂移：±2%/30天，量程漂移：±2%/30天</w:t>
            </w:r>
          </w:p>
          <w:p w14:paraId="7057824F">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2.2线性：±1%满量程</w:t>
            </w:r>
          </w:p>
          <w:p w14:paraId="2478B784">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2.3检出限：＜0.1ppm（CO2：＜0.1%）</w:t>
            </w:r>
          </w:p>
          <w:p w14:paraId="731AEE4F">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2.4响应时间：1分钟，可编辑</w:t>
            </w:r>
          </w:p>
          <w:p w14:paraId="7A3231A2">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2.5显示及控制：7”TFT LCD彩色触摸屏，分辨率800RGB×4480</w:t>
            </w:r>
          </w:p>
          <w:p w14:paraId="0D4944AA">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2.6数据存储：6000组数据，所有数据可以USB导出保存</w:t>
            </w:r>
          </w:p>
          <w:p w14:paraId="226315A0">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▲2.7通过带有气体过滤的非分散红外法进行测量(NDIR-GFC)，采样流速：0.4 l/min，具备异常报警</w:t>
            </w:r>
          </w:p>
          <w:p w14:paraId="0A35F2B9">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2.8可连接智能手机（IOS系统或Android系统）、电脑用软件操作仪器。</w:t>
            </w:r>
          </w:p>
          <w:p w14:paraId="53964187">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▲2.9防护等级：内置减震器以确保测量单元在使用过程中稳定运行，IP 44级别防护，防止水从任何方位飞溅。</w:t>
            </w:r>
          </w:p>
          <w:p w14:paraId="17E99161">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▲2.10仪器预热时间：≤30分钟</w:t>
            </w:r>
          </w:p>
          <w:p w14:paraId="05A23C64">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▲2.11重量：主机不大于15kg</w:t>
            </w:r>
          </w:p>
          <w:p w14:paraId="3583397C">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3.外置预处理器：</w:t>
            </w:r>
          </w:p>
          <w:p w14:paraId="758467C9">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3.1预处理器为全封闭帕尔贴制冷，将现有预处理装置的＋(2～4)℃干燥露点温度修正为0～-5℃。</w:t>
            </w:r>
          </w:p>
          <w:p w14:paraId="64964142">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3.2采用伞型内进气口设计，低温传感器位置悬挂于低温干燥室气体出口处，低温干燥室内增加“导流隔板”及锥形导流底。</w:t>
            </w:r>
          </w:p>
          <w:p w14:paraId="7E3984DE">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全加热探针具备可与“外骨”同体加热的内嵌式过滤器，“外骨”后端增加三通。</w:t>
            </w:r>
          </w:p>
          <w:p w14:paraId="511AA1D8">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4.1质量保证期三年</w:t>
            </w:r>
          </w:p>
          <w:p w14:paraId="080DE0F4">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5.技术参数指标</w:t>
            </w:r>
          </w:p>
          <w:p w14:paraId="450CF45D">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5.1 O2氧化锆:0-10.0%vol，分辨率0.01%，精度：±0.2%读数</w:t>
            </w:r>
          </w:p>
          <w:p w14:paraId="5E27BFA9">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▲5.2 NO红外NDIR作为NOx（通过内置NOx催化转化炉符合环保部测试要求）:0-2500ppm，分辨率0.01ppm，精度：±2%FS</w:t>
            </w:r>
          </w:p>
          <w:p w14:paraId="67748608">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5.3 SO2红外NDIR: 0-3000ppm，分辨率0.01ppm，精度：±2%FS</w:t>
            </w:r>
          </w:p>
          <w:p w14:paraId="167BB787">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5.4 CO2红外NDIR:0-30.0%vol，分辨率0.01%，精度：±2%FS</w:t>
            </w:r>
          </w:p>
          <w:p w14:paraId="2D025A7B">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5.5 CO红外NDIR:0-2% ppm，分辨率0.01ppm，精度：±2%FS</w:t>
            </w:r>
          </w:p>
          <w:p w14:paraId="33489BAA">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5.6 CH4红外NDIR: 0-2%，分辨率0.01ppm，精度：±2%FS</w:t>
            </w:r>
          </w:p>
          <w:p w14:paraId="39A0C9E9">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5.7 N2O红外NDIR:0-500ppm，分辨率0.01ppm，精度：±2%FS</w:t>
            </w:r>
          </w:p>
          <w:p w14:paraId="4EDEE1A0">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5.8 H2O 红外：0-2%  分辨率0.01ppm</w:t>
            </w:r>
          </w:p>
          <w:p w14:paraId="599BABFB">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5.9 H2  热导0-4%, 分辨率≤±0.5F.S，精度≤±1F.S</w:t>
            </w:r>
          </w:p>
          <w:p w14:paraId="0421886A">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5.10 数据存储和处理：i3-14100，16G/512G SSD</w:t>
            </w:r>
          </w:p>
          <w:p w14:paraId="68FD00EA">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6.配置清单：</w:t>
            </w:r>
          </w:p>
          <w:p w14:paraId="1A295694">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主机1台：含以上分析参量参数和功能要求。</w:t>
            </w:r>
          </w:p>
          <w:p w14:paraId="62CBD83D">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加热手柄1个（内含可加热过滤器）。</w:t>
            </w:r>
          </w:p>
          <w:p w14:paraId="27694775">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加热管线1根。</w:t>
            </w:r>
          </w:p>
          <w:p w14:paraId="50785A23">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长度1米耐温600℃采样探管1根。</w:t>
            </w:r>
          </w:p>
          <w:p w14:paraId="1ADF00EA">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外置预处理器1个</w:t>
            </w:r>
          </w:p>
          <w:p w14:paraId="435E980B">
            <w:pPr>
              <w:tabs>
                <w:tab w:val="left" w:leader="dot" w:pos="3969"/>
              </w:tabs>
              <w:wordWrap w:val="0"/>
              <w:spacing w:line="32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H2检测盒1个</w:t>
            </w:r>
          </w:p>
        </w:tc>
      </w:tr>
    </w:tbl>
    <w:p w14:paraId="0766C8FF">
      <w:pPr>
        <w:spacing w:line="360" w:lineRule="auto"/>
        <w:rPr>
          <w:rFonts w:hint="eastAsia" w:ascii="宋体" w:hAnsi="宋体" w:cs="宋体"/>
          <w:b/>
          <w:bCs/>
          <w:color w:val="auto"/>
          <w:sz w:val="24"/>
          <w:szCs w:val="24"/>
          <w:highlight w:val="none"/>
        </w:rPr>
      </w:pPr>
    </w:p>
    <w:p w14:paraId="623441AC">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四、项目完工期</w:t>
      </w:r>
    </w:p>
    <w:tbl>
      <w:tblPr>
        <w:tblStyle w:val="40"/>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3066"/>
        <w:gridCol w:w="6130"/>
      </w:tblGrid>
      <w:tr w14:paraId="5CAD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83" w:type="dxa"/>
            <w:noWrap w:val="0"/>
            <w:vAlign w:val="center"/>
          </w:tcPr>
          <w:p w14:paraId="12311028">
            <w:pPr>
              <w:kinsoku w:val="0"/>
              <w:overflowPunct w:val="0"/>
              <w:autoSpaceDE w:val="0"/>
              <w:autoSpaceDN w:val="0"/>
              <w:spacing w:line="312"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3066" w:type="dxa"/>
            <w:noWrap w:val="0"/>
            <w:vAlign w:val="center"/>
          </w:tcPr>
          <w:p w14:paraId="60270207">
            <w:pPr>
              <w:kinsoku w:val="0"/>
              <w:overflowPunct w:val="0"/>
              <w:autoSpaceDE w:val="0"/>
              <w:autoSpaceDN w:val="0"/>
              <w:spacing w:line="312"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设备名称</w:t>
            </w:r>
          </w:p>
        </w:tc>
        <w:tc>
          <w:tcPr>
            <w:tcW w:w="6130" w:type="dxa"/>
            <w:noWrap w:val="0"/>
            <w:vAlign w:val="center"/>
          </w:tcPr>
          <w:p w14:paraId="44059588">
            <w:pPr>
              <w:kinsoku w:val="0"/>
              <w:overflowPunct w:val="0"/>
              <w:autoSpaceDE w:val="0"/>
              <w:autoSpaceDN w:val="0"/>
              <w:spacing w:line="312"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项目完工期</w:t>
            </w:r>
          </w:p>
        </w:tc>
      </w:tr>
      <w:tr w14:paraId="3931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83" w:type="dxa"/>
            <w:noWrap w:val="0"/>
            <w:vAlign w:val="center"/>
          </w:tcPr>
          <w:p w14:paraId="5336C7D5">
            <w:pPr>
              <w:widowControl/>
              <w:spacing w:line="312" w:lineRule="auto"/>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1</w:t>
            </w:r>
          </w:p>
        </w:tc>
        <w:tc>
          <w:tcPr>
            <w:tcW w:w="3066" w:type="dxa"/>
            <w:noWrap w:val="0"/>
            <w:vAlign w:val="center"/>
          </w:tcPr>
          <w:p w14:paraId="403A4BBF">
            <w:pPr>
              <w:kinsoku w:val="0"/>
              <w:overflowPunct w:val="0"/>
              <w:autoSpaceDE w:val="0"/>
              <w:autoSpaceDN w:val="0"/>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电化学石英晶体微分天平</w:t>
            </w:r>
          </w:p>
        </w:tc>
        <w:tc>
          <w:tcPr>
            <w:tcW w:w="6130" w:type="dxa"/>
            <w:noWrap w:val="0"/>
            <w:vAlign w:val="center"/>
          </w:tcPr>
          <w:p w14:paraId="253BA8D5">
            <w:pPr>
              <w:tabs>
                <w:tab w:val="left" w:pos="681"/>
              </w:tabs>
              <w:wordWrap w:val="0"/>
              <w:spacing w:line="312" w:lineRule="auto"/>
              <w:jc w:val="left"/>
              <w:rPr>
                <w:rFonts w:hint="eastAsia" w:ascii="宋体" w:hAnsi="宋体" w:cs="宋体"/>
                <w:color w:val="auto"/>
                <w:szCs w:val="21"/>
                <w:highlight w:val="none"/>
              </w:rPr>
            </w:pPr>
            <w:r>
              <w:rPr>
                <w:rFonts w:hint="eastAsia" w:ascii="宋体" w:hAnsi="宋体" w:cs="宋体"/>
                <w:color w:val="auto"/>
                <w:szCs w:val="21"/>
                <w:highlight w:val="none"/>
              </w:rPr>
              <w:t>合同签订生效之日起</w:t>
            </w:r>
            <w:r>
              <w:rPr>
                <w:rFonts w:hint="eastAsia" w:ascii="宋体" w:hAnsi="宋体" w:cs="宋体"/>
                <w:color w:val="auto"/>
                <w:szCs w:val="21"/>
                <w:highlight w:val="none"/>
                <w:u w:val="single"/>
              </w:rPr>
              <w:t xml:space="preserve"> 150 </w:t>
            </w:r>
            <w:r>
              <w:rPr>
                <w:rFonts w:hint="eastAsia" w:ascii="宋体" w:hAnsi="宋体" w:cs="宋体"/>
                <w:color w:val="auto"/>
                <w:szCs w:val="21"/>
                <w:highlight w:val="none"/>
              </w:rPr>
              <w:t>个日历天内完成整个项目的供货、安装、调试、验收合格并交付使用。</w:t>
            </w:r>
          </w:p>
        </w:tc>
      </w:tr>
      <w:tr w14:paraId="05E4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83" w:type="dxa"/>
            <w:noWrap w:val="0"/>
            <w:vAlign w:val="center"/>
          </w:tcPr>
          <w:p w14:paraId="5180232F">
            <w:pPr>
              <w:widowControl/>
              <w:spacing w:line="312" w:lineRule="auto"/>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2</w:t>
            </w:r>
          </w:p>
        </w:tc>
        <w:tc>
          <w:tcPr>
            <w:tcW w:w="3066" w:type="dxa"/>
            <w:noWrap w:val="0"/>
            <w:vAlign w:val="center"/>
          </w:tcPr>
          <w:p w14:paraId="541E535F">
            <w:pPr>
              <w:kinsoku w:val="0"/>
              <w:overflowPunct w:val="0"/>
              <w:autoSpaceDE w:val="0"/>
              <w:autoSpaceDN w:val="0"/>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多组分红外气体分析仪</w:t>
            </w:r>
          </w:p>
        </w:tc>
        <w:tc>
          <w:tcPr>
            <w:tcW w:w="6130" w:type="dxa"/>
            <w:noWrap w:val="0"/>
            <w:vAlign w:val="center"/>
          </w:tcPr>
          <w:p w14:paraId="4FE23AAA">
            <w:pPr>
              <w:tabs>
                <w:tab w:val="left" w:leader="dot" w:pos="3969"/>
              </w:tabs>
              <w:wordWrap w:val="0"/>
              <w:spacing w:line="312" w:lineRule="auto"/>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合同签订生效之日起</w:t>
            </w:r>
            <w:r>
              <w:rPr>
                <w:rFonts w:hint="eastAsia" w:ascii="宋体" w:hAnsi="宋体" w:cs="宋体"/>
                <w:snapToGrid w:val="0"/>
                <w:color w:val="auto"/>
                <w:szCs w:val="21"/>
                <w:highlight w:val="none"/>
                <w:u w:val="single"/>
              </w:rPr>
              <w:t xml:space="preserve"> 100 </w:t>
            </w:r>
            <w:r>
              <w:rPr>
                <w:rFonts w:hint="eastAsia" w:ascii="宋体" w:hAnsi="宋体" w:cs="宋体"/>
                <w:snapToGrid w:val="0"/>
                <w:color w:val="auto"/>
                <w:szCs w:val="21"/>
                <w:highlight w:val="none"/>
              </w:rPr>
              <w:t>个日历天内完成整个项目的供货、安装、调试、验收合格并交付使用。</w:t>
            </w:r>
          </w:p>
        </w:tc>
      </w:tr>
    </w:tbl>
    <w:p w14:paraId="61C41737">
      <w:pPr>
        <w:spacing w:line="360" w:lineRule="auto"/>
        <w:ind w:firstLine="480"/>
        <w:rPr>
          <w:rFonts w:hint="eastAsia" w:ascii="宋体" w:hAnsi="宋体" w:cs="宋体"/>
          <w:color w:val="auto"/>
          <w:sz w:val="24"/>
          <w:szCs w:val="24"/>
          <w:highlight w:val="none"/>
        </w:rPr>
      </w:pPr>
    </w:p>
    <w:p w14:paraId="161342A2">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五、质量保证期</w:t>
      </w:r>
    </w:p>
    <w:tbl>
      <w:tblPr>
        <w:tblStyle w:val="40"/>
        <w:tblW w:w="10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3078"/>
        <w:gridCol w:w="6155"/>
      </w:tblGrid>
      <w:tr w14:paraId="2A28F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86" w:type="dxa"/>
            <w:noWrap w:val="0"/>
            <w:vAlign w:val="center"/>
          </w:tcPr>
          <w:p w14:paraId="28B2879A">
            <w:pPr>
              <w:kinsoku w:val="0"/>
              <w:overflowPunct w:val="0"/>
              <w:autoSpaceDE w:val="0"/>
              <w:autoSpaceDN w:val="0"/>
              <w:spacing w:line="312"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3078" w:type="dxa"/>
            <w:noWrap w:val="0"/>
            <w:vAlign w:val="center"/>
          </w:tcPr>
          <w:p w14:paraId="23CA2CC8">
            <w:pPr>
              <w:kinsoku w:val="0"/>
              <w:overflowPunct w:val="0"/>
              <w:autoSpaceDE w:val="0"/>
              <w:autoSpaceDN w:val="0"/>
              <w:spacing w:line="312"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设备名称</w:t>
            </w:r>
          </w:p>
        </w:tc>
        <w:tc>
          <w:tcPr>
            <w:tcW w:w="6155" w:type="dxa"/>
            <w:noWrap w:val="0"/>
            <w:vAlign w:val="center"/>
          </w:tcPr>
          <w:p w14:paraId="35073E67">
            <w:pPr>
              <w:kinsoku w:val="0"/>
              <w:overflowPunct w:val="0"/>
              <w:autoSpaceDE w:val="0"/>
              <w:autoSpaceDN w:val="0"/>
              <w:spacing w:line="312"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项目完工期</w:t>
            </w:r>
          </w:p>
        </w:tc>
      </w:tr>
      <w:tr w14:paraId="0818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86" w:type="dxa"/>
            <w:noWrap w:val="0"/>
            <w:vAlign w:val="center"/>
          </w:tcPr>
          <w:p w14:paraId="627FAC4E">
            <w:pPr>
              <w:widowControl/>
              <w:spacing w:line="312" w:lineRule="auto"/>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1</w:t>
            </w:r>
          </w:p>
        </w:tc>
        <w:tc>
          <w:tcPr>
            <w:tcW w:w="3078" w:type="dxa"/>
            <w:noWrap w:val="0"/>
            <w:vAlign w:val="center"/>
          </w:tcPr>
          <w:p w14:paraId="225E3B6D">
            <w:pPr>
              <w:kinsoku w:val="0"/>
              <w:overflowPunct w:val="0"/>
              <w:autoSpaceDE w:val="0"/>
              <w:autoSpaceDN w:val="0"/>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电化学石英晶体微分天平</w:t>
            </w:r>
          </w:p>
        </w:tc>
        <w:tc>
          <w:tcPr>
            <w:tcW w:w="6155" w:type="dxa"/>
            <w:noWrap w:val="0"/>
            <w:vAlign w:val="center"/>
          </w:tcPr>
          <w:p w14:paraId="53C39E10">
            <w:pPr>
              <w:tabs>
                <w:tab w:val="left" w:pos="681"/>
              </w:tabs>
              <w:wordWrap w:val="0"/>
              <w:spacing w:line="312" w:lineRule="auto"/>
              <w:jc w:val="left"/>
              <w:rPr>
                <w:rFonts w:hint="eastAsia" w:ascii="宋体" w:hAnsi="宋体" w:cs="宋体"/>
                <w:color w:val="auto"/>
                <w:szCs w:val="21"/>
                <w:highlight w:val="none"/>
              </w:rPr>
            </w:pPr>
            <w:r>
              <w:rPr>
                <w:rFonts w:hint="eastAsia" w:ascii="宋体" w:hAnsi="宋体" w:cs="宋体"/>
                <w:color w:val="auto"/>
                <w:szCs w:val="21"/>
                <w:highlight w:val="none"/>
              </w:rPr>
              <w:t>自项目验收合格交付之日起</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年。</w:t>
            </w:r>
          </w:p>
        </w:tc>
      </w:tr>
      <w:tr w14:paraId="6F3A4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86" w:type="dxa"/>
            <w:noWrap w:val="0"/>
            <w:vAlign w:val="center"/>
          </w:tcPr>
          <w:p w14:paraId="4BB2B3CA">
            <w:pPr>
              <w:widowControl/>
              <w:spacing w:line="312" w:lineRule="auto"/>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2</w:t>
            </w:r>
          </w:p>
        </w:tc>
        <w:tc>
          <w:tcPr>
            <w:tcW w:w="3078" w:type="dxa"/>
            <w:noWrap w:val="0"/>
            <w:vAlign w:val="center"/>
          </w:tcPr>
          <w:p w14:paraId="208DDB8A">
            <w:pPr>
              <w:kinsoku w:val="0"/>
              <w:overflowPunct w:val="0"/>
              <w:autoSpaceDE w:val="0"/>
              <w:autoSpaceDN w:val="0"/>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多组分红外气体分析仪</w:t>
            </w:r>
          </w:p>
        </w:tc>
        <w:tc>
          <w:tcPr>
            <w:tcW w:w="6155" w:type="dxa"/>
            <w:noWrap w:val="0"/>
            <w:vAlign w:val="center"/>
          </w:tcPr>
          <w:p w14:paraId="757D7FFE">
            <w:pPr>
              <w:tabs>
                <w:tab w:val="left" w:leader="dot" w:pos="3969"/>
              </w:tabs>
              <w:wordWrap w:val="0"/>
              <w:spacing w:line="312" w:lineRule="auto"/>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自项目验收合格交付之日起</w:t>
            </w:r>
            <w:r>
              <w:rPr>
                <w:rFonts w:hint="eastAsia" w:ascii="宋体" w:hAnsi="宋体" w:cs="宋体"/>
                <w:snapToGrid w:val="0"/>
                <w:color w:val="auto"/>
                <w:szCs w:val="21"/>
                <w:highlight w:val="none"/>
                <w:u w:val="single"/>
              </w:rPr>
              <w:t xml:space="preserve"> 3 </w:t>
            </w:r>
            <w:r>
              <w:rPr>
                <w:rFonts w:hint="eastAsia" w:ascii="宋体" w:hAnsi="宋体" w:cs="宋体"/>
                <w:snapToGrid w:val="0"/>
                <w:color w:val="auto"/>
                <w:szCs w:val="21"/>
                <w:highlight w:val="none"/>
              </w:rPr>
              <w:t>年。</w:t>
            </w:r>
          </w:p>
        </w:tc>
      </w:tr>
    </w:tbl>
    <w:p w14:paraId="0A858A2B">
      <w:pPr>
        <w:spacing w:line="360" w:lineRule="auto"/>
        <w:ind w:firstLine="480"/>
        <w:rPr>
          <w:rFonts w:hint="eastAsia" w:ascii="宋体" w:hAnsi="宋体" w:eastAsia="宋体" w:cs="宋体"/>
          <w:color w:val="auto"/>
          <w:sz w:val="24"/>
          <w:szCs w:val="24"/>
          <w:highlight w:val="none"/>
        </w:rPr>
      </w:pPr>
    </w:p>
    <w:p w14:paraId="58223047">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六、商务条款要求</w:t>
      </w:r>
    </w:p>
    <w:p w14:paraId="0C13D8D5">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en-US" w:eastAsia="zh-CN"/>
        </w:rPr>
        <w:t>）进口项目（采购包3（电化学石英晶体微分天平）、采购包4（多组分红外气体分析仪））</w:t>
      </w:r>
    </w:p>
    <w:tbl>
      <w:tblPr>
        <w:tblStyle w:val="40"/>
        <w:tblW w:w="989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58"/>
        <w:gridCol w:w="7938"/>
      </w:tblGrid>
      <w:tr w14:paraId="27A590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58" w:type="dxa"/>
          </w:tcPr>
          <w:p w14:paraId="4BBC975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标的提供的时间</w:t>
            </w:r>
          </w:p>
        </w:tc>
        <w:tc>
          <w:tcPr>
            <w:tcW w:w="7938" w:type="dxa"/>
          </w:tcPr>
          <w:p w14:paraId="5632808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★自合同签订生效之日起</w:t>
            </w:r>
            <w:r>
              <w:rPr>
                <w:rFonts w:hint="eastAsia" w:ascii="宋体" w:hAnsi="宋体" w:eastAsia="宋体" w:cs="宋体"/>
                <w:color w:val="auto"/>
                <w:sz w:val="21"/>
                <w:szCs w:val="21"/>
                <w:highlight w:val="none"/>
                <w:lang w:val="en-US" w:eastAsia="zh-CN"/>
              </w:rPr>
              <w:t>_____</w:t>
            </w:r>
            <w:r>
              <w:rPr>
                <w:rFonts w:hint="eastAsia" w:ascii="宋体" w:hAnsi="宋体" w:eastAsia="宋体" w:cs="宋体"/>
                <w:color w:val="auto"/>
                <w:sz w:val="21"/>
                <w:szCs w:val="21"/>
                <w:highlight w:val="none"/>
              </w:rPr>
              <w:t>个日历天内完成供货、安装、调试、验收合格并交付使用。</w:t>
            </w:r>
          </w:p>
        </w:tc>
      </w:tr>
      <w:tr w14:paraId="00750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58" w:type="dxa"/>
          </w:tcPr>
          <w:p w14:paraId="34B7F4A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标的提供的地点</w:t>
            </w:r>
          </w:p>
        </w:tc>
        <w:tc>
          <w:tcPr>
            <w:tcW w:w="7938" w:type="dxa"/>
          </w:tcPr>
          <w:p w14:paraId="063CC37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★采购人指定地点</w:t>
            </w:r>
          </w:p>
        </w:tc>
      </w:tr>
      <w:tr w14:paraId="1DDE7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958" w:type="dxa"/>
          </w:tcPr>
          <w:p w14:paraId="055BB56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7938" w:type="dxa"/>
          </w:tcPr>
          <w:p w14:paraId="07F97236">
            <w:pPr>
              <w:rPr>
                <w:rFonts w:hint="default" w:ascii="Calibri" w:hAnsi="Calibri" w:eastAsia="宋体" w:cs="Times New Roman"/>
                <w:color w:val="auto"/>
                <w:szCs w:val="22"/>
                <w:highlight w:val="none"/>
                <w:lang w:val="en-US" w:eastAsia="zh-CN"/>
              </w:rPr>
            </w:pPr>
            <w:r>
              <w:rPr>
                <w:rFonts w:hint="eastAsia" w:ascii="Calibri" w:hAnsi="Calibri" w:eastAsia="宋体" w:cs="Times New Roman"/>
                <w:color w:val="auto"/>
                <w:szCs w:val="22"/>
                <w:highlight w:val="none"/>
              </w:rPr>
              <w:t>1期：</w:t>
            </w:r>
            <w:r>
              <w:rPr>
                <w:rFonts w:hint="eastAsia" w:ascii="Calibri" w:hAnsi="Calibri" w:eastAsia="宋体" w:cs="Times New Roman"/>
                <w:color w:val="auto"/>
                <w:szCs w:val="22"/>
                <w:highlight w:val="none"/>
                <w:lang w:val="en-US" w:eastAsia="zh-CN"/>
              </w:rPr>
              <w:t>支付比例</w:t>
            </w:r>
            <w:r>
              <w:rPr>
                <w:rFonts w:hint="eastAsia" w:ascii="Calibri" w:hAnsi="Calibri" w:eastAsia="宋体" w:cs="Times New Roman"/>
                <w:color w:val="auto"/>
                <w:szCs w:val="22"/>
                <w:highlight w:val="none"/>
                <w:u w:val="single"/>
                <w:lang w:val="en-US" w:eastAsia="zh-CN"/>
              </w:rPr>
              <w:t xml:space="preserve"> 50 </w:t>
            </w:r>
            <w:r>
              <w:rPr>
                <w:rFonts w:hint="default" w:ascii="Calibri" w:hAnsi="Calibri" w:eastAsia="宋体" w:cs="Times New Roman"/>
                <w:color w:val="auto"/>
                <w:szCs w:val="22"/>
                <w:highlight w:val="none"/>
                <w:lang w:val="en-US" w:eastAsia="zh-CN"/>
              </w:rPr>
              <w:t>%</w:t>
            </w:r>
            <w:r>
              <w:rPr>
                <w:rFonts w:hint="eastAsia" w:ascii="Calibri" w:hAnsi="Calibri" w:eastAsia="宋体" w:cs="Times New Roman"/>
                <w:color w:val="auto"/>
                <w:szCs w:val="22"/>
                <w:highlight w:val="none"/>
                <w:lang w:val="en-US" w:eastAsia="zh-CN"/>
              </w:rPr>
              <w:t>，</w:t>
            </w:r>
            <w:r>
              <w:rPr>
                <w:rFonts w:hint="eastAsia" w:ascii="Calibri" w:hAnsi="Calibri" w:eastAsia="宋体" w:cs="Times New Roman"/>
                <w:color w:val="auto"/>
                <w:szCs w:val="22"/>
                <w:highlight w:val="none"/>
              </w:rPr>
              <w:t>★</w:t>
            </w:r>
            <w:r>
              <w:rPr>
                <w:rFonts w:hint="eastAsia" w:ascii="Calibri" w:hAnsi="Calibri" w:eastAsia="宋体" w:cs="Times New Roman"/>
                <w:color w:val="auto"/>
                <w:szCs w:val="22"/>
                <w:highlight w:val="none"/>
                <w:lang w:val="en-US" w:eastAsia="zh-CN"/>
              </w:rPr>
              <w:t>付款方式：</w:t>
            </w:r>
            <w:r>
              <w:rPr>
                <w:rFonts w:hint="eastAsia" w:ascii="Calibri" w:hAnsi="Calibri" w:eastAsia="宋体" w:cs="Times New Roman"/>
                <w:color w:val="auto"/>
                <w:szCs w:val="22"/>
                <w:highlight w:val="none"/>
              </w:rPr>
              <w:t>采购人在合同签订生效并收到中标人开具的正式发票后10个工作日内，</w:t>
            </w:r>
            <w:r>
              <w:rPr>
                <w:rFonts w:hint="eastAsia" w:ascii="Calibri" w:hAnsi="Calibri" w:eastAsia="宋体" w:cs="Times New Roman"/>
                <w:color w:val="auto"/>
                <w:szCs w:val="22"/>
                <w:highlight w:val="none"/>
                <w:lang w:eastAsia="zh-CN"/>
              </w:rPr>
              <w:t>采购人</w:t>
            </w:r>
            <w:r>
              <w:rPr>
                <w:rFonts w:hint="eastAsia" w:ascii="Calibri" w:hAnsi="Calibri" w:eastAsia="宋体" w:cs="Times New Roman"/>
                <w:color w:val="auto"/>
                <w:szCs w:val="22"/>
                <w:highlight w:val="none"/>
              </w:rPr>
              <w:t>向中标人支付合同总额</w:t>
            </w:r>
            <w:r>
              <w:rPr>
                <w:rFonts w:hint="eastAsia" w:ascii="Calibri" w:hAnsi="Calibri" w:eastAsia="宋体" w:cs="Times New Roman"/>
                <w:color w:val="auto"/>
                <w:szCs w:val="22"/>
                <w:highlight w:val="none"/>
                <w:lang w:eastAsia="zh-CN"/>
              </w:rPr>
              <w:t>的</w:t>
            </w:r>
            <w:r>
              <w:rPr>
                <w:rFonts w:hint="eastAsia" w:ascii="Calibri" w:hAnsi="Calibri" w:eastAsia="宋体" w:cs="Times New Roman"/>
                <w:color w:val="auto"/>
                <w:szCs w:val="22"/>
                <w:highlight w:val="none"/>
                <w:u w:val="single"/>
                <w:lang w:val="en-US" w:eastAsia="zh-CN"/>
              </w:rPr>
              <w:t xml:space="preserve">50 </w:t>
            </w:r>
            <w:r>
              <w:rPr>
                <w:rFonts w:hint="default" w:ascii="Calibri" w:hAnsi="Calibri" w:eastAsia="宋体" w:cs="Times New Roman"/>
                <w:color w:val="auto"/>
                <w:szCs w:val="22"/>
                <w:highlight w:val="none"/>
                <w:lang w:val="en-US" w:eastAsia="zh-CN"/>
              </w:rPr>
              <w:t>%</w:t>
            </w:r>
            <w:r>
              <w:rPr>
                <w:rFonts w:hint="eastAsia" w:ascii="Calibri" w:hAnsi="Calibri" w:eastAsia="宋体" w:cs="Times New Roman"/>
                <w:color w:val="auto"/>
                <w:szCs w:val="22"/>
                <w:highlight w:val="none"/>
              </w:rPr>
              <w:t>。</w:t>
            </w:r>
          </w:p>
          <w:p w14:paraId="79ABB609">
            <w:pPr>
              <w:rPr>
                <w:rFonts w:hint="eastAsia" w:ascii="Calibri" w:hAnsi="Calibri" w:eastAsia="宋体" w:cs="Times New Roman"/>
                <w:color w:val="auto"/>
                <w:szCs w:val="22"/>
                <w:highlight w:val="none"/>
                <w:lang w:val="en-US" w:eastAsia="zh-CN"/>
              </w:rPr>
            </w:pPr>
            <w:r>
              <w:rPr>
                <w:rFonts w:hint="default" w:ascii="Calibri" w:hAnsi="Calibri" w:eastAsia="宋体" w:cs="Times New Roman"/>
                <w:color w:val="auto"/>
                <w:szCs w:val="22"/>
                <w:highlight w:val="none"/>
                <w:lang w:val="en-US" w:eastAsia="zh-CN"/>
              </w:rPr>
              <w:t>2</w:t>
            </w:r>
            <w:r>
              <w:rPr>
                <w:rFonts w:hint="eastAsia" w:ascii="Calibri" w:hAnsi="Calibri" w:eastAsia="宋体" w:cs="Times New Roman"/>
                <w:color w:val="auto"/>
                <w:szCs w:val="22"/>
                <w:highlight w:val="none"/>
                <w:lang w:val="en-US" w:eastAsia="zh-CN"/>
              </w:rPr>
              <w:t>期：支付比例_</w:t>
            </w:r>
            <w:r>
              <w:rPr>
                <w:rFonts w:hint="eastAsia" w:ascii="Calibri" w:hAnsi="Calibri" w:eastAsia="宋体" w:cs="Times New Roman"/>
                <w:color w:val="auto"/>
                <w:szCs w:val="22"/>
                <w:highlight w:val="none"/>
                <w:u w:val="single"/>
                <w:lang w:val="en-US" w:eastAsia="zh-CN"/>
              </w:rPr>
              <w:t>50</w:t>
            </w:r>
            <w:r>
              <w:rPr>
                <w:rFonts w:hint="eastAsia" w:ascii="Calibri" w:hAnsi="Calibri" w:eastAsia="宋体" w:cs="Times New Roman"/>
                <w:color w:val="auto"/>
                <w:szCs w:val="22"/>
                <w:highlight w:val="none"/>
                <w:lang w:val="en-US" w:eastAsia="zh-CN"/>
              </w:rPr>
              <w:t>_</w:t>
            </w:r>
            <w:r>
              <w:rPr>
                <w:rFonts w:hint="default" w:ascii="Calibri" w:hAnsi="Calibri" w:eastAsia="宋体" w:cs="Times New Roman"/>
                <w:color w:val="auto"/>
                <w:szCs w:val="22"/>
                <w:highlight w:val="none"/>
                <w:lang w:val="en-US" w:eastAsia="zh-CN"/>
              </w:rPr>
              <w:t>%</w:t>
            </w:r>
            <w:r>
              <w:rPr>
                <w:rFonts w:hint="eastAsia" w:ascii="Calibri" w:hAnsi="Calibri" w:eastAsia="宋体" w:cs="Times New Roman"/>
                <w:color w:val="auto"/>
                <w:szCs w:val="22"/>
                <w:highlight w:val="none"/>
                <w:lang w:val="en-US" w:eastAsia="zh-CN"/>
              </w:rPr>
              <w:t>，</w:t>
            </w:r>
            <w:r>
              <w:rPr>
                <w:rFonts w:hint="eastAsia" w:ascii="Calibri" w:hAnsi="Calibri" w:eastAsia="宋体" w:cs="Times New Roman"/>
                <w:color w:val="auto"/>
                <w:szCs w:val="22"/>
                <w:highlight w:val="none"/>
              </w:rPr>
              <w:t>★</w:t>
            </w:r>
            <w:r>
              <w:rPr>
                <w:rFonts w:hint="eastAsia" w:ascii="Calibri" w:hAnsi="Calibri" w:eastAsia="宋体" w:cs="Times New Roman"/>
                <w:color w:val="auto"/>
                <w:szCs w:val="22"/>
                <w:highlight w:val="none"/>
                <w:lang w:val="en-US" w:eastAsia="zh-CN"/>
              </w:rPr>
              <w:t>付款方式：</w:t>
            </w:r>
            <w:r>
              <w:rPr>
                <w:rFonts w:hint="eastAsia" w:ascii="宋体" w:hAnsi="宋体" w:eastAsia="宋体" w:cs="宋体"/>
                <w:color w:val="auto"/>
                <w:szCs w:val="21"/>
                <w:highlight w:val="none"/>
              </w:rPr>
              <w:t>全部货物到货完成安装、调试并通过验收后</w:t>
            </w:r>
            <w:r>
              <w:rPr>
                <w:rFonts w:hint="eastAsia" w:ascii="Calibri" w:hAnsi="Calibri" w:eastAsia="宋体" w:cs="Times New Roman"/>
                <w:color w:val="auto"/>
                <w:szCs w:val="22"/>
                <w:highlight w:val="none"/>
              </w:rPr>
              <w:t>，采购人在收到中标人开具的正式发票后10个工作日内，采购人向中标人支付合同总额</w:t>
            </w:r>
            <w:r>
              <w:rPr>
                <w:rFonts w:hint="eastAsia" w:ascii="Calibri" w:hAnsi="Calibri" w:eastAsia="宋体" w:cs="Times New Roman"/>
                <w:color w:val="auto"/>
                <w:szCs w:val="22"/>
                <w:highlight w:val="none"/>
                <w:lang w:eastAsia="zh-CN"/>
              </w:rPr>
              <w:t>的</w:t>
            </w:r>
            <w:r>
              <w:rPr>
                <w:rFonts w:hint="eastAsia" w:ascii="Calibri" w:hAnsi="Calibri" w:eastAsia="宋体" w:cs="Times New Roman"/>
                <w:color w:val="auto"/>
                <w:szCs w:val="22"/>
                <w:highlight w:val="none"/>
                <w:u w:val="single"/>
                <w:lang w:val="en-US" w:eastAsia="zh-CN"/>
              </w:rPr>
              <w:t>50</w:t>
            </w:r>
            <w:r>
              <w:rPr>
                <w:rFonts w:hint="default" w:ascii="Calibri" w:hAnsi="Calibri" w:eastAsia="宋体" w:cs="Times New Roman"/>
                <w:color w:val="auto"/>
                <w:szCs w:val="22"/>
                <w:highlight w:val="none"/>
                <w:lang w:val="en-US" w:eastAsia="zh-CN"/>
              </w:rPr>
              <w:t>%</w:t>
            </w:r>
            <w:r>
              <w:rPr>
                <w:rFonts w:hint="eastAsia" w:ascii="Calibri" w:hAnsi="Calibri" w:eastAsia="宋体" w:cs="Times New Roman"/>
                <w:color w:val="auto"/>
                <w:szCs w:val="22"/>
                <w:highlight w:val="none"/>
              </w:rPr>
              <w:t>。</w:t>
            </w:r>
          </w:p>
        </w:tc>
      </w:tr>
      <w:tr w14:paraId="1A3AB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58" w:type="dxa"/>
          </w:tcPr>
          <w:p w14:paraId="004E34D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验收要求</w:t>
            </w:r>
          </w:p>
        </w:tc>
        <w:tc>
          <w:tcPr>
            <w:tcW w:w="7938" w:type="dxa"/>
          </w:tcPr>
          <w:p w14:paraId="2ED6D5E8">
            <w:pPr>
              <w:keepNext w:val="0"/>
              <w:keepLines w:val="0"/>
              <w:widowControl/>
              <w:numPr>
                <w:ilvl w:val="0"/>
                <w:numId w:val="0"/>
              </w:numPr>
              <w:suppressLineNumbers w:val="0"/>
              <w:ind w:leftChars="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1期：★验收要求：</w:t>
            </w:r>
          </w:p>
          <w:p w14:paraId="5AD7C762">
            <w:pPr>
              <w:keepNext w:val="0"/>
              <w:keepLines w:val="0"/>
              <w:widowControl/>
              <w:numPr>
                <w:ilvl w:val="0"/>
                <w:numId w:val="0"/>
              </w:numPr>
              <w:suppressLineNumbers w:val="0"/>
              <w:ind w:leftChars="0"/>
              <w:jc w:val="left"/>
              <w:rPr>
                <w:rFonts w:hint="eastAsia" w:ascii="宋体" w:hAnsi="宋体" w:eastAsia="宋体" w:cs="宋体"/>
                <w:color w:val="auto"/>
                <w:szCs w:val="21"/>
                <w:highlight w:val="none"/>
                <w:lang w:eastAsia="zh-CN"/>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szCs w:val="21"/>
                <w:highlight w:val="none"/>
                <w:lang w:val="en-US" w:eastAsia="zh-CN"/>
              </w:rPr>
              <w:t>验收人员：</w:t>
            </w:r>
            <w:r>
              <w:rPr>
                <w:rFonts w:hint="eastAsia" w:ascii="宋体" w:hAnsi="宋体" w:eastAsia="宋体" w:cs="宋体"/>
                <w:color w:val="auto"/>
                <w:szCs w:val="21"/>
                <w:highlight w:val="none"/>
              </w:rPr>
              <w:t>①采购人（申购单位非采购项目经办人）；②校内外专家或其委托的第三方机构；③中标供应商；④学校信息办（信息化建设项目，如需）等，具体参与人员以采购人最终确认为准</w:t>
            </w:r>
            <w:r>
              <w:rPr>
                <w:rFonts w:hint="eastAsia" w:ascii="宋体" w:hAnsi="宋体" w:eastAsia="宋体" w:cs="宋体"/>
                <w:color w:val="auto"/>
                <w:szCs w:val="21"/>
                <w:highlight w:val="none"/>
                <w:lang w:eastAsia="zh-CN"/>
              </w:rPr>
              <w:t>。</w:t>
            </w:r>
          </w:p>
          <w:p w14:paraId="2695C97F">
            <w:pPr>
              <w:keepNext w:val="0"/>
              <w:keepLines w:val="0"/>
              <w:widowControl/>
              <w:suppressLineNumbers w:val="0"/>
              <w:jc w:val="left"/>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szCs w:val="21"/>
                <w:highlight w:val="none"/>
              </w:rPr>
              <w:t>2.验收费用：验收所需要的费用由采购人支付。</w:t>
            </w:r>
          </w:p>
          <w:p w14:paraId="31F29DFC">
            <w:pPr>
              <w:keepNext w:val="0"/>
              <w:keepLines w:val="0"/>
              <w:widowControl/>
              <w:suppressLineNumbers w:val="0"/>
              <w:jc w:val="left"/>
              <w:rPr>
                <w:rFonts w:hint="eastAsia" w:ascii="宋体" w:hAnsi="宋体" w:eastAsia="宋体" w:cs="宋体"/>
                <w:color w:val="auto"/>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szCs w:val="21"/>
                <w:highlight w:val="none"/>
                <w:lang w:val="en-US" w:eastAsia="zh-CN"/>
              </w:rPr>
              <w:t>验收时间：</w:t>
            </w:r>
            <w:r>
              <w:rPr>
                <w:rFonts w:hint="eastAsia" w:ascii="宋体" w:hAnsi="宋体" w:eastAsia="宋体" w:cs="宋体"/>
                <w:color w:val="auto"/>
                <w:szCs w:val="21"/>
                <w:highlight w:val="none"/>
              </w:rPr>
              <w:t>采购人在收到中标人项目验收</w:t>
            </w:r>
            <w:r>
              <w:rPr>
                <w:rFonts w:hint="eastAsia" w:ascii="宋体" w:hAnsi="宋体" w:eastAsia="宋体" w:cs="宋体"/>
                <w:color w:val="auto"/>
                <w:szCs w:val="21"/>
                <w:highlight w:val="none"/>
                <w:lang w:eastAsia="zh-CN"/>
              </w:rPr>
              <w:t>申请</w:t>
            </w:r>
            <w:r>
              <w:rPr>
                <w:rFonts w:hint="eastAsia" w:ascii="宋体" w:hAnsi="宋体" w:eastAsia="宋体" w:cs="宋体"/>
                <w:color w:val="auto"/>
                <w:szCs w:val="21"/>
                <w:highlight w:val="none"/>
              </w:rPr>
              <w:t>之日起7日内，按国家有关规定、规范、学校有关规定</w:t>
            </w:r>
            <w:r>
              <w:rPr>
                <w:rFonts w:hint="eastAsia" w:ascii="宋体" w:hAnsi="宋体" w:eastAsia="宋体" w:cs="宋体"/>
                <w:color w:val="auto"/>
                <w:szCs w:val="21"/>
                <w:highlight w:val="none"/>
                <w:lang w:eastAsia="zh-CN"/>
              </w:rPr>
              <w:t>组织履约验收。</w:t>
            </w:r>
          </w:p>
          <w:p w14:paraId="37A41305">
            <w:pPr>
              <w:keepNext w:val="0"/>
              <w:keepLines w:val="0"/>
              <w:widowControl/>
              <w:suppressLineNumbers w:val="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验收方式：采购人组成验收小组，按照采购合同规定的技术、服务、安全标准组织对中标人履约情况进行验收。因货物质量问题发生争议时，由采购人本地质量技术监督部门鉴定。货物符合质量技术标准的，鉴定费由采购人承担；否则鉴定费由中标人承担。</w:t>
            </w:r>
          </w:p>
          <w:p w14:paraId="3C220A46">
            <w:pPr>
              <w:keepNext w:val="0"/>
              <w:keepLines w:val="0"/>
              <w:widowControl/>
              <w:suppressLineNumbers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5.其他</w:t>
            </w:r>
            <w:r>
              <w:rPr>
                <w:rFonts w:hint="eastAsia" w:ascii="宋体" w:hAnsi="宋体" w:eastAsia="宋体" w:cs="宋体"/>
                <w:color w:val="auto"/>
                <w:szCs w:val="21"/>
                <w:highlight w:val="none"/>
              </w:rPr>
              <w:t>验收</w:t>
            </w:r>
            <w:r>
              <w:rPr>
                <w:rFonts w:hint="eastAsia" w:ascii="宋体" w:hAnsi="宋体" w:eastAsia="宋体" w:cs="宋体"/>
                <w:color w:val="auto"/>
                <w:szCs w:val="21"/>
                <w:highlight w:val="none"/>
                <w:lang w:eastAsia="zh-CN"/>
              </w:rPr>
              <w:t>要求</w:t>
            </w:r>
            <w:r>
              <w:rPr>
                <w:rFonts w:hint="eastAsia" w:ascii="宋体" w:hAnsi="宋体" w:eastAsia="宋体" w:cs="宋体"/>
                <w:color w:val="auto"/>
                <w:szCs w:val="21"/>
                <w:highlight w:val="none"/>
              </w:rPr>
              <w:t>：①中标人将货物的用户手册、保修手册、有关单证资料及备品备件、随机工具等交付给采购人，使用操作及安全须知等重要资料应附有中文说明。②</w:t>
            </w:r>
            <w:r>
              <w:rPr>
                <w:rFonts w:hint="eastAsia" w:ascii="宋体" w:hAnsi="宋体" w:eastAsia="宋体" w:cs="宋体"/>
                <w:color w:val="auto"/>
                <w:kern w:val="0"/>
                <w:sz w:val="21"/>
                <w:szCs w:val="21"/>
                <w:highlight w:val="none"/>
                <w:lang w:val="en-US" w:eastAsia="zh-CN" w:bidi="ar"/>
              </w:rPr>
              <w:t>货物为原制造商制造的全新产品，无污染，无侵权行为、表面无划损、无任何缺陷隐患，在中国境内可依规安全合法使用</w:t>
            </w:r>
            <w:r>
              <w:rPr>
                <w:rFonts w:hint="eastAsia" w:ascii="宋体" w:hAnsi="宋体" w:eastAsia="宋体" w:cs="宋体"/>
                <w:color w:val="auto"/>
                <w:szCs w:val="21"/>
                <w:highlight w:val="none"/>
              </w:rPr>
              <w:t>。所有随设备的附件必须齐全。③设备到货并经中标人技术人员安装后，采购人有权委托有</w:t>
            </w:r>
            <w:r>
              <w:rPr>
                <w:rFonts w:hint="eastAsia" w:ascii="宋体" w:hAnsi="宋体" w:eastAsia="宋体" w:cs="宋体"/>
                <w:color w:val="auto"/>
                <w:szCs w:val="21"/>
                <w:highlight w:val="none"/>
                <w:lang w:eastAsia="zh-CN"/>
              </w:rPr>
              <w:t>资质</w:t>
            </w:r>
            <w:r>
              <w:rPr>
                <w:rFonts w:hint="eastAsia" w:ascii="宋体" w:hAnsi="宋体" w:eastAsia="宋体" w:cs="宋体"/>
                <w:color w:val="auto"/>
                <w:szCs w:val="21"/>
                <w:highlight w:val="none"/>
              </w:rPr>
              <w:t>的单位对上述设备进行校准或检验，设备校准或检定所需的费用由中标人负担。</w:t>
            </w:r>
          </w:p>
          <w:p w14:paraId="7964F613">
            <w:pPr>
              <w:keepNext w:val="0"/>
              <w:keepLines w:val="0"/>
              <w:widowControl/>
              <w:numPr>
                <w:ilvl w:val="0"/>
                <w:numId w:val="0"/>
              </w:numPr>
              <w:suppressLineNumbers w:val="0"/>
              <w:ind w:left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6.验收标准依次序对照适用标准为： ①符合中华人民共和国国家安全质量标准、环保标准或行业标准； ②符合招标文件和响应承诺中采购人认可的合理最佳配置、参数及各项要求； ③货物来源国家官方标准。 上述标准必须是有关官方机构发布的最新版本的标准。</w:t>
            </w:r>
          </w:p>
          <w:p w14:paraId="67AA9E75">
            <w:pPr>
              <w:keepNext w:val="0"/>
              <w:keepLines w:val="0"/>
              <w:widowControl/>
              <w:numPr>
                <w:ilvl w:val="0"/>
                <w:numId w:val="0"/>
              </w:numPr>
              <w:suppressLineNumbers w:val="0"/>
              <w:ind w:leftChars="0"/>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7.凡列入强制性产品认证目录内的产品在验收时中标人必须出具CCC认证证书复印件。</w:t>
            </w:r>
          </w:p>
        </w:tc>
      </w:tr>
      <w:tr w14:paraId="37AF6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4" w:hRule="atLeast"/>
          <w:jc w:val="center"/>
        </w:trPr>
        <w:tc>
          <w:tcPr>
            <w:tcW w:w="1958" w:type="dxa"/>
          </w:tcPr>
          <w:p w14:paraId="511C8A5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7938" w:type="dxa"/>
          </w:tcPr>
          <w:p w14:paraId="360B6639">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不收取</w:t>
            </w:r>
          </w:p>
        </w:tc>
      </w:tr>
      <w:tr w14:paraId="410CA4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58" w:type="dxa"/>
          </w:tcPr>
          <w:p w14:paraId="42865E0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7938" w:type="dxa"/>
          </w:tcPr>
          <w:p w14:paraId="207C6F5D">
            <w:pPr>
              <w:rPr>
                <w:rFonts w:hint="eastAsia" w:ascii="宋体" w:hAnsi="宋体" w:eastAsia="宋体" w:cs="宋体"/>
                <w:color w:val="auto"/>
                <w:szCs w:val="22"/>
                <w:highlight w:val="none"/>
              </w:rPr>
            </w:pPr>
            <w:r>
              <w:rPr>
                <w:rFonts w:hint="eastAsia" w:ascii="Calibri" w:hAnsi="Calibri" w:eastAsia="宋体" w:cs="Times New Roman"/>
                <w:color w:val="auto"/>
                <w:szCs w:val="22"/>
                <w:highlight w:val="none"/>
              </w:rPr>
              <w:t>（一）</w:t>
            </w:r>
            <w:r>
              <w:rPr>
                <w:rFonts w:hint="eastAsia" w:ascii="宋体" w:hAnsi="宋体" w:eastAsia="宋体" w:cs="宋体"/>
                <w:color w:val="auto"/>
                <w:szCs w:val="22"/>
                <w:highlight w:val="none"/>
              </w:rPr>
              <w:t>★报价要求</w:t>
            </w: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rPr>
              <w:t>1.报价方式为本项目目的地的固定总价包干。2.投标报价指投标人为完成本项目所收取的全部费用，包含但不限于以下费用：货物及零配件成本费、运输费、装卸费、保险费、安装费及安装设备所需的配件及一切相关费用、调试费、材料费、技术服务费（含联络费、培训费、质保费）、各项税费（如有）及不可预见费等完成本招标内容所需的一切费用。 3.投标人须考虑本项目在实施期间的一切可能产生的费用。4.投标报价不得高于本项目的采购项目预算金额，分项报价不得高于分项预算总价，否则视为无效报价，作无效投标处理。</w:t>
            </w:r>
          </w:p>
          <w:p w14:paraId="51C3E66D">
            <w:pPr>
              <w:rPr>
                <w:rFonts w:hint="eastAsia" w:ascii="宋体" w:hAnsi="宋体" w:eastAsia="宋体" w:cs="宋体"/>
                <w:color w:val="auto"/>
                <w:szCs w:val="22"/>
                <w:highlight w:val="none"/>
              </w:rPr>
            </w:pPr>
            <w:r>
              <w:rPr>
                <w:rFonts w:hint="eastAsia" w:ascii="Calibri" w:hAnsi="Calibri" w:eastAsia="宋体" w:cs="Times New Roman"/>
                <w:color w:val="auto"/>
                <w:szCs w:val="22"/>
                <w:highlight w:val="none"/>
              </w:rPr>
              <w:t>（二）★付款方式补充</w:t>
            </w:r>
            <w:r>
              <w:rPr>
                <w:rFonts w:hint="eastAsia" w:ascii="Calibri" w:hAnsi="Calibri" w:eastAsia="宋体" w:cs="Times New Roman"/>
                <w:color w:val="auto"/>
                <w:szCs w:val="22"/>
                <w:highlight w:val="none"/>
                <w:lang w:eastAsia="zh-CN"/>
              </w:rPr>
              <w:t>：</w:t>
            </w:r>
            <w:r>
              <w:rPr>
                <w:rFonts w:hint="eastAsia" w:ascii="宋体" w:hAnsi="宋体" w:eastAsia="宋体" w:cs="宋体"/>
                <w:color w:val="auto"/>
                <w:szCs w:val="22"/>
                <w:highlight w:val="none"/>
              </w:rPr>
              <w:t>1.结算方式：转账结算（银行转账）。2.付款方：采购人；收款方：中标人。3.开具发票：中标人收款时必须持有效发票。收款方、出具发票方、合同乙方均必须与中标人名称一致</w:t>
            </w:r>
            <w:r>
              <w:rPr>
                <w:rFonts w:hint="eastAsia" w:ascii="宋体" w:hAnsi="宋体" w:eastAsia="宋体" w:cs="Times New Roman"/>
                <w:color w:val="auto"/>
                <w:sz w:val="21"/>
                <w:szCs w:val="21"/>
                <w:highlight w:val="none"/>
              </w:rPr>
              <w:t>【如采购进口免税产品，合同生效后，采购人向中标人支付合同预付款时（中标人收款时不需提供有效发票），整体项目安装调试完成并通过验收合格后，中标人按学校报账相关规定提供外贸合同、外贸发票、</w:t>
            </w:r>
            <w:r>
              <w:rPr>
                <w:rFonts w:hint="eastAsia" w:ascii="宋体" w:hAnsi="宋体" w:eastAsia="宋体" w:cs="Times New Roman"/>
                <w:color w:val="auto"/>
                <w:sz w:val="21"/>
                <w:szCs w:val="21"/>
                <w:highlight w:val="none"/>
                <w:lang w:eastAsia="zh-CN"/>
              </w:rPr>
              <w:t>免表</w:t>
            </w:r>
            <w:r>
              <w:rPr>
                <w:rFonts w:hint="eastAsia" w:ascii="宋体" w:hAnsi="宋体" w:eastAsia="宋体" w:cs="Times New Roman"/>
                <w:color w:val="auto"/>
                <w:sz w:val="21"/>
                <w:szCs w:val="21"/>
                <w:highlight w:val="none"/>
              </w:rPr>
              <w:t>、报关单等资料后，采购人向中标人支付合同款项】</w:t>
            </w:r>
            <w:r>
              <w:rPr>
                <w:rFonts w:hint="eastAsia" w:ascii="宋体" w:hAnsi="宋体" w:eastAsia="宋体" w:cs="宋体"/>
                <w:color w:val="auto"/>
                <w:szCs w:val="22"/>
                <w:highlight w:val="none"/>
              </w:rPr>
              <w:t>。</w:t>
            </w:r>
            <w:r>
              <w:rPr>
                <w:rFonts w:hint="eastAsia" w:ascii="宋体" w:hAnsi="宋体" w:eastAsia="宋体" w:cs="宋体"/>
                <w:color w:val="auto"/>
                <w:szCs w:val="22"/>
                <w:highlight w:val="none"/>
                <w:lang w:val="en-US" w:eastAsia="zh-CN"/>
              </w:rPr>
              <w:t>4</w:t>
            </w:r>
            <w:r>
              <w:rPr>
                <w:rFonts w:hint="eastAsia" w:ascii="宋体" w:hAnsi="宋体" w:eastAsia="宋体" w:cs="宋体"/>
                <w:color w:val="auto"/>
                <w:szCs w:val="22"/>
                <w:highlight w:val="none"/>
              </w:rPr>
              <w:t>.</w:t>
            </w:r>
            <w:r>
              <w:rPr>
                <w:rFonts w:ascii="Calibri" w:hAnsi="Calibri" w:eastAsia="宋体" w:cs="Times New Roman"/>
                <w:color w:val="auto"/>
                <w:szCs w:val="22"/>
                <w:highlight w:val="none"/>
              </w:rPr>
              <w:t>若非采购人原因（包括但不限于不可抗力）导致到账时间延迟，采购人不承担相应责任。</w:t>
            </w:r>
            <w:r>
              <w:rPr>
                <w:rFonts w:hint="eastAsia" w:ascii="宋体" w:hAnsi="宋体" w:eastAsia="宋体" w:cs="宋体"/>
                <w:color w:val="auto"/>
                <w:szCs w:val="22"/>
                <w:highlight w:val="none"/>
                <w:lang w:val="en-US" w:eastAsia="zh-CN"/>
              </w:rPr>
              <w:t>5</w:t>
            </w:r>
            <w:r>
              <w:rPr>
                <w:rFonts w:hint="eastAsia" w:ascii="宋体" w:hAnsi="宋体" w:eastAsia="宋体" w:cs="宋体"/>
                <w:color w:val="auto"/>
                <w:szCs w:val="22"/>
                <w:highlight w:val="none"/>
              </w:rPr>
              <w:t>.付款期间如因特殊情况需调整，由双方协商处理。</w:t>
            </w:r>
          </w:p>
          <w:p w14:paraId="48446F2D">
            <w:pPr>
              <w:rPr>
                <w:rFonts w:hint="eastAsia" w:ascii="宋体" w:hAnsi="宋体" w:eastAsia="宋体" w:cs="宋体"/>
                <w:color w:val="auto"/>
                <w:szCs w:val="22"/>
                <w:highlight w:val="none"/>
              </w:rPr>
            </w:pPr>
            <w:r>
              <w:rPr>
                <w:rFonts w:hint="eastAsia" w:ascii="宋体" w:hAnsi="宋体" w:eastAsia="宋体" w:cs="宋体"/>
                <w:color w:val="auto"/>
                <w:szCs w:val="22"/>
                <w:highlight w:val="none"/>
                <w:lang w:eastAsia="zh-CN"/>
              </w:rPr>
              <w:t>（三）</w:t>
            </w:r>
            <w:r>
              <w:rPr>
                <w:rFonts w:hint="eastAsia" w:ascii="Calibri" w:hAnsi="Calibri" w:eastAsia="宋体" w:cs="Times New Roman"/>
                <w:color w:val="auto"/>
                <w:szCs w:val="22"/>
                <w:highlight w:val="none"/>
              </w:rPr>
              <w:t>★</w:t>
            </w:r>
            <w:r>
              <w:rPr>
                <w:rFonts w:hint="eastAsia" w:ascii="Calibri" w:hAnsi="Calibri" w:eastAsia="宋体" w:cs="Times New Roman"/>
                <w:color w:val="auto"/>
                <w:szCs w:val="22"/>
                <w:highlight w:val="none"/>
                <w:lang w:val="en-US" w:eastAsia="zh-CN"/>
              </w:rPr>
              <w:t>质量</w:t>
            </w:r>
            <w:r>
              <w:rPr>
                <w:rFonts w:hint="eastAsia" w:ascii="宋体" w:hAnsi="宋体" w:eastAsia="宋体" w:cs="宋体"/>
                <w:color w:val="auto"/>
                <w:szCs w:val="22"/>
                <w:highlight w:val="none"/>
                <w:lang w:val="en-US" w:eastAsia="zh-CN"/>
              </w:rPr>
              <w:t>保证期：1.质量保证期（简称“质保期”）为：</w:t>
            </w:r>
            <w:r>
              <w:rPr>
                <w:rFonts w:hint="eastAsia" w:ascii="宋体" w:hAnsi="宋体" w:eastAsia="宋体" w:cs="宋体"/>
                <w:color w:val="auto"/>
                <w:szCs w:val="22"/>
                <w:highlight w:val="none"/>
              </w:rPr>
              <w:t>自项目验收合格交付之日起</w:t>
            </w:r>
            <w:r>
              <w:rPr>
                <w:rFonts w:hint="eastAsia" w:ascii="宋体" w:hAnsi="宋体" w:eastAsia="宋体" w:cs="宋体"/>
                <w:color w:val="auto"/>
                <w:szCs w:val="22"/>
                <w:highlight w:val="none"/>
                <w:lang w:val="en-US" w:eastAsia="zh-CN"/>
              </w:rPr>
              <w:t>____</w:t>
            </w:r>
            <w:r>
              <w:rPr>
                <w:rFonts w:hint="eastAsia" w:ascii="宋体" w:hAnsi="宋体" w:eastAsia="宋体" w:cs="宋体"/>
                <w:color w:val="auto"/>
                <w:szCs w:val="22"/>
                <w:highlight w:val="none"/>
              </w:rPr>
              <w:t>年。</w:t>
            </w:r>
            <w:r>
              <w:rPr>
                <w:rFonts w:hint="eastAsia" w:ascii="宋体" w:hAnsi="宋体" w:eastAsia="宋体" w:cs="宋体"/>
                <w:color w:val="auto"/>
                <w:szCs w:val="22"/>
                <w:highlight w:val="none"/>
                <w:lang w:val="en-US" w:eastAsia="zh-CN"/>
              </w:rPr>
              <w:t>2.</w:t>
            </w:r>
            <w:r>
              <w:rPr>
                <w:rFonts w:hint="eastAsia" w:ascii="宋体" w:hAnsi="宋体" w:eastAsia="宋体" w:cs="宋体"/>
                <w:color w:val="auto"/>
                <w:szCs w:val="22"/>
                <w:highlight w:val="none"/>
              </w:rPr>
              <w:t>若国家或生产厂家对本项目所涉及货物的质保期的规定高于本项目的要求，应按国家或生产厂家的规定执行。</w:t>
            </w:r>
            <w:r>
              <w:rPr>
                <w:rFonts w:hint="eastAsia" w:ascii="宋体" w:hAnsi="宋体" w:eastAsia="宋体" w:cs="宋体"/>
                <w:color w:val="auto"/>
                <w:szCs w:val="22"/>
                <w:highlight w:val="none"/>
                <w:lang w:val="en-US" w:eastAsia="zh-CN"/>
              </w:rPr>
              <w:t>3.在质保期内提供整机硬件保修，原厂工程师上门服务。4.质保期内，在非人为因素情况下，一切维修换件保养费用和备品备件均由中标人提供。如因货物自身故障致停用时间累计超过20天时，则故障设备的质保期在状态恢复正常时重新计算或对故障设备予以重新更换。5.任何时候，中标人均不能免除因货物本身的缺陷所应负的责任。6.质保期内所产生的费用由中标人负责，质保期过后中标人仍然承担对相关设备的维护，但所产生费用由采购人承担。</w:t>
            </w:r>
          </w:p>
          <w:p w14:paraId="24E70E85">
            <w:pPr>
              <w:rPr>
                <w:rFonts w:hint="eastAsia" w:ascii="Calibri" w:hAnsi="Calibri" w:eastAsia="宋体" w:cs="Times New Roman"/>
                <w:color w:val="auto"/>
                <w:szCs w:val="22"/>
                <w:highlight w:val="none"/>
              </w:rPr>
            </w:pPr>
            <w:r>
              <w:rPr>
                <w:rFonts w:hint="eastAsia" w:ascii="宋体" w:hAnsi="宋体" w:eastAsia="宋体" w:cs="宋体"/>
                <w:color w:val="auto"/>
                <w:szCs w:val="22"/>
                <w:highlight w:val="none"/>
              </w:rPr>
              <w:t>（</w:t>
            </w:r>
            <w:r>
              <w:rPr>
                <w:rFonts w:hint="eastAsia" w:ascii="宋体" w:hAnsi="宋体" w:eastAsia="宋体" w:cs="宋体"/>
                <w:color w:val="auto"/>
                <w:szCs w:val="22"/>
                <w:highlight w:val="none"/>
                <w:lang w:eastAsia="zh-CN"/>
              </w:rPr>
              <w:t>四</w:t>
            </w:r>
            <w:r>
              <w:rPr>
                <w:rFonts w:hint="eastAsia" w:ascii="宋体" w:hAnsi="宋体" w:eastAsia="宋体" w:cs="宋体"/>
                <w:color w:val="auto"/>
                <w:szCs w:val="22"/>
                <w:highlight w:val="none"/>
              </w:rPr>
              <w:t>）★物流服务</w:t>
            </w: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rPr>
              <w:t>1.包装：中标人所供货物必须为制造商原厂包装，包装质量符合国家相关标准和行业要求。货物要求有包装材料保护运至现场。因包装不良造成的损失由中标人负责。2.运输：中标人根据采购人指定的安装地点，负责将货物材料运送到现场，在此过程中的全部运输（包括但不限于装卸车、货物现场的搬运）所产生的全部费用由中标人负责。3.装卸：各种货物，必须提供装箱清单，按装箱清单验收货物。4.保管：货物在现场的保管由中标人负责，直至项目安装、验收完毕。</w:t>
            </w:r>
          </w:p>
          <w:p w14:paraId="023EDC95">
            <w:pPr>
              <w:rPr>
                <w:rFonts w:hint="eastAsia" w:ascii="Calibri" w:hAnsi="Calibri" w:eastAsia="宋体" w:cs="Times New Roman"/>
                <w:color w:val="auto"/>
                <w:szCs w:val="22"/>
                <w:highlight w:val="none"/>
              </w:rPr>
            </w:pPr>
            <w:r>
              <w:rPr>
                <w:rFonts w:hint="eastAsia" w:ascii="宋体" w:hAnsi="宋体" w:eastAsia="宋体" w:cs="宋体"/>
                <w:color w:val="auto"/>
                <w:szCs w:val="22"/>
                <w:highlight w:val="none"/>
              </w:rPr>
              <w:t>（</w:t>
            </w:r>
            <w:r>
              <w:rPr>
                <w:rFonts w:hint="eastAsia" w:ascii="宋体" w:hAnsi="宋体" w:eastAsia="宋体" w:cs="宋体"/>
                <w:color w:val="auto"/>
                <w:szCs w:val="22"/>
                <w:highlight w:val="none"/>
                <w:lang w:eastAsia="zh-CN"/>
              </w:rPr>
              <w:t>五</w:t>
            </w:r>
            <w:r>
              <w:rPr>
                <w:rFonts w:hint="eastAsia" w:ascii="宋体" w:hAnsi="宋体" w:eastAsia="宋体" w:cs="宋体"/>
                <w:color w:val="auto"/>
                <w:szCs w:val="22"/>
                <w:highlight w:val="none"/>
              </w:rPr>
              <w:t>）★安装调试</w:t>
            </w: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lang w:val="en-US" w:eastAsia="zh-CN"/>
              </w:rPr>
              <w:t>1.</w:t>
            </w:r>
            <w:r>
              <w:rPr>
                <w:rFonts w:hint="eastAsia" w:ascii="宋体" w:hAnsi="宋体" w:eastAsia="宋体" w:cs="宋体"/>
                <w:color w:val="auto"/>
                <w:szCs w:val="22"/>
                <w:highlight w:val="none"/>
              </w:rPr>
              <w:t>以符合招标文件要求和响应承诺的前提下，中标人将设备（系统）安装并调试至正常运行的最佳状态且双方均认为满意。</w:t>
            </w:r>
            <w:r>
              <w:rPr>
                <w:rFonts w:hint="eastAsia" w:ascii="宋体" w:hAnsi="宋体" w:eastAsia="宋体" w:cs="宋体"/>
                <w:color w:val="auto"/>
                <w:szCs w:val="22"/>
                <w:highlight w:val="none"/>
                <w:lang w:val="en-US" w:eastAsia="zh-CN"/>
              </w:rPr>
              <w:t>2</w:t>
            </w:r>
            <w:r>
              <w:rPr>
                <w:rFonts w:hint="eastAsia" w:ascii="宋体" w:hAnsi="宋体" w:eastAsia="宋体" w:cs="宋体"/>
                <w:color w:val="auto"/>
                <w:szCs w:val="22"/>
                <w:highlight w:val="none"/>
              </w:rPr>
              <w:t>.人员及工作要求：中标人应设安装负责人，负责安装协调管理工作。</w:t>
            </w:r>
            <w:r>
              <w:rPr>
                <w:rFonts w:hint="eastAsia" w:ascii="宋体" w:hAnsi="宋体" w:eastAsia="宋体" w:cs="宋体"/>
                <w:color w:val="auto"/>
                <w:szCs w:val="22"/>
                <w:highlight w:val="none"/>
                <w:lang w:val="en-US" w:eastAsia="zh-CN"/>
              </w:rPr>
              <w:t>3</w:t>
            </w:r>
            <w:r>
              <w:rPr>
                <w:rFonts w:hint="eastAsia" w:ascii="宋体" w:hAnsi="宋体" w:eastAsia="宋体" w:cs="宋体"/>
                <w:color w:val="auto"/>
                <w:szCs w:val="22"/>
                <w:highlight w:val="none"/>
              </w:rPr>
              <w:t>.安装工具：安装所需工具设施物料由中标人自备、自费运到现场，完工后自费搬走。</w:t>
            </w:r>
            <w:r>
              <w:rPr>
                <w:rFonts w:hint="eastAsia" w:ascii="宋体" w:hAnsi="宋体" w:eastAsia="宋体" w:cs="宋体"/>
                <w:color w:val="auto"/>
                <w:szCs w:val="22"/>
                <w:highlight w:val="none"/>
                <w:lang w:val="en-US" w:eastAsia="zh-CN"/>
              </w:rPr>
              <w:t>4</w:t>
            </w:r>
            <w:r>
              <w:rPr>
                <w:rFonts w:hint="eastAsia" w:ascii="宋体" w:hAnsi="宋体" w:eastAsia="宋体" w:cs="宋体"/>
                <w:color w:val="auto"/>
                <w:szCs w:val="22"/>
                <w:highlight w:val="none"/>
              </w:rPr>
              <w:t>.调试：按国家相关验收规范进行。</w:t>
            </w:r>
            <w:r>
              <w:rPr>
                <w:rFonts w:hint="eastAsia" w:ascii="宋体" w:hAnsi="宋体" w:eastAsia="宋体" w:cs="宋体"/>
                <w:color w:val="auto"/>
                <w:szCs w:val="22"/>
                <w:highlight w:val="none"/>
                <w:lang w:val="en-US" w:eastAsia="zh-CN"/>
              </w:rPr>
              <w:t>5</w:t>
            </w:r>
            <w:r>
              <w:rPr>
                <w:rFonts w:hint="eastAsia" w:ascii="宋体" w:hAnsi="宋体" w:eastAsia="宋体" w:cs="宋体"/>
                <w:color w:val="auto"/>
                <w:szCs w:val="22"/>
                <w:highlight w:val="none"/>
              </w:rPr>
              <w:t>.其他：设备的拆箱、安装、通电、调试等项工作由中标人负责，但必须在采购人指定人员的参与下进行。调试的原始记录须经各方签字后作为验收的文件之一。</w:t>
            </w:r>
            <w:r>
              <w:rPr>
                <w:rFonts w:hint="eastAsia" w:ascii="宋体" w:hAnsi="宋体" w:eastAsia="宋体" w:cs="宋体"/>
                <w:color w:val="auto"/>
                <w:szCs w:val="22"/>
                <w:highlight w:val="none"/>
                <w:lang w:val="en-US" w:eastAsia="zh-CN"/>
              </w:rPr>
              <w:t>6</w:t>
            </w:r>
            <w:r>
              <w:rPr>
                <w:rFonts w:hint="eastAsia" w:ascii="宋体" w:hAnsi="宋体" w:eastAsia="宋体" w:cs="宋体"/>
                <w:color w:val="auto"/>
                <w:szCs w:val="22"/>
                <w:highlight w:val="none"/>
              </w:rPr>
              <w:t>.中标人需按照采购人设备布置及现场情况进行所供设备的放置、线路敷设、安装、调试及现场复原等。</w:t>
            </w:r>
          </w:p>
          <w:p w14:paraId="39E9C4E1">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r>
              <w:rPr>
                <w:rFonts w:hint="eastAsia" w:ascii="宋体" w:hAnsi="宋体" w:eastAsia="宋体" w:cs="宋体"/>
                <w:color w:val="auto"/>
                <w:szCs w:val="22"/>
                <w:highlight w:val="none"/>
                <w:lang w:eastAsia="zh-CN"/>
              </w:rPr>
              <w:t>六</w:t>
            </w:r>
            <w:r>
              <w:rPr>
                <w:rFonts w:hint="eastAsia" w:ascii="宋体" w:hAnsi="宋体" w:eastAsia="宋体" w:cs="宋体"/>
                <w:color w:val="auto"/>
                <w:szCs w:val="22"/>
                <w:highlight w:val="none"/>
              </w:rPr>
              <w:t>）★培训</w:t>
            </w: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rPr>
              <w:t>1.基本要求：中标人须根据采购人的要求，安排熟悉本项目的专业技术人员在采购人指定的地点向采购人提供全面的产品使用、维护的培训，培训次数以采购人确认为准。2.目的：确保采购人能够对设备、系统有足够的了解，能够独立进行日常操作、管理和维护。3.培训资料：中标人必须为所有被培训人员提供培训用文字资料和讲义等相关用品。所有的资料必须是中文书写。4.培训费用：所有与本项目有关的培训费用包括差旅、食宿、教材、资料等由中标人负责，均计入投标报价中。</w:t>
            </w:r>
          </w:p>
          <w:p w14:paraId="4FF5BFDD">
            <w:pPr>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rPr>
              <w:t>（</w:t>
            </w:r>
            <w:r>
              <w:rPr>
                <w:rFonts w:hint="eastAsia" w:ascii="宋体" w:hAnsi="宋体" w:eastAsia="宋体" w:cs="宋体"/>
                <w:color w:val="auto"/>
                <w:szCs w:val="22"/>
                <w:highlight w:val="none"/>
                <w:lang w:val="en-US" w:eastAsia="zh-CN"/>
              </w:rPr>
              <w:t>七</w:t>
            </w:r>
            <w:r>
              <w:rPr>
                <w:rFonts w:hint="eastAsia" w:ascii="宋体" w:hAnsi="宋体" w:eastAsia="宋体" w:cs="宋体"/>
                <w:color w:val="auto"/>
                <w:szCs w:val="22"/>
                <w:highlight w:val="none"/>
              </w:rPr>
              <w:t>）★售后服务</w:t>
            </w: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lang w:val="en-US" w:eastAsia="zh-CN"/>
              </w:rPr>
              <w:t>1.对采购人的服务通知，中标人必须在接报后2小时内响应，24小时内</w:t>
            </w:r>
            <w:r>
              <w:rPr>
                <w:rFonts w:hint="eastAsia" w:ascii="宋体" w:hAnsi="宋体" w:eastAsia="宋体" w:cs="宋体"/>
                <w:color w:val="auto"/>
                <w:szCs w:val="22"/>
                <w:highlight w:val="none"/>
              </w:rPr>
              <w:t>到达现场</w:t>
            </w:r>
            <w:r>
              <w:rPr>
                <w:rFonts w:hint="eastAsia" w:ascii="宋体" w:hAnsi="宋体" w:eastAsia="宋体" w:cs="宋体"/>
                <w:color w:val="auto"/>
                <w:szCs w:val="22"/>
                <w:highlight w:val="none"/>
                <w:lang w:val="en-US" w:eastAsia="zh-CN"/>
              </w:rPr>
              <w:t>，48小时内处理完毕。若是在48小时内</w:t>
            </w:r>
            <w:r>
              <w:rPr>
                <w:rFonts w:hint="eastAsia" w:ascii="宋体" w:hAnsi="宋体" w:eastAsia="宋体" w:cs="宋体"/>
                <w:color w:val="auto"/>
                <w:szCs w:val="22"/>
                <w:highlight w:val="none"/>
              </w:rPr>
              <w:t>仍未能有效解决</w:t>
            </w:r>
            <w:r>
              <w:rPr>
                <w:rFonts w:hint="eastAsia" w:ascii="宋体" w:hAnsi="宋体" w:eastAsia="宋体" w:cs="宋体"/>
                <w:color w:val="auto"/>
                <w:szCs w:val="22"/>
                <w:highlight w:val="none"/>
                <w:lang w:val="en-US" w:eastAsia="zh-CN"/>
              </w:rPr>
              <w:t>，中标人必须提供相同的型号设备进行替换，不得影响采购人的正常工作业务。如要更换故障零部件，须是同品牌、类型相一致或同类同档次的零部件，且须经采购人同意。</w:t>
            </w:r>
          </w:p>
          <w:p w14:paraId="3FB60D72">
            <w:pPr>
              <w:rPr>
                <w:rFonts w:hint="eastAsia" w:ascii="宋体" w:hAnsi="宋体" w:eastAsia="宋体" w:cs="宋体"/>
                <w:color w:val="auto"/>
                <w:szCs w:val="22"/>
                <w:highlight w:val="none"/>
              </w:rPr>
            </w:pPr>
            <w:r>
              <w:rPr>
                <w:rFonts w:hint="eastAsia" w:ascii="Calibri" w:hAnsi="Calibri" w:eastAsia="宋体" w:cs="Times New Roman"/>
                <w:color w:val="auto"/>
                <w:szCs w:val="22"/>
                <w:highlight w:val="none"/>
              </w:rPr>
              <w:t>（</w:t>
            </w:r>
            <w:r>
              <w:rPr>
                <w:rFonts w:hint="eastAsia" w:ascii="宋体" w:hAnsi="宋体" w:eastAsia="宋体" w:cs="宋体"/>
                <w:color w:val="auto"/>
                <w:szCs w:val="22"/>
                <w:highlight w:val="none"/>
              </w:rPr>
              <w:t>八）★资料提交要求</w:t>
            </w: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rPr>
              <w:t>1.中标人供货时应提供的资料内容</w:t>
            </w: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rPr>
              <w:t>（1）制造的产品必须提供出厂合格证，并提供采购人名下终端客户保修注册资料。（2）关键产品/主机设备的用户手册、保修手册、有关单证资料及配备件、随机工具等，使用操作及安全须知等重要资料应附有中文说明。</w:t>
            </w:r>
          </w:p>
          <w:p w14:paraId="38182D8E">
            <w:pPr>
              <w:rPr>
                <w:rFonts w:hint="default" w:ascii="宋体" w:hAnsi="宋体" w:eastAsia="宋体" w:cs="宋体"/>
                <w:color w:val="auto"/>
                <w:szCs w:val="22"/>
                <w:highlight w:val="none"/>
                <w:lang w:val="en-US" w:eastAsia="zh-CN"/>
              </w:rPr>
            </w:pPr>
            <w:r>
              <w:rPr>
                <w:rFonts w:hint="eastAsia" w:ascii="宋体" w:hAnsi="宋体" w:eastAsia="宋体" w:cs="宋体"/>
                <w:color w:val="auto"/>
                <w:szCs w:val="22"/>
                <w:highlight w:val="none"/>
              </w:rPr>
              <w:t>（</w:t>
            </w:r>
            <w:r>
              <w:rPr>
                <w:rFonts w:hint="eastAsia" w:ascii="宋体" w:hAnsi="宋体" w:eastAsia="宋体" w:cs="宋体"/>
                <w:color w:val="auto"/>
                <w:szCs w:val="22"/>
                <w:highlight w:val="none"/>
                <w:lang w:val="en-US" w:eastAsia="zh-CN"/>
              </w:rPr>
              <w:t>九</w:t>
            </w:r>
            <w:r>
              <w:rPr>
                <w:rFonts w:hint="eastAsia" w:ascii="宋体" w:hAnsi="宋体" w:eastAsia="宋体" w:cs="宋体"/>
                <w:color w:val="auto"/>
                <w:szCs w:val="22"/>
                <w:highlight w:val="none"/>
              </w:rPr>
              <w:t>）★知识产权</w:t>
            </w:r>
            <w:r>
              <w:rPr>
                <w:rFonts w:hint="eastAsia" w:ascii="宋体" w:hAnsi="宋体" w:eastAsia="宋体" w:cs="宋体"/>
                <w:color w:val="auto"/>
                <w:szCs w:val="22"/>
                <w:highlight w:val="none"/>
                <w:lang w:eastAsia="zh-CN"/>
              </w:rPr>
              <w:t>及保密</w:t>
            </w:r>
            <w:r>
              <w:rPr>
                <w:rFonts w:hint="eastAsia" w:ascii="宋体" w:hAnsi="宋体" w:eastAsia="宋体" w:cs="宋体"/>
                <w:color w:val="auto"/>
                <w:szCs w:val="22"/>
                <w:highlight w:val="none"/>
              </w:rPr>
              <w:t>要求</w:t>
            </w: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lang w:val="en-US" w:eastAsia="zh-CN"/>
              </w:rPr>
              <w:t>1.知识产权：</w:t>
            </w:r>
            <w:r>
              <w:rPr>
                <w:rFonts w:hint="eastAsia" w:ascii="宋体" w:hAnsi="宋体" w:eastAsia="宋体" w:cs="宋体"/>
                <w:color w:val="auto"/>
                <w:szCs w:val="22"/>
                <w:highlight w:val="none"/>
              </w:rPr>
              <w:t>中标人必须保证，采购人在中华人民共和国境内使用本项目货物、资料、技术、服务或其任何一部分时，享有不受限制的无偿使用权，如有第三方向采购人提出侵犯其专利权、商标权或其它知识产权的主张，该责任应由中标人承担。</w:t>
            </w:r>
            <w:r>
              <w:rPr>
                <w:rFonts w:hint="eastAsia" w:ascii="宋体" w:hAnsi="宋体" w:eastAsia="宋体" w:cs="宋体"/>
                <w:color w:val="auto"/>
                <w:szCs w:val="22"/>
                <w:highlight w:val="none"/>
                <w:lang w:val="en-US" w:eastAsia="zh-CN"/>
              </w:rPr>
              <w:t>2.保密要求：</w:t>
            </w: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lang w:val="en-US" w:eastAsia="zh-CN"/>
              </w:rPr>
              <w:t>1）</w:t>
            </w:r>
            <w:r>
              <w:rPr>
                <w:rFonts w:hint="eastAsia" w:ascii="宋体" w:hAnsi="宋体" w:eastAsia="宋体" w:cs="宋体"/>
                <w:color w:val="auto"/>
                <w:szCs w:val="22"/>
                <w:highlight w:val="none"/>
              </w:rPr>
              <w:t>项目实施服务过程中至中标人正式向采购人交付技术文档资料时止，中标人必须采取措施对本项目实施过程中的数据、源代码、技术文档等资料保密，否则，由于中标人过错导致的上述资料泄密的，中标人必须承担一切责任。项目完成后，采购人、中标人双方均有责任对本项目的技术保密承担责任。</w:t>
            </w: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lang w:val="en-US" w:eastAsia="zh-CN"/>
              </w:rPr>
              <w:t>2）</w:t>
            </w:r>
            <w:r>
              <w:rPr>
                <w:rFonts w:hint="eastAsia" w:ascii="宋体" w:hAnsi="宋体" w:eastAsia="宋体" w:cs="宋体"/>
                <w:color w:val="auto"/>
                <w:szCs w:val="22"/>
                <w:highlight w:val="none"/>
              </w:rPr>
              <w:t>未经中标人事先书面同意，采购人不得将由中标人为本合同提供的条文、规格、计划、图纸、模型、样品或资料提供给与本合同无关的任何第三方，不得将其用于履行本合同之外的其它用途。即使向与履行本合同有关的人员提供，也应注意保密并限于履行合同所必需的范围。</w:t>
            </w:r>
          </w:p>
          <w:p w14:paraId="6D2C7EAB">
            <w:pPr>
              <w:rPr>
                <w:rFonts w:hint="eastAsia" w:ascii="Calibri" w:hAnsi="Calibri" w:eastAsia="宋体" w:cs="Times New Roman"/>
                <w:color w:val="auto"/>
                <w:szCs w:val="22"/>
                <w:highlight w:val="none"/>
              </w:rPr>
            </w:pP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lang w:val="en-US" w:eastAsia="zh-CN"/>
              </w:rPr>
              <w:t>十</w:t>
            </w: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rPr>
              <w:t>★政策性要求</w:t>
            </w: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lang w:val="en-US" w:eastAsia="zh-CN"/>
              </w:rPr>
              <w:t>1.</w:t>
            </w:r>
            <w:r>
              <w:rPr>
                <w:rFonts w:hint="eastAsia" w:ascii="宋体" w:hAnsi="宋体" w:eastAsia="宋体" w:cs="宋体"/>
                <w:color w:val="auto"/>
                <w:szCs w:val="22"/>
                <w:highlight w:val="none"/>
              </w:rPr>
              <w:t>节能产品的优先采购和强制采购以财政部、发展改革委、生态环境部等部门公布的最新《节能产品政府采购品目清单》中所列产品及相关规定为准。如果涉及到政府强制采购节能，供应商必须在投标文件中明确列明具体产品的名称并提供国家确定的认证机构出具的处于有效期之内的节能产品认证证书。</w:t>
            </w:r>
            <w:r>
              <w:rPr>
                <w:rFonts w:hint="eastAsia" w:ascii="宋体" w:hAnsi="宋体" w:eastAsia="宋体" w:cs="宋体"/>
                <w:color w:val="auto"/>
                <w:szCs w:val="22"/>
                <w:highlight w:val="none"/>
                <w:lang w:val="en-US" w:eastAsia="zh-CN"/>
              </w:rPr>
              <w:t>2.</w:t>
            </w:r>
            <w:r>
              <w:rPr>
                <w:rFonts w:hint="eastAsia" w:ascii="宋体" w:hAnsi="宋体" w:eastAsia="宋体" w:cs="宋体"/>
                <w:color w:val="auto"/>
                <w:szCs w:val="22"/>
                <w:highlight w:val="none"/>
              </w:rPr>
              <w:t>环境标志产品的优先采购以财政部、发展改革委、生态环境部等部门公布的最新《环境标志产品政府采购品目清单》所列产品为准。投标产品涉及到环境标志产品的，供应商需在投标文件中明确列明具体产品的名称并提供国家确定的认证机构出具的处于有效期之内的环境标志产品认证证书。</w:t>
            </w:r>
          </w:p>
          <w:p w14:paraId="75D26F9E">
            <w:pPr>
              <w:numPr>
                <w:ilvl w:val="0"/>
                <w:numId w:val="0"/>
              </w:numPr>
              <w:rPr>
                <w:rFonts w:hint="eastAsia" w:ascii="Calibri" w:hAnsi="Calibri" w:eastAsia="宋体" w:cs="Times New Roman"/>
                <w:color w:val="auto"/>
                <w:szCs w:val="22"/>
                <w:highlight w:val="none"/>
              </w:rPr>
            </w:pPr>
            <w:r>
              <w:rPr>
                <w:rFonts w:hint="eastAsia" w:ascii="Calibri" w:hAnsi="Calibri" w:eastAsia="宋体" w:cs="Times New Roman"/>
                <w:color w:val="auto"/>
                <w:szCs w:val="22"/>
                <w:highlight w:val="none"/>
                <w:lang w:val="en-US" w:eastAsia="zh-CN"/>
              </w:rPr>
              <w:t>（十一）采购产品要求：</w:t>
            </w:r>
            <w:r>
              <w:rPr>
                <w:rFonts w:hint="eastAsia" w:ascii="宋体" w:hAnsi="宋体" w:eastAsia="宋体" w:cs="宋体"/>
                <w:color w:val="auto"/>
                <w:sz w:val="21"/>
                <w:szCs w:val="21"/>
                <w:highlight w:val="none"/>
              </w:rPr>
              <w:t>1.本项目部分设备允许进口产品参与投标，投标人在投标时既可提供本国产品，也可提供进口产品。</w:t>
            </w:r>
          </w:p>
        </w:tc>
      </w:tr>
    </w:tbl>
    <w:p w14:paraId="25AC0AE2">
      <w:pPr>
        <w:spacing w:line="360" w:lineRule="auto"/>
        <w:ind w:firstLine="480"/>
        <w:rPr>
          <w:rFonts w:hint="eastAsia" w:ascii="宋体" w:hAnsi="宋体" w:eastAsia="宋体" w:cs="宋体"/>
          <w:color w:val="auto"/>
          <w:sz w:val="24"/>
          <w:szCs w:val="24"/>
          <w:highlight w:val="none"/>
        </w:rPr>
      </w:pPr>
    </w:p>
    <w:p w14:paraId="75FBB96A">
      <w:pPr>
        <w:spacing w:line="360" w:lineRule="auto"/>
        <w:ind w:firstLine="480"/>
        <w:rPr>
          <w:rFonts w:hint="eastAsia" w:ascii="宋体" w:hAnsi="宋体" w:eastAsia="宋体" w:cs="宋体"/>
          <w:color w:val="auto"/>
          <w:sz w:val="24"/>
          <w:szCs w:val="24"/>
          <w:highlight w:val="none"/>
        </w:rPr>
      </w:pPr>
    </w:p>
    <w:sectPr>
      <w:footerReference r:id="rId5" w:type="first"/>
      <w:footerReference r:id="rId3" w:type="default"/>
      <w:footerReference r:id="rId4" w:type="even"/>
      <w:pgSz w:w="11906" w:h="16838"/>
      <w:pgMar w:top="1440" w:right="1304" w:bottom="1440"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0CD97">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17D23E">
                          <w:pPr>
                            <w:pStyle w:val="2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B17D23E">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5AFDC">
    <w:pPr>
      <w:pStyle w:val="29"/>
      <w:framePr w:wrap="around" w:vAnchor="text" w:hAnchor="margin" w:xAlign="center" w:y="1"/>
      <w:rPr>
        <w:rStyle w:val="44"/>
      </w:rPr>
    </w:pPr>
    <w:r>
      <w:fldChar w:fldCharType="begin"/>
    </w:r>
    <w:r>
      <w:rPr>
        <w:rStyle w:val="44"/>
      </w:rPr>
      <w:instrText xml:space="preserve">PAGE  </w:instrText>
    </w:r>
    <w:r>
      <w:fldChar w:fldCharType="separate"/>
    </w:r>
    <w:r>
      <w:rPr>
        <w:rStyle w:val="44"/>
      </w:rPr>
      <w:t>- 2 -</w:t>
    </w:r>
    <w:r>
      <w:fldChar w:fldCharType="end"/>
    </w:r>
  </w:p>
  <w:p w14:paraId="5BF91A1E">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3BD1B">
    <w:pPr>
      <w:pStyle w:val="29"/>
      <w:framePr w:wrap="around" w:vAnchor="text" w:hAnchor="margin" w:xAlign="right" w:yAlign="top"/>
      <w:pBdr>
        <w:between w:val="none" w:color="auto" w:sz="0" w:space="0"/>
      </w:pBdr>
    </w:pPr>
    <w:r>
      <w:fldChar w:fldCharType="begin"/>
    </w:r>
    <w:r>
      <w:rPr>
        <w:rStyle w:val="44"/>
      </w:rPr>
      <w:instrText xml:space="preserve"> PAGE  </w:instrText>
    </w:r>
    <w:r>
      <w:fldChar w:fldCharType="separate"/>
    </w:r>
    <w:r>
      <w:rPr>
        <w:rStyle w:val="44"/>
      </w:rPr>
      <w:t>- 2 -</w:t>
    </w:r>
    <w:r>
      <w:fldChar w:fldCharType="end"/>
    </w:r>
  </w:p>
  <w:p w14:paraId="3B791E41">
    <w:pPr>
      <w:pStyle w:val="2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decimal"/>
      <w:pStyle w:val="15"/>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9"/>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ZDNiYjAyZDFmYjgxMzQ2ZGNhYmUyNjk3YzAyOTMifQ=="/>
  </w:docVars>
  <w:rsids>
    <w:rsidRoot w:val="00172A27"/>
    <w:rsid w:val="00015CA9"/>
    <w:rsid w:val="00017E50"/>
    <w:rsid w:val="00020F99"/>
    <w:rsid w:val="000223D6"/>
    <w:rsid w:val="000231B8"/>
    <w:rsid w:val="000253C3"/>
    <w:rsid w:val="00030211"/>
    <w:rsid w:val="00033A64"/>
    <w:rsid w:val="0003689D"/>
    <w:rsid w:val="00042019"/>
    <w:rsid w:val="00042564"/>
    <w:rsid w:val="00042655"/>
    <w:rsid w:val="000444A6"/>
    <w:rsid w:val="00044525"/>
    <w:rsid w:val="00046CCC"/>
    <w:rsid w:val="00051B7C"/>
    <w:rsid w:val="00052019"/>
    <w:rsid w:val="0005309F"/>
    <w:rsid w:val="00053C82"/>
    <w:rsid w:val="00054FFF"/>
    <w:rsid w:val="00055560"/>
    <w:rsid w:val="00062726"/>
    <w:rsid w:val="00064AA2"/>
    <w:rsid w:val="000666F8"/>
    <w:rsid w:val="000671C3"/>
    <w:rsid w:val="000714E0"/>
    <w:rsid w:val="00076FC8"/>
    <w:rsid w:val="000811D9"/>
    <w:rsid w:val="000840F3"/>
    <w:rsid w:val="00084C0B"/>
    <w:rsid w:val="00084FBF"/>
    <w:rsid w:val="00090162"/>
    <w:rsid w:val="00090890"/>
    <w:rsid w:val="00096825"/>
    <w:rsid w:val="00096CA3"/>
    <w:rsid w:val="000A273E"/>
    <w:rsid w:val="000A2A7E"/>
    <w:rsid w:val="000A4E66"/>
    <w:rsid w:val="000A54DC"/>
    <w:rsid w:val="000A6C05"/>
    <w:rsid w:val="000B50A5"/>
    <w:rsid w:val="000B5E87"/>
    <w:rsid w:val="000B7024"/>
    <w:rsid w:val="000B7891"/>
    <w:rsid w:val="000C12CC"/>
    <w:rsid w:val="000C2E4E"/>
    <w:rsid w:val="000C3B7C"/>
    <w:rsid w:val="000C4BDD"/>
    <w:rsid w:val="000C60B4"/>
    <w:rsid w:val="000D2AE9"/>
    <w:rsid w:val="000D3D3E"/>
    <w:rsid w:val="000D50D0"/>
    <w:rsid w:val="000F009E"/>
    <w:rsid w:val="000F00E6"/>
    <w:rsid w:val="000F1D04"/>
    <w:rsid w:val="000F1DF2"/>
    <w:rsid w:val="000F4329"/>
    <w:rsid w:val="000F4E1D"/>
    <w:rsid w:val="000F60D1"/>
    <w:rsid w:val="001001BB"/>
    <w:rsid w:val="00100E7B"/>
    <w:rsid w:val="00101065"/>
    <w:rsid w:val="001040BC"/>
    <w:rsid w:val="001043F3"/>
    <w:rsid w:val="0010460F"/>
    <w:rsid w:val="0010571D"/>
    <w:rsid w:val="001125EA"/>
    <w:rsid w:val="00112AB8"/>
    <w:rsid w:val="001134B2"/>
    <w:rsid w:val="001155A4"/>
    <w:rsid w:val="00117C8F"/>
    <w:rsid w:val="00122F56"/>
    <w:rsid w:val="00126067"/>
    <w:rsid w:val="001279FD"/>
    <w:rsid w:val="001306FE"/>
    <w:rsid w:val="00137CF6"/>
    <w:rsid w:val="00140A0D"/>
    <w:rsid w:val="00141263"/>
    <w:rsid w:val="00141A4A"/>
    <w:rsid w:val="00145116"/>
    <w:rsid w:val="00152E15"/>
    <w:rsid w:val="00156A1E"/>
    <w:rsid w:val="00160F37"/>
    <w:rsid w:val="0016216F"/>
    <w:rsid w:val="00162BA8"/>
    <w:rsid w:val="00164396"/>
    <w:rsid w:val="00174A97"/>
    <w:rsid w:val="00175F65"/>
    <w:rsid w:val="0019113E"/>
    <w:rsid w:val="00191988"/>
    <w:rsid w:val="00191D01"/>
    <w:rsid w:val="00193B04"/>
    <w:rsid w:val="001A0DE1"/>
    <w:rsid w:val="001A2388"/>
    <w:rsid w:val="001A4BCA"/>
    <w:rsid w:val="001B01B3"/>
    <w:rsid w:val="001B7CB9"/>
    <w:rsid w:val="001C15FF"/>
    <w:rsid w:val="001C1DE3"/>
    <w:rsid w:val="001C1EE8"/>
    <w:rsid w:val="001C5173"/>
    <w:rsid w:val="001C5D1A"/>
    <w:rsid w:val="001C621B"/>
    <w:rsid w:val="001C6713"/>
    <w:rsid w:val="001C6E45"/>
    <w:rsid w:val="001E5AD1"/>
    <w:rsid w:val="001E7651"/>
    <w:rsid w:val="001F5609"/>
    <w:rsid w:val="00201182"/>
    <w:rsid w:val="002042D1"/>
    <w:rsid w:val="002050D1"/>
    <w:rsid w:val="00206DA1"/>
    <w:rsid w:val="0021025E"/>
    <w:rsid w:val="00210D7D"/>
    <w:rsid w:val="00211547"/>
    <w:rsid w:val="0021205F"/>
    <w:rsid w:val="00212F6A"/>
    <w:rsid w:val="0021385D"/>
    <w:rsid w:val="00213CF4"/>
    <w:rsid w:val="00216280"/>
    <w:rsid w:val="0022007A"/>
    <w:rsid w:val="00222E29"/>
    <w:rsid w:val="00224746"/>
    <w:rsid w:val="00225A68"/>
    <w:rsid w:val="00226998"/>
    <w:rsid w:val="00226F15"/>
    <w:rsid w:val="002350C7"/>
    <w:rsid w:val="00235820"/>
    <w:rsid w:val="00240F41"/>
    <w:rsid w:val="00243ECE"/>
    <w:rsid w:val="002456A9"/>
    <w:rsid w:val="00256F51"/>
    <w:rsid w:val="00257A03"/>
    <w:rsid w:val="00260401"/>
    <w:rsid w:val="00267CA6"/>
    <w:rsid w:val="0027025D"/>
    <w:rsid w:val="00271901"/>
    <w:rsid w:val="00273E72"/>
    <w:rsid w:val="002754BE"/>
    <w:rsid w:val="00277A08"/>
    <w:rsid w:val="0028054C"/>
    <w:rsid w:val="00280F8C"/>
    <w:rsid w:val="00282D9C"/>
    <w:rsid w:val="002855AF"/>
    <w:rsid w:val="00296151"/>
    <w:rsid w:val="002A0469"/>
    <w:rsid w:val="002A12E7"/>
    <w:rsid w:val="002A133D"/>
    <w:rsid w:val="002A3BC0"/>
    <w:rsid w:val="002A56AF"/>
    <w:rsid w:val="002A5AF9"/>
    <w:rsid w:val="002B28FD"/>
    <w:rsid w:val="002B29E4"/>
    <w:rsid w:val="002B4053"/>
    <w:rsid w:val="002C5427"/>
    <w:rsid w:val="002C5EAC"/>
    <w:rsid w:val="002C61D7"/>
    <w:rsid w:val="002C7CCE"/>
    <w:rsid w:val="002D1A0F"/>
    <w:rsid w:val="002E27CA"/>
    <w:rsid w:val="002E4265"/>
    <w:rsid w:val="002E581D"/>
    <w:rsid w:val="002E76D6"/>
    <w:rsid w:val="002F0B19"/>
    <w:rsid w:val="002F1786"/>
    <w:rsid w:val="002F7541"/>
    <w:rsid w:val="002F76FA"/>
    <w:rsid w:val="00303C11"/>
    <w:rsid w:val="00306BE2"/>
    <w:rsid w:val="00310B88"/>
    <w:rsid w:val="00314A91"/>
    <w:rsid w:val="00316101"/>
    <w:rsid w:val="00317886"/>
    <w:rsid w:val="003201BB"/>
    <w:rsid w:val="00320CC9"/>
    <w:rsid w:val="003366CE"/>
    <w:rsid w:val="00340511"/>
    <w:rsid w:val="00341B34"/>
    <w:rsid w:val="00341CFE"/>
    <w:rsid w:val="00342BA2"/>
    <w:rsid w:val="0034364B"/>
    <w:rsid w:val="00344C72"/>
    <w:rsid w:val="003453E9"/>
    <w:rsid w:val="00346C08"/>
    <w:rsid w:val="003507BD"/>
    <w:rsid w:val="00351E06"/>
    <w:rsid w:val="0035228A"/>
    <w:rsid w:val="003552C9"/>
    <w:rsid w:val="0036101B"/>
    <w:rsid w:val="00361D67"/>
    <w:rsid w:val="0036262A"/>
    <w:rsid w:val="003651FF"/>
    <w:rsid w:val="00365211"/>
    <w:rsid w:val="00365EE2"/>
    <w:rsid w:val="003671CE"/>
    <w:rsid w:val="00370757"/>
    <w:rsid w:val="003751B9"/>
    <w:rsid w:val="00380DA0"/>
    <w:rsid w:val="00381370"/>
    <w:rsid w:val="003855C7"/>
    <w:rsid w:val="00387FFD"/>
    <w:rsid w:val="00390482"/>
    <w:rsid w:val="00390FE5"/>
    <w:rsid w:val="00393B74"/>
    <w:rsid w:val="003978BA"/>
    <w:rsid w:val="003A0937"/>
    <w:rsid w:val="003A1779"/>
    <w:rsid w:val="003A2163"/>
    <w:rsid w:val="003B05F9"/>
    <w:rsid w:val="003B09C2"/>
    <w:rsid w:val="003B21C8"/>
    <w:rsid w:val="003D10FC"/>
    <w:rsid w:val="003D44FA"/>
    <w:rsid w:val="003D46EC"/>
    <w:rsid w:val="003E08A2"/>
    <w:rsid w:val="003E171F"/>
    <w:rsid w:val="003E4BF4"/>
    <w:rsid w:val="003E7B51"/>
    <w:rsid w:val="003F0512"/>
    <w:rsid w:val="003F2744"/>
    <w:rsid w:val="003F2A85"/>
    <w:rsid w:val="00401349"/>
    <w:rsid w:val="00401470"/>
    <w:rsid w:val="0040272F"/>
    <w:rsid w:val="00405652"/>
    <w:rsid w:val="004126F3"/>
    <w:rsid w:val="004130F6"/>
    <w:rsid w:val="004209BA"/>
    <w:rsid w:val="00423296"/>
    <w:rsid w:val="00423D6B"/>
    <w:rsid w:val="004247CE"/>
    <w:rsid w:val="00425B03"/>
    <w:rsid w:val="00426273"/>
    <w:rsid w:val="0043026B"/>
    <w:rsid w:val="004312DF"/>
    <w:rsid w:val="00431A91"/>
    <w:rsid w:val="004358E2"/>
    <w:rsid w:val="00437B1A"/>
    <w:rsid w:val="00440EE3"/>
    <w:rsid w:val="00441665"/>
    <w:rsid w:val="004432A2"/>
    <w:rsid w:val="00444E23"/>
    <w:rsid w:val="00451B03"/>
    <w:rsid w:val="00461AF4"/>
    <w:rsid w:val="004779CD"/>
    <w:rsid w:val="00480E7E"/>
    <w:rsid w:val="00482508"/>
    <w:rsid w:val="00483438"/>
    <w:rsid w:val="00484320"/>
    <w:rsid w:val="004960C5"/>
    <w:rsid w:val="004B55F8"/>
    <w:rsid w:val="004B6FAD"/>
    <w:rsid w:val="004B6FDB"/>
    <w:rsid w:val="004B731F"/>
    <w:rsid w:val="004B78BA"/>
    <w:rsid w:val="004C20A8"/>
    <w:rsid w:val="004C2A64"/>
    <w:rsid w:val="004C6BB4"/>
    <w:rsid w:val="004C7C01"/>
    <w:rsid w:val="004C7E26"/>
    <w:rsid w:val="004D1114"/>
    <w:rsid w:val="004D36DF"/>
    <w:rsid w:val="004D4AC6"/>
    <w:rsid w:val="004D4F1D"/>
    <w:rsid w:val="004D7B10"/>
    <w:rsid w:val="004E0927"/>
    <w:rsid w:val="004E2999"/>
    <w:rsid w:val="004E3D65"/>
    <w:rsid w:val="004E4640"/>
    <w:rsid w:val="004F0ED8"/>
    <w:rsid w:val="004F4645"/>
    <w:rsid w:val="004F4D59"/>
    <w:rsid w:val="004F4F05"/>
    <w:rsid w:val="0050042E"/>
    <w:rsid w:val="00505E42"/>
    <w:rsid w:val="005060DA"/>
    <w:rsid w:val="00507B79"/>
    <w:rsid w:val="00511716"/>
    <w:rsid w:val="00516297"/>
    <w:rsid w:val="00525C17"/>
    <w:rsid w:val="0052736F"/>
    <w:rsid w:val="00530AE3"/>
    <w:rsid w:val="00534A34"/>
    <w:rsid w:val="00534AD8"/>
    <w:rsid w:val="00535CB8"/>
    <w:rsid w:val="00545309"/>
    <w:rsid w:val="00547722"/>
    <w:rsid w:val="00554D4A"/>
    <w:rsid w:val="005646F4"/>
    <w:rsid w:val="005676CE"/>
    <w:rsid w:val="0056790E"/>
    <w:rsid w:val="0057213D"/>
    <w:rsid w:val="00576F45"/>
    <w:rsid w:val="005933D5"/>
    <w:rsid w:val="0059657E"/>
    <w:rsid w:val="00596806"/>
    <w:rsid w:val="005979A1"/>
    <w:rsid w:val="005A3ECB"/>
    <w:rsid w:val="005A606D"/>
    <w:rsid w:val="005A68FC"/>
    <w:rsid w:val="005B39BB"/>
    <w:rsid w:val="005C6B47"/>
    <w:rsid w:val="005D2738"/>
    <w:rsid w:val="005D3218"/>
    <w:rsid w:val="005D5131"/>
    <w:rsid w:val="005D5FEA"/>
    <w:rsid w:val="005D67BF"/>
    <w:rsid w:val="005D753D"/>
    <w:rsid w:val="005F4484"/>
    <w:rsid w:val="005F5826"/>
    <w:rsid w:val="006012D9"/>
    <w:rsid w:val="006038F2"/>
    <w:rsid w:val="00603D41"/>
    <w:rsid w:val="00605728"/>
    <w:rsid w:val="00605F6F"/>
    <w:rsid w:val="00612EFE"/>
    <w:rsid w:val="00614491"/>
    <w:rsid w:val="00625573"/>
    <w:rsid w:val="0062749E"/>
    <w:rsid w:val="0063418E"/>
    <w:rsid w:val="00635DF8"/>
    <w:rsid w:val="00637134"/>
    <w:rsid w:val="00646A78"/>
    <w:rsid w:val="0065238D"/>
    <w:rsid w:val="0065356E"/>
    <w:rsid w:val="00655629"/>
    <w:rsid w:val="006576B8"/>
    <w:rsid w:val="00660357"/>
    <w:rsid w:val="006640F0"/>
    <w:rsid w:val="00666DEB"/>
    <w:rsid w:val="0066781E"/>
    <w:rsid w:val="00674454"/>
    <w:rsid w:val="00674823"/>
    <w:rsid w:val="0067545D"/>
    <w:rsid w:val="00675D27"/>
    <w:rsid w:val="00680CB4"/>
    <w:rsid w:val="0068300F"/>
    <w:rsid w:val="006834F1"/>
    <w:rsid w:val="00685860"/>
    <w:rsid w:val="00690299"/>
    <w:rsid w:val="00690923"/>
    <w:rsid w:val="0069130B"/>
    <w:rsid w:val="00691ECA"/>
    <w:rsid w:val="00694C78"/>
    <w:rsid w:val="006A0140"/>
    <w:rsid w:val="006A2755"/>
    <w:rsid w:val="006A2FE4"/>
    <w:rsid w:val="006A5C98"/>
    <w:rsid w:val="006B5B41"/>
    <w:rsid w:val="006C0F2B"/>
    <w:rsid w:val="006C2058"/>
    <w:rsid w:val="006C26DC"/>
    <w:rsid w:val="006C4576"/>
    <w:rsid w:val="006C5826"/>
    <w:rsid w:val="006C758C"/>
    <w:rsid w:val="006D0CF1"/>
    <w:rsid w:val="006D293B"/>
    <w:rsid w:val="006D4655"/>
    <w:rsid w:val="006D5A78"/>
    <w:rsid w:val="006D5D78"/>
    <w:rsid w:val="006D79EA"/>
    <w:rsid w:val="006D7FA6"/>
    <w:rsid w:val="006E2B6E"/>
    <w:rsid w:val="006E4572"/>
    <w:rsid w:val="006E4E9B"/>
    <w:rsid w:val="006E6A04"/>
    <w:rsid w:val="006F1DD8"/>
    <w:rsid w:val="006F236F"/>
    <w:rsid w:val="006F5DC1"/>
    <w:rsid w:val="006F7C4D"/>
    <w:rsid w:val="0070256F"/>
    <w:rsid w:val="00702CBB"/>
    <w:rsid w:val="0070311D"/>
    <w:rsid w:val="007056E8"/>
    <w:rsid w:val="0070612D"/>
    <w:rsid w:val="00707E3C"/>
    <w:rsid w:val="00711C48"/>
    <w:rsid w:val="0071244A"/>
    <w:rsid w:val="00712C8B"/>
    <w:rsid w:val="00716C6B"/>
    <w:rsid w:val="00717643"/>
    <w:rsid w:val="007207B6"/>
    <w:rsid w:val="00722180"/>
    <w:rsid w:val="00722A36"/>
    <w:rsid w:val="00732329"/>
    <w:rsid w:val="00733470"/>
    <w:rsid w:val="0074237A"/>
    <w:rsid w:val="00745C90"/>
    <w:rsid w:val="00745F34"/>
    <w:rsid w:val="007602F4"/>
    <w:rsid w:val="007605EA"/>
    <w:rsid w:val="00761C20"/>
    <w:rsid w:val="0076220F"/>
    <w:rsid w:val="007622B4"/>
    <w:rsid w:val="007633D9"/>
    <w:rsid w:val="0076350E"/>
    <w:rsid w:val="007655DA"/>
    <w:rsid w:val="00766114"/>
    <w:rsid w:val="00767F13"/>
    <w:rsid w:val="00774F05"/>
    <w:rsid w:val="007764B5"/>
    <w:rsid w:val="00777517"/>
    <w:rsid w:val="0078097B"/>
    <w:rsid w:val="00780EB8"/>
    <w:rsid w:val="007852C5"/>
    <w:rsid w:val="007858D1"/>
    <w:rsid w:val="0079289A"/>
    <w:rsid w:val="007950E2"/>
    <w:rsid w:val="00795B4F"/>
    <w:rsid w:val="00795E8A"/>
    <w:rsid w:val="00796F1A"/>
    <w:rsid w:val="00797285"/>
    <w:rsid w:val="007A0BEC"/>
    <w:rsid w:val="007A16B2"/>
    <w:rsid w:val="007A46F8"/>
    <w:rsid w:val="007B65B4"/>
    <w:rsid w:val="007C21E9"/>
    <w:rsid w:val="007C5EF6"/>
    <w:rsid w:val="007C7C55"/>
    <w:rsid w:val="007D27B5"/>
    <w:rsid w:val="007D6E02"/>
    <w:rsid w:val="007D7A2F"/>
    <w:rsid w:val="007E5756"/>
    <w:rsid w:val="007E737A"/>
    <w:rsid w:val="007F10FE"/>
    <w:rsid w:val="007F1295"/>
    <w:rsid w:val="007F1BEF"/>
    <w:rsid w:val="0080179E"/>
    <w:rsid w:val="00802855"/>
    <w:rsid w:val="00814342"/>
    <w:rsid w:val="00822D6A"/>
    <w:rsid w:val="008259C9"/>
    <w:rsid w:val="00832B4C"/>
    <w:rsid w:val="00833908"/>
    <w:rsid w:val="00835047"/>
    <w:rsid w:val="00835420"/>
    <w:rsid w:val="00835E8F"/>
    <w:rsid w:val="00836C6E"/>
    <w:rsid w:val="00840F8E"/>
    <w:rsid w:val="008412AF"/>
    <w:rsid w:val="00841D74"/>
    <w:rsid w:val="008472E4"/>
    <w:rsid w:val="0085127C"/>
    <w:rsid w:val="00852DAA"/>
    <w:rsid w:val="008554CE"/>
    <w:rsid w:val="00863CCB"/>
    <w:rsid w:val="00865189"/>
    <w:rsid w:val="00865DBD"/>
    <w:rsid w:val="00866B91"/>
    <w:rsid w:val="008679FA"/>
    <w:rsid w:val="00871F7C"/>
    <w:rsid w:val="00872139"/>
    <w:rsid w:val="00873188"/>
    <w:rsid w:val="00873B73"/>
    <w:rsid w:val="00882EDD"/>
    <w:rsid w:val="008903B6"/>
    <w:rsid w:val="00890C6C"/>
    <w:rsid w:val="00893A03"/>
    <w:rsid w:val="00895DD5"/>
    <w:rsid w:val="00896BFF"/>
    <w:rsid w:val="008A1C2C"/>
    <w:rsid w:val="008A66B4"/>
    <w:rsid w:val="008B206A"/>
    <w:rsid w:val="008B3056"/>
    <w:rsid w:val="008B479B"/>
    <w:rsid w:val="008B603F"/>
    <w:rsid w:val="008C0B21"/>
    <w:rsid w:val="008C32FA"/>
    <w:rsid w:val="008C3332"/>
    <w:rsid w:val="008C3874"/>
    <w:rsid w:val="008C59DE"/>
    <w:rsid w:val="008C79DD"/>
    <w:rsid w:val="008D003A"/>
    <w:rsid w:val="008D0471"/>
    <w:rsid w:val="008D34B9"/>
    <w:rsid w:val="008D6C95"/>
    <w:rsid w:val="008E45F8"/>
    <w:rsid w:val="008E5902"/>
    <w:rsid w:val="008E5AD2"/>
    <w:rsid w:val="008E69D3"/>
    <w:rsid w:val="008F083F"/>
    <w:rsid w:val="008F0BC2"/>
    <w:rsid w:val="008F0EDF"/>
    <w:rsid w:val="008F5CBA"/>
    <w:rsid w:val="008F7351"/>
    <w:rsid w:val="008F7ED9"/>
    <w:rsid w:val="00902028"/>
    <w:rsid w:val="00903552"/>
    <w:rsid w:val="00903726"/>
    <w:rsid w:val="009046BA"/>
    <w:rsid w:val="009050DF"/>
    <w:rsid w:val="0090741B"/>
    <w:rsid w:val="00907465"/>
    <w:rsid w:val="00912BD6"/>
    <w:rsid w:val="00914D7E"/>
    <w:rsid w:val="009163F0"/>
    <w:rsid w:val="00921893"/>
    <w:rsid w:val="009268AE"/>
    <w:rsid w:val="0093080D"/>
    <w:rsid w:val="0093235B"/>
    <w:rsid w:val="009411C3"/>
    <w:rsid w:val="00941693"/>
    <w:rsid w:val="00942F38"/>
    <w:rsid w:val="0094424B"/>
    <w:rsid w:val="00944C5D"/>
    <w:rsid w:val="00945F12"/>
    <w:rsid w:val="009524F1"/>
    <w:rsid w:val="00953351"/>
    <w:rsid w:val="00955416"/>
    <w:rsid w:val="00960858"/>
    <w:rsid w:val="00961163"/>
    <w:rsid w:val="00962DA0"/>
    <w:rsid w:val="00964281"/>
    <w:rsid w:val="00973666"/>
    <w:rsid w:val="00976654"/>
    <w:rsid w:val="00980C1B"/>
    <w:rsid w:val="0099312F"/>
    <w:rsid w:val="00993CD1"/>
    <w:rsid w:val="009A19AD"/>
    <w:rsid w:val="009A25DE"/>
    <w:rsid w:val="009A2C46"/>
    <w:rsid w:val="009A7629"/>
    <w:rsid w:val="009A7825"/>
    <w:rsid w:val="009B003B"/>
    <w:rsid w:val="009B193B"/>
    <w:rsid w:val="009B241A"/>
    <w:rsid w:val="009B70A1"/>
    <w:rsid w:val="009C3C0C"/>
    <w:rsid w:val="009C651C"/>
    <w:rsid w:val="009C67B8"/>
    <w:rsid w:val="009D05F4"/>
    <w:rsid w:val="009D283D"/>
    <w:rsid w:val="009D460E"/>
    <w:rsid w:val="009D576A"/>
    <w:rsid w:val="009D59F7"/>
    <w:rsid w:val="009D6922"/>
    <w:rsid w:val="009D7F74"/>
    <w:rsid w:val="009E464F"/>
    <w:rsid w:val="009F0A96"/>
    <w:rsid w:val="009F0B43"/>
    <w:rsid w:val="009F20FD"/>
    <w:rsid w:val="009F2DAE"/>
    <w:rsid w:val="009F5D60"/>
    <w:rsid w:val="00A003A5"/>
    <w:rsid w:val="00A0556B"/>
    <w:rsid w:val="00A05EB7"/>
    <w:rsid w:val="00A05F0F"/>
    <w:rsid w:val="00A06014"/>
    <w:rsid w:val="00A100F7"/>
    <w:rsid w:val="00A1233A"/>
    <w:rsid w:val="00A13245"/>
    <w:rsid w:val="00A23020"/>
    <w:rsid w:val="00A268DF"/>
    <w:rsid w:val="00A33117"/>
    <w:rsid w:val="00A432F2"/>
    <w:rsid w:val="00A4396D"/>
    <w:rsid w:val="00A442F0"/>
    <w:rsid w:val="00A46852"/>
    <w:rsid w:val="00A50D46"/>
    <w:rsid w:val="00A56B86"/>
    <w:rsid w:val="00A60A00"/>
    <w:rsid w:val="00A60C0D"/>
    <w:rsid w:val="00A610FF"/>
    <w:rsid w:val="00A618C1"/>
    <w:rsid w:val="00A61910"/>
    <w:rsid w:val="00A623B1"/>
    <w:rsid w:val="00A73E66"/>
    <w:rsid w:val="00A74CF9"/>
    <w:rsid w:val="00A74F80"/>
    <w:rsid w:val="00A8085A"/>
    <w:rsid w:val="00A81148"/>
    <w:rsid w:val="00A9064B"/>
    <w:rsid w:val="00A91F46"/>
    <w:rsid w:val="00A93FDB"/>
    <w:rsid w:val="00A94BAF"/>
    <w:rsid w:val="00A96AF4"/>
    <w:rsid w:val="00AA02CE"/>
    <w:rsid w:val="00AA0F1A"/>
    <w:rsid w:val="00AA1881"/>
    <w:rsid w:val="00AA4B78"/>
    <w:rsid w:val="00AA5FD6"/>
    <w:rsid w:val="00AA67E1"/>
    <w:rsid w:val="00AB1828"/>
    <w:rsid w:val="00AB3B58"/>
    <w:rsid w:val="00AC1905"/>
    <w:rsid w:val="00AC2F03"/>
    <w:rsid w:val="00AC3712"/>
    <w:rsid w:val="00AC4125"/>
    <w:rsid w:val="00AC6AEB"/>
    <w:rsid w:val="00AC70BE"/>
    <w:rsid w:val="00AD7436"/>
    <w:rsid w:val="00AE1B7D"/>
    <w:rsid w:val="00AE369F"/>
    <w:rsid w:val="00AE4575"/>
    <w:rsid w:val="00AE52F6"/>
    <w:rsid w:val="00AE58D8"/>
    <w:rsid w:val="00AE7BF4"/>
    <w:rsid w:val="00AF2BEF"/>
    <w:rsid w:val="00AF7DEE"/>
    <w:rsid w:val="00B00742"/>
    <w:rsid w:val="00B0195D"/>
    <w:rsid w:val="00B02686"/>
    <w:rsid w:val="00B05A94"/>
    <w:rsid w:val="00B11F4E"/>
    <w:rsid w:val="00B12E30"/>
    <w:rsid w:val="00B1542C"/>
    <w:rsid w:val="00B167C9"/>
    <w:rsid w:val="00B16BEE"/>
    <w:rsid w:val="00B2069B"/>
    <w:rsid w:val="00B25842"/>
    <w:rsid w:val="00B25C33"/>
    <w:rsid w:val="00B35F77"/>
    <w:rsid w:val="00B4369B"/>
    <w:rsid w:val="00B439B7"/>
    <w:rsid w:val="00B45130"/>
    <w:rsid w:val="00B46088"/>
    <w:rsid w:val="00B50ABE"/>
    <w:rsid w:val="00B53D3C"/>
    <w:rsid w:val="00B56B37"/>
    <w:rsid w:val="00B612E7"/>
    <w:rsid w:val="00B65A28"/>
    <w:rsid w:val="00B672B6"/>
    <w:rsid w:val="00B67D7F"/>
    <w:rsid w:val="00B765C2"/>
    <w:rsid w:val="00B771CB"/>
    <w:rsid w:val="00B808A7"/>
    <w:rsid w:val="00B87289"/>
    <w:rsid w:val="00B90EF2"/>
    <w:rsid w:val="00B91368"/>
    <w:rsid w:val="00B97687"/>
    <w:rsid w:val="00B97E99"/>
    <w:rsid w:val="00BA6F53"/>
    <w:rsid w:val="00BB0EB8"/>
    <w:rsid w:val="00BB26C2"/>
    <w:rsid w:val="00BB37B0"/>
    <w:rsid w:val="00BB61DE"/>
    <w:rsid w:val="00BB6C91"/>
    <w:rsid w:val="00BC0FFD"/>
    <w:rsid w:val="00BC22E6"/>
    <w:rsid w:val="00BC398B"/>
    <w:rsid w:val="00BC43EF"/>
    <w:rsid w:val="00BC4DCF"/>
    <w:rsid w:val="00BD0301"/>
    <w:rsid w:val="00BD2C55"/>
    <w:rsid w:val="00BD39D0"/>
    <w:rsid w:val="00BD6DFD"/>
    <w:rsid w:val="00BE7B71"/>
    <w:rsid w:val="00BF1859"/>
    <w:rsid w:val="00BF1BBC"/>
    <w:rsid w:val="00BF384C"/>
    <w:rsid w:val="00C0135E"/>
    <w:rsid w:val="00C0252B"/>
    <w:rsid w:val="00C0355C"/>
    <w:rsid w:val="00C04AD3"/>
    <w:rsid w:val="00C07C59"/>
    <w:rsid w:val="00C07CB0"/>
    <w:rsid w:val="00C12112"/>
    <w:rsid w:val="00C15042"/>
    <w:rsid w:val="00C16E55"/>
    <w:rsid w:val="00C179D1"/>
    <w:rsid w:val="00C2188F"/>
    <w:rsid w:val="00C22C6C"/>
    <w:rsid w:val="00C23EB6"/>
    <w:rsid w:val="00C269C3"/>
    <w:rsid w:val="00C26CAA"/>
    <w:rsid w:val="00C33164"/>
    <w:rsid w:val="00C34AAB"/>
    <w:rsid w:val="00C372B7"/>
    <w:rsid w:val="00C4093B"/>
    <w:rsid w:val="00C4120B"/>
    <w:rsid w:val="00C439E6"/>
    <w:rsid w:val="00C451FE"/>
    <w:rsid w:val="00C46477"/>
    <w:rsid w:val="00C510E1"/>
    <w:rsid w:val="00C562A0"/>
    <w:rsid w:val="00C56419"/>
    <w:rsid w:val="00C60AAB"/>
    <w:rsid w:val="00C637A4"/>
    <w:rsid w:val="00C65AE0"/>
    <w:rsid w:val="00C70694"/>
    <w:rsid w:val="00C72792"/>
    <w:rsid w:val="00C75228"/>
    <w:rsid w:val="00C76FB4"/>
    <w:rsid w:val="00C80FD7"/>
    <w:rsid w:val="00C86E67"/>
    <w:rsid w:val="00C909C1"/>
    <w:rsid w:val="00CA109F"/>
    <w:rsid w:val="00CB2469"/>
    <w:rsid w:val="00CB4007"/>
    <w:rsid w:val="00CB5BFC"/>
    <w:rsid w:val="00CB7574"/>
    <w:rsid w:val="00CC25E1"/>
    <w:rsid w:val="00CC4660"/>
    <w:rsid w:val="00CC7096"/>
    <w:rsid w:val="00CC7B83"/>
    <w:rsid w:val="00CD12CD"/>
    <w:rsid w:val="00CE08DF"/>
    <w:rsid w:val="00CE0DBC"/>
    <w:rsid w:val="00CE11CB"/>
    <w:rsid w:val="00CE6CD0"/>
    <w:rsid w:val="00CF059E"/>
    <w:rsid w:val="00CF0A15"/>
    <w:rsid w:val="00CF2107"/>
    <w:rsid w:val="00CF722C"/>
    <w:rsid w:val="00CF72C6"/>
    <w:rsid w:val="00CF7E04"/>
    <w:rsid w:val="00D0090A"/>
    <w:rsid w:val="00D01FDF"/>
    <w:rsid w:val="00D029B3"/>
    <w:rsid w:val="00D05614"/>
    <w:rsid w:val="00D0590B"/>
    <w:rsid w:val="00D05B3A"/>
    <w:rsid w:val="00D066A9"/>
    <w:rsid w:val="00D069D8"/>
    <w:rsid w:val="00D154CF"/>
    <w:rsid w:val="00D20E4F"/>
    <w:rsid w:val="00D23512"/>
    <w:rsid w:val="00D32F8F"/>
    <w:rsid w:val="00D3325B"/>
    <w:rsid w:val="00D33ABA"/>
    <w:rsid w:val="00D377AC"/>
    <w:rsid w:val="00D379B1"/>
    <w:rsid w:val="00D42434"/>
    <w:rsid w:val="00D42BBB"/>
    <w:rsid w:val="00D43A60"/>
    <w:rsid w:val="00D43C59"/>
    <w:rsid w:val="00D455BB"/>
    <w:rsid w:val="00D47023"/>
    <w:rsid w:val="00D5013C"/>
    <w:rsid w:val="00D501BD"/>
    <w:rsid w:val="00D55435"/>
    <w:rsid w:val="00D6731E"/>
    <w:rsid w:val="00D67B71"/>
    <w:rsid w:val="00D71E7B"/>
    <w:rsid w:val="00D724B9"/>
    <w:rsid w:val="00D76547"/>
    <w:rsid w:val="00D76B84"/>
    <w:rsid w:val="00D80A6C"/>
    <w:rsid w:val="00D8138A"/>
    <w:rsid w:val="00D834B8"/>
    <w:rsid w:val="00D91336"/>
    <w:rsid w:val="00D94455"/>
    <w:rsid w:val="00DA222A"/>
    <w:rsid w:val="00DA4D86"/>
    <w:rsid w:val="00DB4088"/>
    <w:rsid w:val="00DB463D"/>
    <w:rsid w:val="00DC089E"/>
    <w:rsid w:val="00DC6AC6"/>
    <w:rsid w:val="00DC77A6"/>
    <w:rsid w:val="00DD47F8"/>
    <w:rsid w:val="00DD4E99"/>
    <w:rsid w:val="00DD5BC2"/>
    <w:rsid w:val="00DD74AA"/>
    <w:rsid w:val="00DE36D5"/>
    <w:rsid w:val="00DE794C"/>
    <w:rsid w:val="00DF004B"/>
    <w:rsid w:val="00DF085E"/>
    <w:rsid w:val="00E012B7"/>
    <w:rsid w:val="00E02966"/>
    <w:rsid w:val="00E05DAC"/>
    <w:rsid w:val="00E0673C"/>
    <w:rsid w:val="00E06A13"/>
    <w:rsid w:val="00E10B33"/>
    <w:rsid w:val="00E14696"/>
    <w:rsid w:val="00E21CAC"/>
    <w:rsid w:val="00E31967"/>
    <w:rsid w:val="00E34936"/>
    <w:rsid w:val="00E37256"/>
    <w:rsid w:val="00E4415F"/>
    <w:rsid w:val="00E4454A"/>
    <w:rsid w:val="00E525FC"/>
    <w:rsid w:val="00E53CD2"/>
    <w:rsid w:val="00E544BC"/>
    <w:rsid w:val="00E60EF5"/>
    <w:rsid w:val="00E61297"/>
    <w:rsid w:val="00E62197"/>
    <w:rsid w:val="00E65A1D"/>
    <w:rsid w:val="00E67B52"/>
    <w:rsid w:val="00E67FAC"/>
    <w:rsid w:val="00E75A48"/>
    <w:rsid w:val="00E76795"/>
    <w:rsid w:val="00E856F3"/>
    <w:rsid w:val="00E85DC3"/>
    <w:rsid w:val="00E906AD"/>
    <w:rsid w:val="00E907D3"/>
    <w:rsid w:val="00E93F9C"/>
    <w:rsid w:val="00E9562D"/>
    <w:rsid w:val="00E97A12"/>
    <w:rsid w:val="00EA00D1"/>
    <w:rsid w:val="00EA1D5E"/>
    <w:rsid w:val="00EA2435"/>
    <w:rsid w:val="00EA2B47"/>
    <w:rsid w:val="00EA4EA7"/>
    <w:rsid w:val="00EB088E"/>
    <w:rsid w:val="00EB2CF7"/>
    <w:rsid w:val="00EB3A57"/>
    <w:rsid w:val="00EB67EF"/>
    <w:rsid w:val="00EC23AB"/>
    <w:rsid w:val="00EC362B"/>
    <w:rsid w:val="00EC40A1"/>
    <w:rsid w:val="00EC5254"/>
    <w:rsid w:val="00EC534C"/>
    <w:rsid w:val="00ED1978"/>
    <w:rsid w:val="00ED1C17"/>
    <w:rsid w:val="00ED2159"/>
    <w:rsid w:val="00EE41DD"/>
    <w:rsid w:val="00EE7CA7"/>
    <w:rsid w:val="00EF542A"/>
    <w:rsid w:val="00EF6F2B"/>
    <w:rsid w:val="00F00E0B"/>
    <w:rsid w:val="00F01ED8"/>
    <w:rsid w:val="00F02B2E"/>
    <w:rsid w:val="00F02F96"/>
    <w:rsid w:val="00F05E30"/>
    <w:rsid w:val="00F06D68"/>
    <w:rsid w:val="00F113BB"/>
    <w:rsid w:val="00F13CB1"/>
    <w:rsid w:val="00F16ADE"/>
    <w:rsid w:val="00F202A1"/>
    <w:rsid w:val="00F21B82"/>
    <w:rsid w:val="00F23FC9"/>
    <w:rsid w:val="00F25C45"/>
    <w:rsid w:val="00F327E2"/>
    <w:rsid w:val="00F36D2C"/>
    <w:rsid w:val="00F42395"/>
    <w:rsid w:val="00F45903"/>
    <w:rsid w:val="00F46C3A"/>
    <w:rsid w:val="00F476E1"/>
    <w:rsid w:val="00F50A57"/>
    <w:rsid w:val="00F513F6"/>
    <w:rsid w:val="00F5528D"/>
    <w:rsid w:val="00F56DAA"/>
    <w:rsid w:val="00F6258C"/>
    <w:rsid w:val="00F81FA6"/>
    <w:rsid w:val="00F8520D"/>
    <w:rsid w:val="00F86A77"/>
    <w:rsid w:val="00F9055B"/>
    <w:rsid w:val="00F909FB"/>
    <w:rsid w:val="00F91511"/>
    <w:rsid w:val="00F9160F"/>
    <w:rsid w:val="00F9229E"/>
    <w:rsid w:val="00F93401"/>
    <w:rsid w:val="00F943B9"/>
    <w:rsid w:val="00F94E29"/>
    <w:rsid w:val="00F95DD8"/>
    <w:rsid w:val="00FA1216"/>
    <w:rsid w:val="00FA578F"/>
    <w:rsid w:val="00FA6AF1"/>
    <w:rsid w:val="00FB0726"/>
    <w:rsid w:val="00FB0BBA"/>
    <w:rsid w:val="00FB4AAB"/>
    <w:rsid w:val="00FB53DD"/>
    <w:rsid w:val="00FB7404"/>
    <w:rsid w:val="00FC0727"/>
    <w:rsid w:val="00FC34B6"/>
    <w:rsid w:val="00FD5A97"/>
    <w:rsid w:val="00FE12C1"/>
    <w:rsid w:val="00FE1470"/>
    <w:rsid w:val="00FE1654"/>
    <w:rsid w:val="00FE3C0F"/>
    <w:rsid w:val="00FE534B"/>
    <w:rsid w:val="00FE5E82"/>
    <w:rsid w:val="00FF0DF4"/>
    <w:rsid w:val="00FF679A"/>
    <w:rsid w:val="00FF7B3F"/>
    <w:rsid w:val="01EF3980"/>
    <w:rsid w:val="055C30DB"/>
    <w:rsid w:val="0913264A"/>
    <w:rsid w:val="09572537"/>
    <w:rsid w:val="097212A6"/>
    <w:rsid w:val="0A3B3C06"/>
    <w:rsid w:val="0A636449"/>
    <w:rsid w:val="0CD05BD1"/>
    <w:rsid w:val="0DD24882"/>
    <w:rsid w:val="0E666D78"/>
    <w:rsid w:val="0F184516"/>
    <w:rsid w:val="11D1606C"/>
    <w:rsid w:val="12EB3D99"/>
    <w:rsid w:val="12F72DA8"/>
    <w:rsid w:val="13642D15"/>
    <w:rsid w:val="14726477"/>
    <w:rsid w:val="14BC06B6"/>
    <w:rsid w:val="17976347"/>
    <w:rsid w:val="1D5F77B4"/>
    <w:rsid w:val="1DDD38E2"/>
    <w:rsid w:val="1E7B061E"/>
    <w:rsid w:val="20546EBA"/>
    <w:rsid w:val="21296EDF"/>
    <w:rsid w:val="21BF3CEE"/>
    <w:rsid w:val="23137077"/>
    <w:rsid w:val="23F8626D"/>
    <w:rsid w:val="24765B0F"/>
    <w:rsid w:val="26CA27C8"/>
    <w:rsid w:val="273029C3"/>
    <w:rsid w:val="2A3D51DB"/>
    <w:rsid w:val="2C701096"/>
    <w:rsid w:val="2E7FE4EB"/>
    <w:rsid w:val="2FCB1497"/>
    <w:rsid w:val="325151F7"/>
    <w:rsid w:val="32B20949"/>
    <w:rsid w:val="32BB2489"/>
    <w:rsid w:val="33D26ADA"/>
    <w:rsid w:val="33E83C08"/>
    <w:rsid w:val="33ED2E34"/>
    <w:rsid w:val="341B5D8B"/>
    <w:rsid w:val="356C30A7"/>
    <w:rsid w:val="3577010C"/>
    <w:rsid w:val="37D3B3E1"/>
    <w:rsid w:val="3821593A"/>
    <w:rsid w:val="38893AE0"/>
    <w:rsid w:val="39B20F40"/>
    <w:rsid w:val="3B9D7B77"/>
    <w:rsid w:val="3C5E6A10"/>
    <w:rsid w:val="3CD9594D"/>
    <w:rsid w:val="3CE02650"/>
    <w:rsid w:val="3D071CAB"/>
    <w:rsid w:val="3E7E7642"/>
    <w:rsid w:val="3F7C4554"/>
    <w:rsid w:val="41D67795"/>
    <w:rsid w:val="41F07FB6"/>
    <w:rsid w:val="41F81C52"/>
    <w:rsid w:val="43B458B4"/>
    <w:rsid w:val="440A1978"/>
    <w:rsid w:val="446F7A2D"/>
    <w:rsid w:val="45E93109"/>
    <w:rsid w:val="4666249D"/>
    <w:rsid w:val="466B0DF4"/>
    <w:rsid w:val="47A4289A"/>
    <w:rsid w:val="487B2F69"/>
    <w:rsid w:val="49431BB4"/>
    <w:rsid w:val="54363F38"/>
    <w:rsid w:val="54B629D5"/>
    <w:rsid w:val="55CF657E"/>
    <w:rsid w:val="560E596F"/>
    <w:rsid w:val="573568B4"/>
    <w:rsid w:val="58767185"/>
    <w:rsid w:val="5877A35F"/>
    <w:rsid w:val="59C208D3"/>
    <w:rsid w:val="5ABA3CA0"/>
    <w:rsid w:val="5D414ADD"/>
    <w:rsid w:val="5DC0337C"/>
    <w:rsid w:val="5EEB0790"/>
    <w:rsid w:val="5F083201"/>
    <w:rsid w:val="602F2C06"/>
    <w:rsid w:val="626E5E62"/>
    <w:rsid w:val="63274F95"/>
    <w:rsid w:val="63614411"/>
    <w:rsid w:val="65696A48"/>
    <w:rsid w:val="678C4C91"/>
    <w:rsid w:val="69153578"/>
    <w:rsid w:val="69564B94"/>
    <w:rsid w:val="69751563"/>
    <w:rsid w:val="6E192634"/>
    <w:rsid w:val="6F1C418A"/>
    <w:rsid w:val="70F07668"/>
    <w:rsid w:val="72BA7551"/>
    <w:rsid w:val="72E74AAF"/>
    <w:rsid w:val="73E93A44"/>
    <w:rsid w:val="776808B4"/>
    <w:rsid w:val="77D7A35A"/>
    <w:rsid w:val="78FB12B4"/>
    <w:rsid w:val="79D20267"/>
    <w:rsid w:val="7B9CE83F"/>
    <w:rsid w:val="7D873871"/>
    <w:rsid w:val="7E1B08D1"/>
    <w:rsid w:val="7E5B7399"/>
    <w:rsid w:val="7E9F2B70"/>
    <w:rsid w:val="BC2FFF8E"/>
    <w:rsid w:val="DFF610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semiHidden="0" w:name="toc 1"/>
    <w:lsdException w:uiPriority="0" w:semiHidden="0" w:name="toc 2"/>
    <w:lsdException w:qFormat="1" w:uiPriority="39" w:semiHidden="0"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unhideWhenUsed="0" w:uiPriority="99" w:semiHidden="0" w:name="annotation reference"/>
    <w:lsdException w:uiPriority="99" w:name="line number"/>
    <w:lsdException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semiHidden="0" w:name="toa heading"/>
    <w:lsdException w:uiPriority="99" w:name="List"/>
    <w:lsdException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qFormat="1" w:unhideWhenUsed="0" w:uiPriority="0" w:semiHidden="0"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52"/>
    <w:qFormat/>
    <w:uiPriority w:val="9"/>
    <w:pPr>
      <w:keepNext/>
      <w:keepLines/>
      <w:outlineLvl w:val="0"/>
    </w:pPr>
    <w:rPr>
      <w:b/>
      <w:bCs/>
      <w:kern w:val="44"/>
      <w:sz w:val="52"/>
      <w:szCs w:val="44"/>
    </w:rPr>
  </w:style>
  <w:style w:type="paragraph" w:styleId="5">
    <w:name w:val="heading 2"/>
    <w:basedOn w:val="1"/>
    <w:next w:val="1"/>
    <w:link w:val="53"/>
    <w:qFormat/>
    <w:uiPriority w:val="9"/>
    <w:pPr>
      <w:autoSpaceDE w:val="0"/>
      <w:autoSpaceDN w:val="0"/>
      <w:adjustRightInd w:val="0"/>
      <w:spacing w:before="120" w:after="120"/>
      <w:ind w:firstLine="3128" w:firstLineChars="1302"/>
      <w:outlineLvl w:val="1"/>
    </w:pPr>
    <w:rPr>
      <w:rFonts w:ascii="宋体" w:hAnsi="宋体"/>
      <w:b/>
      <w:bCs/>
      <w:color w:val="000000"/>
      <w:kern w:val="0"/>
      <w:sz w:val="24"/>
    </w:rPr>
  </w:style>
  <w:style w:type="paragraph" w:styleId="6">
    <w:name w:val="heading 3"/>
    <w:basedOn w:val="1"/>
    <w:next w:val="1"/>
    <w:link w:val="54"/>
    <w:qFormat/>
    <w:uiPriority w:val="9"/>
    <w:pPr>
      <w:autoSpaceDE w:val="0"/>
      <w:autoSpaceDN w:val="0"/>
      <w:adjustRightInd w:val="0"/>
      <w:spacing w:line="360" w:lineRule="auto"/>
      <w:outlineLvl w:val="2"/>
    </w:pPr>
    <w:rPr>
      <w:rFonts w:ascii="宋体" w:hAnsi="宋体"/>
      <w:b/>
      <w:kern w:val="0"/>
      <w:sz w:val="24"/>
    </w:rPr>
  </w:style>
  <w:style w:type="paragraph" w:styleId="7">
    <w:name w:val="heading 4"/>
    <w:basedOn w:val="1"/>
    <w:next w:val="1"/>
    <w:link w:val="55"/>
    <w:qFormat/>
    <w:uiPriority w:val="9"/>
    <w:pPr>
      <w:keepNext/>
      <w:keepLines/>
      <w:spacing w:before="280" w:after="290" w:line="376" w:lineRule="auto"/>
      <w:outlineLvl w:val="3"/>
    </w:pPr>
    <w:rPr>
      <w:rFonts w:ascii="Cambria" w:hAnsi="Cambria"/>
      <w:b/>
      <w:bCs/>
      <w:sz w:val="28"/>
      <w:szCs w:val="28"/>
    </w:rPr>
  </w:style>
  <w:style w:type="paragraph" w:styleId="8">
    <w:name w:val="heading 5"/>
    <w:basedOn w:val="1"/>
    <w:next w:val="9"/>
    <w:link w:val="56"/>
    <w:qFormat/>
    <w:uiPriority w:val="0"/>
    <w:pPr>
      <w:widowControl/>
      <w:spacing w:line="360" w:lineRule="auto"/>
      <w:outlineLvl w:val="4"/>
    </w:pPr>
    <w:rPr>
      <w:rFonts w:ascii="宋体" w:hAnsi="宋体"/>
      <w:bCs/>
      <w:szCs w:val="21"/>
    </w:rPr>
  </w:style>
  <w:style w:type="paragraph" w:styleId="10">
    <w:name w:val="heading 6"/>
    <w:basedOn w:val="1"/>
    <w:next w:val="9"/>
    <w:link w:val="58"/>
    <w:qFormat/>
    <w:uiPriority w:val="0"/>
    <w:pPr>
      <w:keepNext/>
      <w:keepLines/>
      <w:spacing w:before="240" w:after="64" w:line="320" w:lineRule="auto"/>
      <w:outlineLvl w:val="5"/>
    </w:pPr>
    <w:rPr>
      <w:rFonts w:ascii="Arial" w:hAnsi="Arial" w:eastAsia="黑体"/>
      <w:b/>
      <w:sz w:val="24"/>
    </w:rPr>
  </w:style>
  <w:style w:type="paragraph" w:styleId="11">
    <w:name w:val="heading 7"/>
    <w:basedOn w:val="1"/>
    <w:next w:val="9"/>
    <w:link w:val="59"/>
    <w:qFormat/>
    <w:uiPriority w:val="0"/>
    <w:pPr>
      <w:keepNext/>
      <w:keepLines/>
      <w:spacing w:before="240" w:after="64" w:line="320" w:lineRule="auto"/>
      <w:outlineLvl w:val="6"/>
    </w:pPr>
    <w:rPr>
      <w:b/>
      <w:sz w:val="24"/>
    </w:rPr>
  </w:style>
  <w:style w:type="paragraph" w:styleId="12">
    <w:name w:val="heading 8"/>
    <w:basedOn w:val="1"/>
    <w:next w:val="1"/>
    <w:link w:val="60"/>
    <w:qFormat/>
    <w:uiPriority w:val="0"/>
    <w:pPr>
      <w:keepNext/>
      <w:keepLines/>
      <w:spacing w:before="240" w:after="64" w:line="320" w:lineRule="auto"/>
      <w:outlineLvl w:val="7"/>
    </w:pPr>
    <w:rPr>
      <w:rFonts w:ascii="Arial" w:hAnsi="Arial" w:eastAsia="黑体"/>
      <w:sz w:val="24"/>
    </w:rPr>
  </w:style>
  <w:style w:type="paragraph" w:styleId="13">
    <w:name w:val="heading 9"/>
    <w:basedOn w:val="1"/>
    <w:next w:val="9"/>
    <w:link w:val="61"/>
    <w:qFormat/>
    <w:uiPriority w:val="0"/>
    <w:pPr>
      <w:keepNext/>
      <w:keepLines/>
      <w:spacing w:before="240" w:after="64" w:line="320" w:lineRule="auto"/>
      <w:outlineLvl w:val="8"/>
    </w:pPr>
    <w:rPr>
      <w:rFonts w:ascii="Arial" w:hAnsi="Arial" w:eastAsia="黑体"/>
    </w:rPr>
  </w:style>
  <w:style w:type="character" w:default="1" w:styleId="42">
    <w:name w:val="Default Paragraph Font"/>
    <w:uiPriority w:val="0"/>
  </w:style>
  <w:style w:type="table" w:default="1" w:styleId="40">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50"/>
    <w:unhideWhenUsed/>
    <w:uiPriority w:val="99"/>
    <w:pPr>
      <w:spacing w:after="120"/>
    </w:pPr>
  </w:style>
  <w:style w:type="paragraph" w:styleId="3">
    <w:name w:val="Body Text 2"/>
    <w:basedOn w:val="1"/>
    <w:link w:val="51"/>
    <w:qFormat/>
    <w:uiPriority w:val="0"/>
    <w:rPr>
      <w:sz w:val="24"/>
      <w:szCs w:val="22"/>
    </w:rPr>
  </w:style>
  <w:style w:type="paragraph" w:styleId="9">
    <w:name w:val="Normal Indent"/>
    <w:basedOn w:val="1"/>
    <w:link w:val="57"/>
    <w:qFormat/>
    <w:uiPriority w:val="0"/>
    <w:pPr>
      <w:ind w:firstLine="420" w:firstLineChars="200"/>
    </w:pPr>
    <w:rPr>
      <w:szCs w:val="24"/>
    </w:rPr>
  </w:style>
  <w:style w:type="paragraph" w:styleId="14">
    <w:name w:val="caption"/>
    <w:basedOn w:val="1"/>
    <w:next w:val="1"/>
    <w:qFormat/>
    <w:uiPriority w:val="0"/>
    <w:rPr>
      <w:rFonts w:ascii="Cambria" w:hAnsi="Cambria" w:eastAsia="黑体"/>
      <w:sz w:val="20"/>
    </w:rPr>
  </w:style>
  <w:style w:type="paragraph" w:styleId="15">
    <w:name w:val="List Bullet"/>
    <w:basedOn w:val="1"/>
    <w:uiPriority w:val="0"/>
    <w:pPr>
      <w:numPr>
        <w:ilvl w:val="0"/>
        <w:numId w:val="1"/>
      </w:numPr>
      <w:tabs>
        <w:tab w:val="left" w:pos="360"/>
      </w:tabs>
    </w:pPr>
  </w:style>
  <w:style w:type="paragraph" w:styleId="16">
    <w:name w:val="Document Map"/>
    <w:basedOn w:val="1"/>
    <w:link w:val="62"/>
    <w:qFormat/>
    <w:uiPriority w:val="0"/>
    <w:pPr>
      <w:shd w:val="clear" w:color="auto" w:fill="000080"/>
    </w:pPr>
  </w:style>
  <w:style w:type="paragraph" w:styleId="17">
    <w:name w:val="toa heading"/>
    <w:basedOn w:val="1"/>
    <w:next w:val="1"/>
    <w:unhideWhenUsed/>
    <w:uiPriority w:val="99"/>
    <w:pPr>
      <w:spacing w:before="120"/>
    </w:pPr>
    <w:rPr>
      <w:rFonts w:ascii="Cambria" w:hAnsi="Cambria"/>
      <w:sz w:val="24"/>
      <w:szCs w:val="24"/>
    </w:rPr>
  </w:style>
  <w:style w:type="paragraph" w:styleId="18">
    <w:name w:val="annotation text"/>
    <w:basedOn w:val="1"/>
    <w:link w:val="63"/>
    <w:qFormat/>
    <w:uiPriority w:val="99"/>
    <w:pPr>
      <w:jc w:val="left"/>
    </w:pPr>
  </w:style>
  <w:style w:type="paragraph" w:styleId="19">
    <w:name w:val="Body Text 3"/>
    <w:basedOn w:val="1"/>
    <w:link w:val="64"/>
    <w:unhideWhenUsed/>
    <w:qFormat/>
    <w:uiPriority w:val="99"/>
    <w:pPr>
      <w:spacing w:after="120"/>
    </w:pPr>
    <w:rPr>
      <w:sz w:val="16"/>
      <w:szCs w:val="16"/>
    </w:rPr>
  </w:style>
  <w:style w:type="paragraph" w:styleId="20">
    <w:name w:val="List Bullet 3"/>
    <w:basedOn w:val="1"/>
    <w:uiPriority w:val="0"/>
    <w:pPr>
      <w:tabs>
        <w:tab w:val="left" w:pos="1200"/>
      </w:tabs>
      <w:spacing w:line="240" w:lineRule="auto"/>
      <w:ind w:left="1200" w:leftChars="400" w:hanging="360" w:hangingChars="200"/>
    </w:pPr>
  </w:style>
  <w:style w:type="paragraph" w:styleId="21">
    <w:name w:val="Body Text Indent"/>
    <w:basedOn w:val="1"/>
    <w:qFormat/>
    <w:uiPriority w:val="0"/>
    <w:pPr>
      <w:tabs>
        <w:tab w:val="left" w:pos="0"/>
      </w:tabs>
      <w:ind w:firstLine="527"/>
    </w:pPr>
    <w:rPr>
      <w:rFonts w:ascii="仿宋_GB2312" w:eastAsia="仿宋_GB2312"/>
      <w:kern w:val="2"/>
      <w:sz w:val="28"/>
    </w:rPr>
  </w:style>
  <w:style w:type="paragraph" w:styleId="22">
    <w:name w:val="toc 5"/>
    <w:basedOn w:val="1"/>
    <w:next w:val="1"/>
    <w:unhideWhenUsed/>
    <w:qFormat/>
    <w:uiPriority w:val="39"/>
    <w:pPr>
      <w:ind w:left="1680" w:leftChars="800"/>
    </w:pPr>
    <w:rPr>
      <w:sz w:val="24"/>
      <w:szCs w:val="22"/>
    </w:rPr>
  </w:style>
  <w:style w:type="paragraph" w:styleId="23">
    <w:name w:val="toc 3"/>
    <w:basedOn w:val="1"/>
    <w:next w:val="1"/>
    <w:unhideWhenUsed/>
    <w:qFormat/>
    <w:uiPriority w:val="39"/>
    <w:pPr>
      <w:ind w:left="840" w:leftChars="400"/>
    </w:pPr>
    <w:rPr>
      <w:sz w:val="24"/>
      <w:szCs w:val="22"/>
    </w:rPr>
  </w:style>
  <w:style w:type="paragraph" w:styleId="24">
    <w:name w:val="Plain Text"/>
    <w:basedOn w:val="1"/>
    <w:link w:val="65"/>
    <w:qFormat/>
    <w:uiPriority w:val="0"/>
    <w:rPr>
      <w:rFonts w:ascii="宋体" w:hAnsi="Courier New" w:eastAsia="仿宋_GB2312"/>
      <w:kern w:val="2"/>
      <w:sz w:val="30"/>
      <w:lang w:val="en-US" w:eastAsia="zh-CN" w:bidi="ar-SA"/>
    </w:rPr>
  </w:style>
  <w:style w:type="paragraph" w:styleId="25">
    <w:name w:val="Date"/>
    <w:basedOn w:val="1"/>
    <w:next w:val="1"/>
    <w:link w:val="66"/>
    <w:uiPriority w:val="99"/>
    <w:pPr>
      <w:ind w:left="100" w:leftChars="2500"/>
    </w:pPr>
    <w:rPr>
      <w:sz w:val="28"/>
    </w:rPr>
  </w:style>
  <w:style w:type="paragraph" w:styleId="26">
    <w:name w:val="Body Text Indent 2"/>
    <w:basedOn w:val="1"/>
    <w:link w:val="67"/>
    <w:unhideWhenUsed/>
    <w:qFormat/>
    <w:uiPriority w:val="99"/>
    <w:pPr>
      <w:spacing w:after="120" w:line="480" w:lineRule="auto"/>
      <w:ind w:left="420" w:leftChars="200"/>
    </w:pPr>
    <w:rPr>
      <w:sz w:val="24"/>
      <w:szCs w:val="22"/>
    </w:rPr>
  </w:style>
  <w:style w:type="paragraph" w:styleId="27">
    <w:name w:val="endnote text"/>
    <w:basedOn w:val="1"/>
    <w:link w:val="68"/>
    <w:unhideWhenUsed/>
    <w:qFormat/>
    <w:uiPriority w:val="99"/>
    <w:pPr>
      <w:snapToGrid w:val="0"/>
      <w:jc w:val="left"/>
    </w:pPr>
    <w:rPr>
      <w:sz w:val="24"/>
      <w:szCs w:val="22"/>
    </w:rPr>
  </w:style>
  <w:style w:type="paragraph" w:styleId="28">
    <w:name w:val="Balloon Text"/>
    <w:basedOn w:val="1"/>
    <w:link w:val="69"/>
    <w:uiPriority w:val="99"/>
    <w:rPr>
      <w:sz w:val="18"/>
      <w:szCs w:val="18"/>
    </w:rPr>
  </w:style>
  <w:style w:type="paragraph" w:styleId="29">
    <w:name w:val="footer"/>
    <w:basedOn w:val="1"/>
    <w:link w:val="70"/>
    <w:qFormat/>
    <w:uiPriority w:val="99"/>
    <w:pPr>
      <w:tabs>
        <w:tab w:val="center" w:pos="4153"/>
        <w:tab w:val="right" w:pos="8306"/>
      </w:tabs>
      <w:snapToGrid w:val="0"/>
      <w:jc w:val="left"/>
    </w:pPr>
    <w:rPr>
      <w:sz w:val="18"/>
    </w:rPr>
  </w:style>
  <w:style w:type="paragraph" w:styleId="30">
    <w:name w:val="header"/>
    <w:basedOn w:val="1"/>
    <w:link w:val="7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1">
    <w:name w:val="toc 1"/>
    <w:basedOn w:val="1"/>
    <w:next w:val="1"/>
    <w:unhideWhenUsed/>
    <w:uiPriority w:val="0"/>
    <w:pPr>
      <w:tabs>
        <w:tab w:val="right" w:leader="dot" w:pos="9288"/>
      </w:tabs>
    </w:pPr>
    <w:rPr>
      <w:b/>
      <w:sz w:val="24"/>
      <w:szCs w:val="22"/>
    </w:rPr>
  </w:style>
  <w:style w:type="paragraph" w:styleId="32">
    <w:name w:val="index heading"/>
    <w:basedOn w:val="1"/>
    <w:next w:val="33"/>
    <w:uiPriority w:val="0"/>
  </w:style>
  <w:style w:type="paragraph" w:styleId="33">
    <w:name w:val="index 1"/>
    <w:basedOn w:val="1"/>
    <w:next w:val="1"/>
    <w:unhideWhenUsed/>
    <w:uiPriority w:val="99"/>
  </w:style>
  <w:style w:type="paragraph" w:styleId="34">
    <w:name w:val="footnote text"/>
    <w:basedOn w:val="1"/>
    <w:link w:val="72"/>
    <w:unhideWhenUsed/>
    <w:qFormat/>
    <w:uiPriority w:val="99"/>
    <w:pPr>
      <w:snapToGrid w:val="0"/>
      <w:jc w:val="left"/>
    </w:pPr>
    <w:rPr>
      <w:sz w:val="18"/>
      <w:szCs w:val="18"/>
    </w:rPr>
  </w:style>
  <w:style w:type="paragraph" w:styleId="35">
    <w:name w:val="Body Text Indent 3"/>
    <w:basedOn w:val="1"/>
    <w:link w:val="73"/>
    <w:qFormat/>
    <w:uiPriority w:val="0"/>
    <w:pPr>
      <w:spacing w:line="360" w:lineRule="auto"/>
      <w:ind w:firstLine="480"/>
    </w:pPr>
    <w:rPr>
      <w:sz w:val="24"/>
      <w:szCs w:val="24"/>
    </w:rPr>
  </w:style>
  <w:style w:type="paragraph" w:styleId="36">
    <w:name w:val="toc 2"/>
    <w:basedOn w:val="1"/>
    <w:next w:val="1"/>
    <w:unhideWhenUsed/>
    <w:uiPriority w:val="0"/>
    <w:pPr>
      <w:ind w:left="420" w:leftChars="200"/>
    </w:pPr>
    <w:rPr>
      <w:sz w:val="24"/>
      <w:szCs w:val="22"/>
    </w:rPr>
  </w:style>
  <w:style w:type="paragraph" w:styleId="37">
    <w:name w:val="Normal (Web)"/>
    <w:basedOn w:val="1"/>
    <w:unhideWhenUsed/>
    <w:qFormat/>
    <w:uiPriority w:val="99"/>
    <w:rPr>
      <w:rFonts w:ascii="Calibri" w:hAnsi="Calibri"/>
      <w:sz w:val="24"/>
      <w:szCs w:val="24"/>
    </w:rPr>
  </w:style>
  <w:style w:type="paragraph" w:styleId="38">
    <w:name w:val="annotation subject"/>
    <w:basedOn w:val="18"/>
    <w:next w:val="18"/>
    <w:link w:val="74"/>
    <w:qFormat/>
    <w:uiPriority w:val="99"/>
    <w:rPr>
      <w:b/>
      <w:bCs/>
    </w:rPr>
  </w:style>
  <w:style w:type="paragraph" w:styleId="39">
    <w:name w:val="Body Text First Indent"/>
    <w:basedOn w:val="1"/>
    <w:link w:val="75"/>
    <w:qFormat/>
    <w:uiPriority w:val="0"/>
    <w:pPr>
      <w:ind w:firstLine="420" w:firstLineChars="100"/>
      <w:jc w:val="center"/>
    </w:pPr>
    <w:rPr>
      <w:rFonts w:eastAsia="华文楷体"/>
      <w:b/>
      <w:color w:val="FF0000"/>
      <w:w w:val="200"/>
      <w:sz w:val="36"/>
    </w:rPr>
  </w:style>
  <w:style w:type="table" w:styleId="41">
    <w:name w:val="Table Grid"/>
    <w:basedOn w:val="40"/>
    <w:uiPriority w:val="5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22"/>
    <w:rPr>
      <w:rFonts w:ascii="Tahoma" w:hAnsi="Tahoma" w:eastAsia="宋体"/>
      <w:b/>
      <w:bCs/>
      <w:spacing w:val="10"/>
      <w:sz w:val="24"/>
      <w:lang w:val="en-US" w:eastAsia="zh-CN" w:bidi="ar-SA"/>
    </w:rPr>
  </w:style>
  <w:style w:type="character" w:styleId="44">
    <w:name w:val="page number"/>
    <w:uiPriority w:val="0"/>
  </w:style>
  <w:style w:type="character" w:styleId="45">
    <w:name w:val="FollowedHyperlink"/>
    <w:unhideWhenUsed/>
    <w:uiPriority w:val="99"/>
    <w:rPr>
      <w:color w:val="800080"/>
      <w:u w:val="single"/>
    </w:rPr>
  </w:style>
  <w:style w:type="character" w:styleId="46">
    <w:name w:val="Emphasis"/>
    <w:qFormat/>
    <w:uiPriority w:val="20"/>
  </w:style>
  <w:style w:type="character" w:styleId="47">
    <w:name w:val="Hyperlink"/>
    <w:unhideWhenUsed/>
    <w:uiPriority w:val="99"/>
    <w:rPr>
      <w:color w:val="0000FF"/>
      <w:u w:val="single"/>
    </w:rPr>
  </w:style>
  <w:style w:type="character" w:styleId="48">
    <w:name w:val="annotation reference"/>
    <w:uiPriority w:val="99"/>
    <w:rPr>
      <w:sz w:val="21"/>
      <w:szCs w:val="21"/>
    </w:rPr>
  </w:style>
  <w:style w:type="character" w:styleId="49">
    <w:name w:val="footnote reference"/>
    <w:unhideWhenUsed/>
    <w:qFormat/>
    <w:uiPriority w:val="99"/>
    <w:rPr>
      <w:vertAlign w:val="superscript"/>
    </w:rPr>
  </w:style>
  <w:style w:type="character" w:customStyle="1" w:styleId="50">
    <w:name w:val="正文文本 字符1"/>
    <w:link w:val="2"/>
    <w:qFormat/>
    <w:uiPriority w:val="99"/>
    <w:rPr>
      <w:kern w:val="2"/>
      <w:sz w:val="21"/>
    </w:rPr>
  </w:style>
  <w:style w:type="character" w:customStyle="1" w:styleId="51">
    <w:name w:val="正文文本 2 字符"/>
    <w:link w:val="3"/>
    <w:qFormat/>
    <w:uiPriority w:val="0"/>
    <w:rPr>
      <w:kern w:val="2"/>
      <w:sz w:val="24"/>
      <w:szCs w:val="22"/>
    </w:rPr>
  </w:style>
  <w:style w:type="character" w:customStyle="1" w:styleId="52">
    <w:name w:val="标题 1 字符1"/>
    <w:link w:val="4"/>
    <w:qFormat/>
    <w:uiPriority w:val="9"/>
    <w:rPr>
      <w:b/>
      <w:bCs/>
      <w:kern w:val="44"/>
      <w:sz w:val="52"/>
      <w:szCs w:val="44"/>
    </w:rPr>
  </w:style>
  <w:style w:type="character" w:customStyle="1" w:styleId="53">
    <w:name w:val="标题 2 字符1"/>
    <w:link w:val="5"/>
    <w:qFormat/>
    <w:uiPriority w:val="0"/>
    <w:rPr>
      <w:rFonts w:ascii="宋体" w:hAnsi="宋体"/>
      <w:b/>
      <w:bCs/>
      <w:color w:val="000000"/>
      <w:sz w:val="24"/>
    </w:rPr>
  </w:style>
  <w:style w:type="character" w:customStyle="1" w:styleId="54">
    <w:name w:val="标题 3 字符1"/>
    <w:link w:val="6"/>
    <w:qFormat/>
    <w:uiPriority w:val="9"/>
    <w:rPr>
      <w:rFonts w:ascii="宋体" w:hAnsi="宋体"/>
      <w:b/>
      <w:sz w:val="24"/>
    </w:rPr>
  </w:style>
  <w:style w:type="character" w:customStyle="1" w:styleId="55">
    <w:name w:val="标题 4 字符1"/>
    <w:link w:val="7"/>
    <w:qFormat/>
    <w:uiPriority w:val="9"/>
    <w:rPr>
      <w:rFonts w:ascii="Cambria" w:hAnsi="Cambria"/>
      <w:b/>
      <w:bCs/>
      <w:kern w:val="2"/>
      <w:sz w:val="28"/>
      <w:szCs w:val="28"/>
    </w:rPr>
  </w:style>
  <w:style w:type="character" w:customStyle="1" w:styleId="56">
    <w:name w:val="标题 5 字符"/>
    <w:link w:val="8"/>
    <w:qFormat/>
    <w:uiPriority w:val="0"/>
    <w:rPr>
      <w:rFonts w:ascii="宋体" w:hAnsi="宋体"/>
      <w:bCs/>
      <w:kern w:val="2"/>
      <w:sz w:val="21"/>
      <w:szCs w:val="21"/>
    </w:rPr>
  </w:style>
  <w:style w:type="character" w:customStyle="1" w:styleId="57">
    <w:name w:val="正文缩进 字符"/>
    <w:link w:val="9"/>
    <w:qFormat/>
    <w:uiPriority w:val="0"/>
    <w:rPr>
      <w:kern w:val="2"/>
      <w:sz w:val="21"/>
      <w:szCs w:val="24"/>
    </w:rPr>
  </w:style>
  <w:style w:type="character" w:customStyle="1" w:styleId="58">
    <w:name w:val="标题 6 字符"/>
    <w:link w:val="10"/>
    <w:qFormat/>
    <w:uiPriority w:val="0"/>
    <w:rPr>
      <w:rFonts w:ascii="Arial" w:hAnsi="Arial" w:eastAsia="黑体"/>
      <w:b/>
      <w:kern w:val="2"/>
      <w:sz w:val="24"/>
    </w:rPr>
  </w:style>
  <w:style w:type="character" w:customStyle="1" w:styleId="59">
    <w:name w:val="标题 7 字符"/>
    <w:link w:val="11"/>
    <w:uiPriority w:val="0"/>
    <w:rPr>
      <w:b/>
      <w:kern w:val="2"/>
      <w:sz w:val="24"/>
    </w:rPr>
  </w:style>
  <w:style w:type="character" w:customStyle="1" w:styleId="60">
    <w:name w:val="标题 8 字符"/>
    <w:link w:val="12"/>
    <w:uiPriority w:val="0"/>
    <w:rPr>
      <w:rFonts w:ascii="Arial" w:hAnsi="Arial" w:eastAsia="黑体"/>
      <w:kern w:val="2"/>
      <w:sz w:val="24"/>
    </w:rPr>
  </w:style>
  <w:style w:type="character" w:customStyle="1" w:styleId="61">
    <w:name w:val="标题 9 字符"/>
    <w:link w:val="13"/>
    <w:uiPriority w:val="0"/>
    <w:rPr>
      <w:rFonts w:ascii="Arial" w:hAnsi="Arial" w:eastAsia="黑体"/>
      <w:kern w:val="2"/>
      <w:sz w:val="21"/>
    </w:rPr>
  </w:style>
  <w:style w:type="character" w:customStyle="1" w:styleId="62">
    <w:name w:val="文档结构图 字符"/>
    <w:link w:val="16"/>
    <w:uiPriority w:val="0"/>
    <w:rPr>
      <w:kern w:val="2"/>
      <w:sz w:val="21"/>
      <w:shd w:val="clear" w:color="auto" w:fill="000080"/>
    </w:rPr>
  </w:style>
  <w:style w:type="character" w:customStyle="1" w:styleId="63">
    <w:name w:val="批注文字 字符"/>
    <w:link w:val="18"/>
    <w:uiPriority w:val="99"/>
    <w:rPr>
      <w:kern w:val="2"/>
      <w:sz w:val="21"/>
    </w:rPr>
  </w:style>
  <w:style w:type="character" w:customStyle="1" w:styleId="64">
    <w:name w:val="正文文本 3 字符1"/>
    <w:link w:val="19"/>
    <w:uiPriority w:val="99"/>
    <w:rPr>
      <w:kern w:val="2"/>
      <w:sz w:val="16"/>
      <w:szCs w:val="16"/>
    </w:rPr>
  </w:style>
  <w:style w:type="character" w:customStyle="1" w:styleId="65">
    <w:name w:val="纯文本 字符1"/>
    <w:link w:val="24"/>
    <w:uiPriority w:val="0"/>
    <w:rPr>
      <w:rFonts w:ascii="宋体" w:hAnsi="Courier New" w:eastAsia="仿宋_GB2312"/>
      <w:kern w:val="2"/>
      <w:sz w:val="30"/>
    </w:rPr>
  </w:style>
  <w:style w:type="character" w:customStyle="1" w:styleId="66">
    <w:name w:val="日期 字符"/>
    <w:link w:val="25"/>
    <w:qFormat/>
    <w:uiPriority w:val="99"/>
    <w:rPr>
      <w:kern w:val="2"/>
      <w:sz w:val="28"/>
    </w:rPr>
  </w:style>
  <w:style w:type="character" w:customStyle="1" w:styleId="67">
    <w:name w:val="正文文本缩进 2 字符1"/>
    <w:link w:val="26"/>
    <w:uiPriority w:val="99"/>
    <w:rPr>
      <w:kern w:val="2"/>
      <w:sz w:val="24"/>
      <w:szCs w:val="22"/>
    </w:rPr>
  </w:style>
  <w:style w:type="character" w:customStyle="1" w:styleId="68">
    <w:name w:val="尾注文本 字符"/>
    <w:link w:val="27"/>
    <w:uiPriority w:val="99"/>
    <w:rPr>
      <w:kern w:val="2"/>
      <w:sz w:val="24"/>
      <w:szCs w:val="22"/>
    </w:rPr>
  </w:style>
  <w:style w:type="character" w:customStyle="1" w:styleId="69">
    <w:name w:val="批注框文本 字符"/>
    <w:link w:val="28"/>
    <w:uiPriority w:val="99"/>
    <w:rPr>
      <w:kern w:val="2"/>
      <w:sz w:val="18"/>
      <w:szCs w:val="18"/>
    </w:rPr>
  </w:style>
  <w:style w:type="character" w:customStyle="1" w:styleId="70">
    <w:name w:val="页脚 字符1"/>
    <w:link w:val="29"/>
    <w:qFormat/>
    <w:uiPriority w:val="99"/>
    <w:rPr>
      <w:kern w:val="2"/>
      <w:sz w:val="18"/>
    </w:rPr>
  </w:style>
  <w:style w:type="character" w:customStyle="1" w:styleId="71">
    <w:name w:val="页眉 字符1"/>
    <w:link w:val="30"/>
    <w:qFormat/>
    <w:uiPriority w:val="99"/>
    <w:rPr>
      <w:kern w:val="2"/>
      <w:sz w:val="18"/>
    </w:rPr>
  </w:style>
  <w:style w:type="character" w:customStyle="1" w:styleId="72">
    <w:name w:val="脚注文本 字符"/>
    <w:link w:val="34"/>
    <w:qFormat/>
    <w:uiPriority w:val="99"/>
    <w:rPr>
      <w:kern w:val="2"/>
      <w:sz w:val="18"/>
      <w:szCs w:val="18"/>
    </w:rPr>
  </w:style>
  <w:style w:type="character" w:customStyle="1" w:styleId="73">
    <w:name w:val="正文文本缩进 3 字符1"/>
    <w:link w:val="35"/>
    <w:qFormat/>
    <w:uiPriority w:val="0"/>
    <w:rPr>
      <w:kern w:val="2"/>
      <w:sz w:val="24"/>
      <w:szCs w:val="24"/>
    </w:rPr>
  </w:style>
  <w:style w:type="character" w:customStyle="1" w:styleId="74">
    <w:name w:val="批注主题 字符"/>
    <w:link w:val="38"/>
    <w:uiPriority w:val="99"/>
    <w:rPr>
      <w:b/>
      <w:bCs/>
      <w:kern w:val="2"/>
      <w:sz w:val="21"/>
    </w:rPr>
  </w:style>
  <w:style w:type="character" w:customStyle="1" w:styleId="75">
    <w:name w:val="正文文本首行缩进 字符"/>
    <w:link w:val="39"/>
    <w:uiPriority w:val="0"/>
    <w:rPr>
      <w:rFonts w:eastAsia="华文楷体"/>
      <w:b/>
      <w:color w:val="FF0000"/>
      <w:w w:val="200"/>
      <w:kern w:val="2"/>
      <w:sz w:val="36"/>
    </w:rPr>
  </w:style>
  <w:style w:type="character" w:customStyle="1" w:styleId="76">
    <w:name w:val="page number"/>
    <w:uiPriority w:val="0"/>
  </w:style>
  <w:style w:type="character" w:customStyle="1" w:styleId="77">
    <w:name w:val="页脚 Char1"/>
    <w:qFormat/>
    <w:uiPriority w:val="99"/>
    <w:rPr>
      <w:rFonts w:ascii="Times New Roman" w:hAnsi="Times New Roman" w:eastAsia="宋体" w:cs="Times New Roman"/>
      <w:sz w:val="18"/>
      <w:szCs w:val="18"/>
    </w:rPr>
  </w:style>
  <w:style w:type="character" w:customStyle="1" w:styleId="78">
    <w:name w:val="页眉 Char1"/>
    <w:qFormat/>
    <w:uiPriority w:val="99"/>
    <w:rPr>
      <w:rFonts w:ascii="Times New Roman" w:hAnsi="Times New Roman" w:eastAsia="宋体" w:cs="Times New Roman"/>
      <w:sz w:val="18"/>
      <w:szCs w:val="18"/>
    </w:rPr>
  </w:style>
  <w:style w:type="character" w:customStyle="1" w:styleId="79">
    <w:name w:val="日期 Char1"/>
    <w:semiHidden/>
    <w:qFormat/>
    <w:uiPriority w:val="99"/>
    <w:rPr>
      <w:kern w:val="2"/>
      <w:sz w:val="21"/>
    </w:rPr>
  </w:style>
  <w:style w:type="character" w:customStyle="1" w:styleId="80">
    <w:name w:val="font101"/>
    <w:qFormat/>
    <w:uiPriority w:val="0"/>
    <w:rPr>
      <w:rFonts w:ascii="宋体" w:hAnsi="宋体" w:eastAsia="宋体"/>
      <w:color w:val="000000"/>
      <w:sz w:val="20"/>
      <w:u w:val="none"/>
    </w:rPr>
  </w:style>
  <w:style w:type="character" w:customStyle="1" w:styleId="81">
    <w:name w:val="font1"/>
    <w:qFormat/>
    <w:uiPriority w:val="0"/>
    <w:rPr>
      <w:color w:val="333333"/>
      <w:sz w:val="18"/>
      <w:szCs w:val="18"/>
      <w:u w:val="none"/>
    </w:rPr>
  </w:style>
  <w:style w:type="character" w:customStyle="1" w:styleId="82">
    <w:name w:val="font61"/>
    <w:qFormat/>
    <w:uiPriority w:val="0"/>
    <w:rPr>
      <w:rFonts w:hint="eastAsia" w:ascii="宋体" w:hAnsi="宋体" w:eastAsia="宋体" w:cs="宋体"/>
      <w:b/>
      <w:color w:val="000000"/>
      <w:sz w:val="22"/>
      <w:szCs w:val="22"/>
      <w:u w:val="none"/>
    </w:rPr>
  </w:style>
  <w:style w:type="character" w:customStyle="1" w:styleId="83">
    <w:name w:val="font41"/>
    <w:qFormat/>
    <w:uiPriority w:val="0"/>
    <w:rPr>
      <w:rFonts w:hint="default" w:ascii="Times New Roman" w:hAnsi="Times New Roman" w:cs="Times New Roman"/>
      <w:color w:val="000000"/>
      <w:sz w:val="21"/>
      <w:szCs w:val="21"/>
      <w:u w:val="none"/>
    </w:rPr>
  </w:style>
  <w:style w:type="character" w:customStyle="1" w:styleId="84">
    <w:name w:val="font31"/>
    <w:qFormat/>
    <w:uiPriority w:val="0"/>
    <w:rPr>
      <w:rFonts w:hint="eastAsia" w:ascii="宋体" w:hAnsi="宋体" w:eastAsia="宋体" w:cs="宋体"/>
      <w:color w:val="000000"/>
      <w:sz w:val="21"/>
      <w:szCs w:val="21"/>
      <w:u w:val="none"/>
    </w:rPr>
  </w:style>
  <w:style w:type="paragraph" w:customStyle="1" w:styleId="85">
    <w:name w:val="xl2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86">
    <w:name w:val="xl2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87">
    <w:name w:val="xl2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88">
    <w:name w:val="xl2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89">
    <w:name w:val="xl2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90">
    <w:name w:val="xl2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91">
    <w:name w:val="xl21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92">
    <w:name w:val="xl2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93">
    <w:name w:val="p0"/>
    <w:basedOn w:val="1"/>
    <w:qFormat/>
    <w:uiPriority w:val="0"/>
    <w:pPr>
      <w:widowControl/>
    </w:pPr>
    <w:rPr>
      <w:kern w:val="0"/>
      <w:szCs w:val="21"/>
    </w:rPr>
  </w:style>
  <w:style w:type="paragraph" w:customStyle="1" w:styleId="94">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95">
    <w:name w:val="xl2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9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7">
    <w:name w:val="xl2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98">
    <w:name w:val="xl212"/>
    <w:basedOn w:val="1"/>
    <w:qFormat/>
    <w:uiPriority w:val="0"/>
    <w:pPr>
      <w:widowControl/>
      <w:spacing w:before="100" w:beforeAutospacing="1" w:after="100" w:afterAutospacing="1"/>
      <w:jc w:val="left"/>
    </w:pPr>
    <w:rPr>
      <w:rFonts w:ascii="宋体" w:hAnsi="宋体" w:cs="宋体"/>
      <w:kern w:val="0"/>
      <w:sz w:val="20"/>
    </w:rPr>
  </w:style>
  <w:style w:type="paragraph" w:customStyle="1" w:styleId="99">
    <w:name w:val="xl2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00">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1">
    <w:name w:val="xl25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3">
    <w:name w:val="xl2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104">
    <w:name w:val=" Char Char Char Char Char Char Char Char Char Char Char Char Char Char Char Char Char Char Char Char Char Char Char Char2 Char"/>
    <w:basedOn w:val="1"/>
    <w:qFormat/>
    <w:uiPriority w:val="0"/>
    <w:pPr>
      <w:widowControl/>
      <w:spacing w:after="160" w:afterLines="0" w:line="240" w:lineRule="exact"/>
      <w:jc w:val="center"/>
    </w:pPr>
  </w:style>
  <w:style w:type="paragraph" w:customStyle="1" w:styleId="105">
    <w:name w:val="xl2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06">
    <w:name w:val="xl24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07">
    <w:name w:val="xl23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08">
    <w:name w:val="Char Char Char"/>
    <w:basedOn w:val="1"/>
    <w:qFormat/>
    <w:uiPriority w:val="0"/>
  </w:style>
  <w:style w:type="paragraph" w:customStyle="1" w:styleId="109">
    <w:name w:val="xl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18"/>
      <w:szCs w:val="18"/>
    </w:rPr>
  </w:style>
  <w:style w:type="paragraph" w:customStyle="1" w:styleId="110">
    <w:name w:val="xl26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11">
    <w:name w:val="xl2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幼圆" w:hAnsi="宋体" w:eastAsia="幼圆" w:cs="宋体"/>
      <w:kern w:val="0"/>
      <w:sz w:val="18"/>
      <w:szCs w:val="18"/>
    </w:rPr>
  </w:style>
  <w:style w:type="paragraph" w:customStyle="1" w:styleId="112">
    <w:name w:val="xl206"/>
    <w:basedOn w:val="1"/>
    <w:qFormat/>
    <w:uiPriority w:val="0"/>
    <w:pPr>
      <w:widowControl/>
      <w:spacing w:before="100" w:beforeAutospacing="1" w:after="100" w:afterAutospacing="1"/>
      <w:jc w:val="center"/>
      <w:textAlignment w:val="center"/>
    </w:pPr>
    <w:rPr>
      <w:rFonts w:ascii="宋体" w:hAnsi="宋体" w:cs="宋体"/>
      <w:kern w:val="0"/>
      <w:sz w:val="24"/>
      <w:szCs w:val="24"/>
    </w:rPr>
  </w:style>
  <w:style w:type="paragraph" w:customStyle="1" w:styleId="113">
    <w:name w:val="xl2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
    <w:name w:val="xl2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5">
    <w:name w:val="xl2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16">
    <w:name w:val="xl2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17">
    <w:name w:val="xl2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18">
    <w:name w:val="Char Char Char Char"/>
    <w:basedOn w:val="16"/>
    <w:qFormat/>
    <w:uiPriority w:val="0"/>
  </w:style>
  <w:style w:type="paragraph" w:customStyle="1" w:styleId="119">
    <w:name w:val="xl2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20">
    <w:name w:val="xl25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21">
    <w:name w:val="xl213"/>
    <w:basedOn w:val="1"/>
    <w:qFormat/>
    <w:uiPriority w:val="0"/>
    <w:pPr>
      <w:widowControl/>
      <w:spacing w:before="100" w:beforeAutospacing="1" w:after="100" w:afterAutospacing="1"/>
      <w:jc w:val="left"/>
    </w:pPr>
    <w:rPr>
      <w:rFonts w:ascii="宋体" w:hAnsi="宋体" w:cs="宋体"/>
      <w:kern w:val="0"/>
      <w:sz w:val="20"/>
    </w:rPr>
  </w:style>
  <w:style w:type="paragraph" w:customStyle="1" w:styleId="122">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23">
    <w:name w:val="xl2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2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xl2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26">
    <w:name w:val="xl2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27">
    <w:name w:val="xl2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28">
    <w:name w:val="xl2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29">
    <w:name w:val="Char Char Char Char1"/>
    <w:basedOn w:val="1"/>
    <w:qFormat/>
    <w:uiPriority w:val="0"/>
    <w:pPr>
      <w:widowControl/>
      <w:snapToGrid w:val="0"/>
      <w:spacing w:after="160" w:afterLines="0" w:line="360" w:lineRule="auto"/>
      <w:jc w:val="left"/>
    </w:pPr>
  </w:style>
  <w:style w:type="paragraph" w:customStyle="1" w:styleId="130">
    <w:name w:val="xl2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幼圆" w:hAnsi="宋体" w:eastAsia="幼圆" w:cs="宋体"/>
      <w:kern w:val="0"/>
      <w:sz w:val="18"/>
      <w:szCs w:val="18"/>
    </w:rPr>
  </w:style>
  <w:style w:type="paragraph" w:customStyle="1" w:styleId="131">
    <w:name w:val="xl2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32">
    <w:name w:val="xl211"/>
    <w:basedOn w:val="1"/>
    <w:qFormat/>
    <w:uiPriority w:val="0"/>
    <w:pPr>
      <w:widowControl/>
      <w:spacing w:before="100" w:beforeAutospacing="1" w:after="100" w:afterAutospacing="1"/>
      <w:jc w:val="left"/>
    </w:pPr>
    <w:rPr>
      <w:rFonts w:ascii="宋体" w:hAnsi="宋体" w:cs="宋体"/>
      <w:kern w:val="0"/>
      <w:sz w:val="20"/>
    </w:rPr>
  </w:style>
  <w:style w:type="paragraph" w:customStyle="1" w:styleId="133">
    <w:name w:val="xl2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34">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35">
    <w:name w:val="xl26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6">
    <w:name w:val="xl2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18"/>
      <w:szCs w:val="18"/>
    </w:rPr>
  </w:style>
  <w:style w:type="paragraph" w:customStyle="1" w:styleId="137">
    <w:name w:val="Char Char Char Char Char Char Char"/>
    <w:basedOn w:val="1"/>
    <w:qFormat/>
    <w:uiPriority w:val="0"/>
  </w:style>
  <w:style w:type="paragraph" w:customStyle="1" w:styleId="138">
    <w:name w:val="_Style 332"/>
    <w:basedOn w:val="1"/>
    <w:qFormat/>
    <w:uiPriority w:val="0"/>
  </w:style>
  <w:style w:type="paragraph" w:customStyle="1" w:styleId="139">
    <w:name w:val="xl30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40">
    <w:name w:val="xl2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41">
    <w:name w:val="xl305"/>
    <w:basedOn w:val="1"/>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42">
    <w:name w:val="xl280"/>
    <w:basedOn w:val="1"/>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43">
    <w:name w:val="xl2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44">
    <w:name w:val="xl24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45">
    <w:name w:val="xl2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46">
    <w:name w:val="xl222"/>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47">
    <w:name w:val="xl232"/>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48">
    <w:name w:val="xl263"/>
    <w:basedOn w:val="1"/>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49">
    <w:name w:val="xl21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50">
    <w:name w:val="xl21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18"/>
      <w:szCs w:val="18"/>
    </w:rPr>
  </w:style>
  <w:style w:type="paragraph" w:customStyle="1" w:styleId="151">
    <w:name w:val="xl23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52">
    <w:name w:val="xl2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53">
    <w:name w:val="xl24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幼圆" w:hAnsi="宋体" w:eastAsia="幼圆" w:cs="宋体"/>
      <w:kern w:val="0"/>
      <w:sz w:val="18"/>
      <w:szCs w:val="18"/>
    </w:rPr>
  </w:style>
  <w:style w:type="paragraph" w:customStyle="1" w:styleId="154">
    <w:name w:val="xl249"/>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55">
    <w:name w:val="xl25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56">
    <w:name w:val="xl25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57">
    <w:name w:val="xl26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158">
    <w:name w:val="xl26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59">
    <w:name w:val="xl264"/>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60">
    <w:name w:val="xl266"/>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FF0000"/>
      <w:kern w:val="0"/>
      <w:sz w:val="18"/>
      <w:szCs w:val="18"/>
    </w:rPr>
  </w:style>
  <w:style w:type="paragraph" w:customStyle="1" w:styleId="161">
    <w:name w:val="xl267"/>
    <w:basedOn w:val="1"/>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color w:val="FF0000"/>
      <w:kern w:val="0"/>
      <w:sz w:val="18"/>
      <w:szCs w:val="18"/>
    </w:rPr>
  </w:style>
  <w:style w:type="paragraph" w:customStyle="1" w:styleId="162">
    <w:name w:val="xl26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18"/>
      <w:szCs w:val="18"/>
    </w:rPr>
  </w:style>
  <w:style w:type="paragraph" w:customStyle="1" w:styleId="163">
    <w:name w:val="xl269"/>
    <w:basedOn w:val="1"/>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64">
    <w:name w:val="xl295"/>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65">
    <w:name w:val="xl287"/>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66">
    <w:name w:val="xl270"/>
    <w:basedOn w:val="1"/>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67">
    <w:name w:val="xl271"/>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幼圆" w:hAnsi="宋体" w:eastAsia="幼圆" w:cs="宋体"/>
      <w:kern w:val="0"/>
      <w:sz w:val="18"/>
      <w:szCs w:val="18"/>
    </w:rPr>
  </w:style>
  <w:style w:type="paragraph" w:customStyle="1" w:styleId="168">
    <w:name w:val="xl296"/>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69">
    <w:name w:val="xl272"/>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幼圆" w:hAnsi="宋体" w:eastAsia="幼圆" w:cs="宋体"/>
      <w:kern w:val="0"/>
      <w:sz w:val="18"/>
      <w:szCs w:val="18"/>
    </w:rPr>
  </w:style>
  <w:style w:type="paragraph" w:customStyle="1" w:styleId="170">
    <w:name w:val="xl273"/>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幼圆" w:hAnsi="宋体" w:eastAsia="幼圆" w:cs="宋体"/>
      <w:kern w:val="0"/>
      <w:sz w:val="18"/>
      <w:szCs w:val="18"/>
    </w:rPr>
  </w:style>
  <w:style w:type="paragraph" w:customStyle="1" w:styleId="171">
    <w:name w:val="xl274"/>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72">
    <w:name w:val="xl285"/>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73">
    <w:name w:val="xl275"/>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74">
    <w:name w:val="xl276"/>
    <w:basedOn w:val="1"/>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75">
    <w:name w:val="xl288"/>
    <w:basedOn w:val="1"/>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76">
    <w:name w:val="xl2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77">
    <w:name w:val="xl297"/>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78">
    <w:name w:val="xl278"/>
    <w:basedOn w:val="1"/>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79">
    <w:name w:val="xl303"/>
    <w:basedOn w:val="1"/>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80">
    <w:name w:val="xl279"/>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1">
    <w:name w:val="xl308"/>
    <w:basedOn w:val="1"/>
    <w:uiPriority w:val="0"/>
    <w:pPr>
      <w:widowControl/>
      <w:pBdr>
        <w:bottom w:val="single" w:color="auto" w:sz="4" w:space="0"/>
      </w:pBdr>
      <w:spacing w:before="100" w:beforeAutospacing="1" w:after="100" w:afterAutospacing="1"/>
      <w:jc w:val="center"/>
      <w:textAlignment w:val="center"/>
    </w:pPr>
    <w:rPr>
      <w:rFonts w:ascii="华文中宋" w:hAnsi="华文中宋" w:eastAsia="华文中宋" w:cs="宋体"/>
      <w:b/>
      <w:bCs/>
      <w:kern w:val="0"/>
      <w:sz w:val="28"/>
      <w:szCs w:val="28"/>
    </w:rPr>
  </w:style>
  <w:style w:type="paragraph" w:customStyle="1" w:styleId="182">
    <w:name w:val="xl2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3">
    <w:name w:val="xl282"/>
    <w:basedOn w:val="1"/>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4">
    <w:name w:val="xl292"/>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幼圆" w:hAnsi="宋体" w:eastAsia="幼圆" w:cs="宋体"/>
      <w:kern w:val="0"/>
      <w:sz w:val="18"/>
      <w:szCs w:val="18"/>
    </w:rPr>
  </w:style>
  <w:style w:type="paragraph" w:customStyle="1" w:styleId="185">
    <w:name w:val="xl283"/>
    <w:basedOn w:val="1"/>
    <w:uiPriority w:val="0"/>
    <w:pPr>
      <w:widowControl/>
      <w:pBdr>
        <w:top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6">
    <w:name w:val="xl284"/>
    <w:basedOn w:val="1"/>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7">
    <w:name w:val="xl286"/>
    <w:basedOn w:val="1"/>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8">
    <w:name w:val="xl289"/>
    <w:basedOn w:val="1"/>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89">
    <w:name w:val="xl290"/>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0">
    <w:name w:val="xl293"/>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幼圆" w:hAnsi="宋体" w:eastAsia="幼圆" w:cs="宋体"/>
      <w:kern w:val="0"/>
      <w:sz w:val="18"/>
      <w:szCs w:val="18"/>
    </w:rPr>
  </w:style>
  <w:style w:type="paragraph" w:customStyle="1" w:styleId="191">
    <w:name w:val="xl294"/>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2">
    <w:name w:val="xl298"/>
    <w:basedOn w:val="1"/>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3">
    <w:name w:val="xl299"/>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4">
    <w:name w:val="xl3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5">
    <w:name w:val="xl301"/>
    <w:basedOn w:val="1"/>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6">
    <w:name w:val="xl302"/>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7">
    <w:name w:val="xl306"/>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8">
    <w:name w:val="xl30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9">
    <w:name w:val="xl3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200">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xl3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202">
    <w:name w:val="xl3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203">
    <w:name w:val="xl3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04">
    <w:name w:val="xl31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05">
    <w:name w:val="xl31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06">
    <w:name w:val="xl31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07">
    <w:name w:val="xl31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styleId="208">
    <w:name w:val="List Paragraph"/>
    <w:basedOn w:val="1"/>
    <w:link w:val="209"/>
    <w:qFormat/>
    <w:uiPriority w:val="34"/>
    <w:pPr>
      <w:ind w:firstLine="420" w:firstLineChars="200"/>
    </w:pPr>
  </w:style>
  <w:style w:type="character" w:customStyle="1" w:styleId="209">
    <w:name w:val="列表段落 字符"/>
    <w:link w:val="208"/>
    <w:qFormat/>
    <w:uiPriority w:val="34"/>
    <w:rPr>
      <w:kern w:val="2"/>
      <w:sz w:val="21"/>
    </w:rPr>
  </w:style>
  <w:style w:type="paragraph" w:customStyle="1" w:styleId="210">
    <w:name w:val="No Spacing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四级条标题"/>
    <w:qFormat/>
    <w:uiPriority w:val="0"/>
    <w:pPr>
      <w:outlineLvl w:val="5"/>
    </w:pPr>
    <w:rPr>
      <w:rFonts w:ascii="Times New Roman" w:hAnsi="Times New Roman" w:eastAsia="宋体" w:cs="Times New Roman"/>
      <w:lang w:val="en-US" w:eastAsia="zh-CN" w:bidi="ar-SA"/>
    </w:rPr>
  </w:style>
  <w:style w:type="paragraph" w:customStyle="1" w:styleId="212">
    <w:name w:val="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Cs w:val="24"/>
    </w:rPr>
  </w:style>
  <w:style w:type="paragraph" w:customStyle="1" w:styleId="213">
    <w:name w:val=" Char Char Char"/>
    <w:basedOn w:val="1"/>
    <w:qFormat/>
    <w:uiPriority w:val="0"/>
    <w:rPr>
      <w:szCs w:val="24"/>
    </w:rPr>
  </w:style>
  <w:style w:type="paragraph" w:customStyle="1" w:styleId="214">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5">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6">
    <w:name w:val=" Char Char Char Char Char Char1"/>
    <w:basedOn w:val="1"/>
    <w:qFormat/>
    <w:uiPriority w:val="0"/>
    <w:pPr>
      <w:widowControl/>
      <w:spacing w:after="160" w:line="240" w:lineRule="exact"/>
      <w:jc w:val="left"/>
    </w:pPr>
  </w:style>
  <w:style w:type="paragraph" w:customStyle="1" w:styleId="217">
    <w:name w:val="正文缩进2格"/>
    <w:basedOn w:val="1"/>
    <w:qFormat/>
    <w:uiPriority w:val="0"/>
    <w:pPr>
      <w:spacing w:line="600" w:lineRule="exact"/>
      <w:ind w:firstLine="639" w:firstLineChars="206"/>
    </w:pPr>
    <w:rPr>
      <w:rFonts w:ascii="仿宋_GB2312" w:hAnsi="宋体" w:eastAsia="仿宋_GB2312"/>
      <w:sz w:val="31"/>
    </w:rPr>
  </w:style>
  <w:style w:type="character" w:customStyle="1" w:styleId="218">
    <w:name w:val="标题 1 Char"/>
    <w:qFormat/>
    <w:uiPriority w:val="0"/>
    <w:rPr>
      <w:b/>
      <w:bCs/>
      <w:kern w:val="44"/>
      <w:sz w:val="44"/>
      <w:szCs w:val="44"/>
    </w:rPr>
  </w:style>
  <w:style w:type="character" w:customStyle="1" w:styleId="219">
    <w:name w:val="标题 4 Char"/>
    <w:qFormat/>
    <w:uiPriority w:val="0"/>
    <w:rPr>
      <w:rFonts w:ascii="Cambria" w:hAnsi="Cambria" w:eastAsia="宋体" w:cs="Times New Roman"/>
      <w:b/>
      <w:bCs/>
      <w:kern w:val="2"/>
      <w:sz w:val="28"/>
      <w:szCs w:val="28"/>
    </w:rPr>
  </w:style>
  <w:style w:type="character" w:customStyle="1" w:styleId="220">
    <w:name w:val="标题 2 Char1"/>
    <w:qFormat/>
    <w:uiPriority w:val="9"/>
    <w:rPr>
      <w:rFonts w:ascii="Cambria" w:hAnsi="Cambria" w:eastAsia="宋体" w:cs="Times New Roman"/>
      <w:b/>
      <w:bCs/>
      <w:kern w:val="2"/>
      <w:sz w:val="32"/>
      <w:szCs w:val="32"/>
    </w:rPr>
  </w:style>
  <w:style w:type="character" w:customStyle="1" w:styleId="221">
    <w:name w:val="标题 3 Char1"/>
    <w:qFormat/>
    <w:uiPriority w:val="9"/>
    <w:rPr>
      <w:rFonts w:ascii="Times New Roman" w:hAnsi="Times New Roman"/>
      <w:b/>
      <w:bCs/>
      <w:kern w:val="2"/>
      <w:sz w:val="24"/>
      <w:szCs w:val="32"/>
    </w:rPr>
  </w:style>
  <w:style w:type="paragraph" w:customStyle="1" w:styleId="222">
    <w:name w:val="表格文字"/>
    <w:basedOn w:val="1"/>
    <w:link w:val="223"/>
    <w:qFormat/>
    <w:uiPriority w:val="0"/>
    <w:pPr>
      <w:spacing w:before="25" w:after="25"/>
      <w:jc w:val="left"/>
    </w:pPr>
    <w:rPr>
      <w:bCs/>
      <w:spacing w:val="10"/>
      <w:kern w:val="0"/>
      <w:sz w:val="24"/>
    </w:rPr>
  </w:style>
  <w:style w:type="character" w:customStyle="1" w:styleId="223">
    <w:name w:val="表格文字 Char"/>
    <w:link w:val="222"/>
    <w:qFormat/>
    <w:locked/>
    <w:uiPriority w:val="0"/>
    <w:rPr>
      <w:bCs/>
      <w:spacing w:val="10"/>
      <w:sz w:val="24"/>
    </w:rPr>
  </w:style>
  <w:style w:type="character" w:customStyle="1" w:styleId="224">
    <w:name w:val="index-module_accountauthentication_3bwix"/>
    <w:qFormat/>
    <w:uiPriority w:val="0"/>
  </w:style>
  <w:style w:type="character" w:customStyle="1" w:styleId="225">
    <w:name w:val="纯文本 字符"/>
    <w:semiHidden/>
    <w:qFormat/>
    <w:uiPriority w:val="99"/>
    <w:rPr>
      <w:rFonts w:ascii="等线" w:hAnsi="Courier New" w:eastAsia="等线" w:cs="Courier New"/>
      <w:kern w:val="2"/>
      <w:sz w:val="24"/>
      <w:szCs w:val="22"/>
    </w:rPr>
  </w:style>
  <w:style w:type="character" w:customStyle="1" w:styleId="226">
    <w:name w:val="正文文本缩进 2 字符"/>
    <w:semiHidden/>
    <w:qFormat/>
    <w:uiPriority w:val="99"/>
    <w:rPr>
      <w:kern w:val="2"/>
      <w:sz w:val="24"/>
      <w:szCs w:val="22"/>
    </w:rPr>
  </w:style>
  <w:style w:type="character" w:customStyle="1" w:styleId="227">
    <w:name w:val="批注文字 Char1"/>
    <w:semiHidden/>
    <w:qFormat/>
    <w:uiPriority w:val="99"/>
    <w:rPr>
      <w:kern w:val="2"/>
      <w:sz w:val="24"/>
      <w:szCs w:val="22"/>
    </w:rPr>
  </w:style>
  <w:style w:type="character" w:customStyle="1" w:styleId="228">
    <w:name w:val="标题 3 字符"/>
    <w:semiHidden/>
    <w:qFormat/>
    <w:uiPriority w:val="9"/>
    <w:rPr>
      <w:b/>
      <w:bCs/>
      <w:kern w:val="2"/>
      <w:sz w:val="32"/>
      <w:szCs w:val="32"/>
    </w:rPr>
  </w:style>
  <w:style w:type="character" w:customStyle="1" w:styleId="229">
    <w:name w:val="页脚 字符"/>
    <w:semiHidden/>
    <w:qFormat/>
    <w:uiPriority w:val="99"/>
    <w:rPr>
      <w:kern w:val="2"/>
      <w:sz w:val="18"/>
      <w:szCs w:val="18"/>
    </w:rPr>
  </w:style>
  <w:style w:type="character" w:customStyle="1" w:styleId="230">
    <w:name w:val="纯文本 Char"/>
    <w:qFormat/>
    <w:uiPriority w:val="0"/>
    <w:rPr>
      <w:rFonts w:ascii="宋体" w:hAnsi="Courier New" w:cs="Courier New"/>
      <w:kern w:val="2"/>
      <w:sz w:val="21"/>
      <w:szCs w:val="21"/>
    </w:rPr>
  </w:style>
  <w:style w:type="character" w:customStyle="1" w:styleId="231">
    <w:name w:val="标题 4 字符"/>
    <w:semiHidden/>
    <w:qFormat/>
    <w:uiPriority w:val="9"/>
    <w:rPr>
      <w:rFonts w:ascii="等线 Light" w:hAnsi="等线 Light" w:eastAsia="等线 Light" w:cs="Times New Roman"/>
      <w:b/>
      <w:bCs/>
      <w:kern w:val="2"/>
      <w:sz w:val="28"/>
      <w:szCs w:val="28"/>
    </w:rPr>
  </w:style>
  <w:style w:type="character" w:customStyle="1" w:styleId="232">
    <w:name w:val="正文文本缩进 3 字符"/>
    <w:semiHidden/>
    <w:qFormat/>
    <w:uiPriority w:val="99"/>
    <w:rPr>
      <w:kern w:val="2"/>
      <w:sz w:val="16"/>
      <w:szCs w:val="16"/>
    </w:rPr>
  </w:style>
  <w:style w:type="character" w:customStyle="1" w:styleId="233">
    <w:name w:val="页眉 字符"/>
    <w:semiHidden/>
    <w:qFormat/>
    <w:uiPriority w:val="99"/>
    <w:rPr>
      <w:kern w:val="2"/>
      <w:sz w:val="18"/>
      <w:szCs w:val="18"/>
    </w:rPr>
  </w:style>
  <w:style w:type="character" w:customStyle="1" w:styleId="234">
    <w:name w:val="font81"/>
    <w:qFormat/>
    <w:uiPriority w:val="0"/>
    <w:rPr>
      <w:rFonts w:hint="eastAsia" w:ascii="宋体" w:hAnsi="宋体" w:eastAsia="宋体" w:cs="宋体"/>
      <w:color w:val="000000"/>
      <w:sz w:val="21"/>
      <w:szCs w:val="21"/>
      <w:u w:val="none"/>
    </w:rPr>
  </w:style>
  <w:style w:type="character" w:customStyle="1" w:styleId="235">
    <w:name w:val="15"/>
    <w:qFormat/>
    <w:uiPriority w:val="0"/>
    <w:rPr>
      <w:rFonts w:hint="default" w:ascii="Tahoma" w:hAnsi="Tahoma" w:eastAsia="宋体" w:cs="Tahoma"/>
      <w:b/>
      <w:bCs/>
      <w:spacing w:val="10"/>
      <w:sz w:val="24"/>
      <w:szCs w:val="24"/>
    </w:rPr>
  </w:style>
  <w:style w:type="character" w:customStyle="1" w:styleId="236">
    <w:name w:val="标题 2 字符"/>
    <w:semiHidden/>
    <w:qFormat/>
    <w:uiPriority w:val="9"/>
    <w:rPr>
      <w:rFonts w:ascii="等线 Light" w:hAnsi="等线 Light" w:eastAsia="等线 Light" w:cs="Times New Roman"/>
      <w:b/>
      <w:bCs/>
      <w:kern w:val="2"/>
      <w:sz w:val="32"/>
      <w:szCs w:val="32"/>
    </w:rPr>
  </w:style>
  <w:style w:type="character" w:customStyle="1" w:styleId="237">
    <w:name w:val="正文文本 字符"/>
    <w:semiHidden/>
    <w:qFormat/>
    <w:uiPriority w:val="99"/>
    <w:rPr>
      <w:kern w:val="2"/>
      <w:sz w:val="24"/>
      <w:szCs w:val="22"/>
    </w:rPr>
  </w:style>
  <w:style w:type="character" w:customStyle="1" w:styleId="238">
    <w:name w:val="font51"/>
    <w:qFormat/>
    <w:uiPriority w:val="0"/>
    <w:rPr>
      <w:rFonts w:hint="eastAsia" w:ascii="宋体" w:hAnsi="宋体" w:eastAsia="宋体" w:cs="宋体"/>
      <w:b/>
      <w:color w:val="000000"/>
      <w:sz w:val="21"/>
      <w:szCs w:val="21"/>
      <w:u w:val="none"/>
    </w:rPr>
  </w:style>
  <w:style w:type="character" w:customStyle="1" w:styleId="239">
    <w:name w:val="font71"/>
    <w:qFormat/>
    <w:uiPriority w:val="0"/>
    <w:rPr>
      <w:rFonts w:hint="default" w:ascii="Times New Roman" w:hAnsi="Times New Roman" w:cs="Times New Roman"/>
      <w:color w:val="000000"/>
      <w:sz w:val="24"/>
      <w:szCs w:val="24"/>
      <w:u w:val="none"/>
    </w:rPr>
  </w:style>
  <w:style w:type="character" w:customStyle="1" w:styleId="240">
    <w:name w:val="图 Char Char"/>
    <w:link w:val="241"/>
    <w:qFormat/>
    <w:uiPriority w:val="99"/>
    <w:rPr>
      <w:spacing w:val="20"/>
      <w:sz w:val="24"/>
    </w:rPr>
  </w:style>
  <w:style w:type="paragraph" w:customStyle="1" w:styleId="241">
    <w:name w:val="图"/>
    <w:basedOn w:val="1"/>
    <w:link w:val="240"/>
    <w:qFormat/>
    <w:uiPriority w:val="99"/>
    <w:pPr>
      <w:keepNext/>
      <w:adjustRightInd w:val="0"/>
      <w:spacing w:before="60" w:after="60" w:line="300" w:lineRule="auto"/>
      <w:jc w:val="center"/>
      <w:textAlignment w:val="center"/>
    </w:pPr>
    <w:rPr>
      <w:spacing w:val="20"/>
      <w:kern w:val="0"/>
      <w:sz w:val="24"/>
    </w:rPr>
  </w:style>
  <w:style w:type="character" w:customStyle="1" w:styleId="242">
    <w:name w:val="标题 1 字符"/>
    <w:qFormat/>
    <w:uiPriority w:val="9"/>
    <w:rPr>
      <w:b/>
      <w:bCs/>
      <w:kern w:val="44"/>
      <w:sz w:val="44"/>
      <w:szCs w:val="44"/>
    </w:rPr>
  </w:style>
  <w:style w:type="character" w:customStyle="1" w:styleId="243">
    <w:name w:val="NormalCharacter"/>
    <w:link w:val="244"/>
    <w:qFormat/>
    <w:uiPriority w:val="0"/>
    <w:rPr>
      <w:rFonts w:ascii="Verdana" w:hAnsi="Verdana"/>
      <w:sz w:val="21"/>
      <w:lang w:eastAsia="en-US"/>
    </w:rPr>
  </w:style>
  <w:style w:type="paragraph" w:customStyle="1" w:styleId="244">
    <w:name w:val="UserStyle_4"/>
    <w:basedOn w:val="1"/>
    <w:link w:val="243"/>
    <w:qFormat/>
    <w:uiPriority w:val="0"/>
    <w:pPr>
      <w:widowControl/>
      <w:spacing w:after="160" w:line="240" w:lineRule="exact"/>
      <w:jc w:val="left"/>
      <w:textAlignment w:val="baseline"/>
    </w:pPr>
    <w:rPr>
      <w:rFonts w:ascii="Verdana" w:hAnsi="Verdana"/>
      <w:kern w:val="0"/>
      <w:lang w:eastAsia="en-US"/>
    </w:rPr>
  </w:style>
  <w:style w:type="character" w:customStyle="1" w:styleId="245">
    <w:name w:val="Font Style17"/>
    <w:qFormat/>
    <w:uiPriority w:val="0"/>
    <w:rPr>
      <w:rFonts w:ascii="黑体" w:eastAsia="黑体" w:cs="黑体"/>
      <w:sz w:val="28"/>
      <w:szCs w:val="28"/>
    </w:rPr>
  </w:style>
  <w:style w:type="character" w:customStyle="1" w:styleId="246">
    <w:name w:val="图 Char"/>
    <w:qFormat/>
    <w:uiPriority w:val="0"/>
    <w:rPr>
      <w:snapToGrid/>
      <w:spacing w:val="20"/>
      <w:sz w:val="24"/>
    </w:rPr>
  </w:style>
  <w:style w:type="character" w:customStyle="1" w:styleId="247">
    <w:name w:val="正文文本 3 字符"/>
    <w:semiHidden/>
    <w:qFormat/>
    <w:uiPriority w:val="99"/>
    <w:rPr>
      <w:kern w:val="2"/>
      <w:sz w:val="16"/>
      <w:szCs w:val="16"/>
    </w:rPr>
  </w:style>
  <w:style w:type="character" w:customStyle="1" w:styleId="248">
    <w:name w:val="font21"/>
    <w:qFormat/>
    <w:uiPriority w:val="0"/>
    <w:rPr>
      <w:rFonts w:hint="default" w:ascii="Times New Roman" w:hAnsi="Times New Roman" w:cs="Times New Roman"/>
      <w:color w:val="000000"/>
      <w:sz w:val="21"/>
      <w:szCs w:val="21"/>
      <w:u w:val="none"/>
    </w:rPr>
  </w:style>
  <w:style w:type="character" w:customStyle="1" w:styleId="249">
    <w:name w:val="_Style 248"/>
    <w:unhideWhenUsed/>
    <w:qFormat/>
    <w:uiPriority w:val="99"/>
    <w:rPr>
      <w:color w:val="605E5C"/>
      <w:shd w:val="clear" w:color="auto" w:fill="E1DFDD"/>
    </w:rPr>
  </w:style>
  <w:style w:type="paragraph" w:styleId="25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51">
    <w:name w:val="列出段落1"/>
    <w:basedOn w:val="1"/>
    <w:qFormat/>
    <w:uiPriority w:val="99"/>
    <w:pPr>
      <w:ind w:firstLine="420"/>
    </w:pPr>
    <w:rPr>
      <w:szCs w:val="22"/>
    </w:rPr>
  </w:style>
  <w:style w:type="paragraph" w:customStyle="1" w:styleId="252">
    <w:name w:val="_Style 5"/>
    <w:basedOn w:val="1"/>
    <w:qFormat/>
    <w:uiPriority w:val="34"/>
    <w:pPr>
      <w:ind w:firstLine="420" w:firstLineChars="200"/>
    </w:pPr>
    <w:rPr>
      <w:szCs w:val="22"/>
    </w:rPr>
  </w:style>
  <w:style w:type="paragraph" w:customStyle="1" w:styleId="253">
    <w:name w:val=" Char Char Char Char Char"/>
    <w:basedOn w:val="1"/>
    <w:qFormat/>
    <w:uiPriority w:val="0"/>
    <w:pPr>
      <w:widowControl/>
      <w:spacing w:after="160" w:line="240" w:lineRule="exact"/>
      <w:jc w:val="center"/>
    </w:pPr>
    <w:rPr>
      <w:szCs w:val="24"/>
    </w:rPr>
  </w:style>
  <w:style w:type="paragraph" w:customStyle="1" w:styleId="254">
    <w:name w:val="_Style 130"/>
    <w:basedOn w:val="1"/>
    <w:next w:val="208"/>
    <w:qFormat/>
    <w:uiPriority w:val="34"/>
    <w:pPr>
      <w:ind w:firstLine="420" w:firstLineChars="200"/>
    </w:pPr>
    <w:rPr>
      <w:sz w:val="24"/>
      <w:szCs w:val="22"/>
    </w:rPr>
  </w:style>
  <w:style w:type="paragraph" w:customStyle="1" w:styleId="255">
    <w:name w:val="Normal Indent1"/>
    <w:basedOn w:val="1"/>
    <w:qFormat/>
    <w:uiPriority w:val="0"/>
    <w:pPr>
      <w:ind w:firstLine="420" w:firstLineChars="200"/>
    </w:pPr>
    <w:rPr>
      <w:sz w:val="24"/>
      <w:szCs w:val="21"/>
    </w:rPr>
  </w:style>
  <w:style w:type="paragraph" w:customStyle="1" w:styleId="256">
    <w:name w:val="正文 首行缩进"/>
    <w:basedOn w:val="1"/>
    <w:qFormat/>
    <w:uiPriority w:val="0"/>
    <w:pPr>
      <w:adjustRightInd w:val="0"/>
      <w:ind w:firstLine="437"/>
      <w:jc w:val="left"/>
    </w:pPr>
    <w:rPr>
      <w:rFonts w:hint="eastAsia" w:ascii="宋体" w:hAnsi="宋体"/>
      <w:kern w:val="0"/>
      <w:szCs w:val="21"/>
    </w:rPr>
  </w:style>
  <w:style w:type="paragraph" w:customStyle="1" w:styleId="257">
    <w:name w:val="列表段落2"/>
    <w:basedOn w:val="1"/>
    <w:qFormat/>
    <w:uiPriority w:val="0"/>
    <w:pPr>
      <w:ind w:firstLine="420" w:firstLineChars="200"/>
    </w:pPr>
    <w:rPr>
      <w:rFonts w:ascii="Calibri" w:hAnsi="Calibri"/>
      <w:szCs w:val="22"/>
    </w:rPr>
  </w:style>
  <w:style w:type="paragraph" w:customStyle="1" w:styleId="258">
    <w:name w:val=" Char"/>
    <w:basedOn w:val="1"/>
    <w:qFormat/>
    <w:uiPriority w:val="0"/>
    <w:rPr>
      <w:rFonts w:ascii="Tahoma" w:hAnsi="Tahoma"/>
      <w:sz w:val="24"/>
    </w:rPr>
  </w:style>
  <w:style w:type="paragraph" w:customStyle="1" w:styleId="259">
    <w:name w:val="_Style 2"/>
    <w:basedOn w:val="1"/>
    <w:qFormat/>
    <w:uiPriority w:val="34"/>
    <w:pPr>
      <w:ind w:firstLine="420" w:firstLineChars="200"/>
    </w:pPr>
    <w:rPr>
      <w:szCs w:val="22"/>
    </w:rPr>
  </w:style>
  <w:style w:type="paragraph" w:customStyle="1" w:styleId="260">
    <w:name w:val="题注4"/>
    <w:basedOn w:val="1"/>
    <w:next w:val="14"/>
    <w:qFormat/>
    <w:uiPriority w:val="0"/>
    <w:pPr>
      <w:ind w:left="-40" w:leftChars="-41" w:right="-107" w:rightChars="-51" w:hanging="46"/>
      <w:jc w:val="center"/>
    </w:pPr>
    <w:rPr>
      <w:b/>
      <w:color w:val="000000"/>
      <w:sz w:val="18"/>
      <w:szCs w:val="21"/>
      <w:lang w:val="en-GB"/>
    </w:rPr>
  </w:style>
  <w:style w:type="paragraph" w:customStyle="1" w:styleId="261">
    <w:name w:val="普通 (Web)"/>
    <w:basedOn w:val="1"/>
    <w:qFormat/>
    <w:uiPriority w:val="0"/>
    <w:pPr>
      <w:widowControl/>
      <w:spacing w:before="100" w:beforeAutospacing="1" w:after="100" w:afterAutospacing="1"/>
      <w:jc w:val="left"/>
    </w:pPr>
    <w:rPr>
      <w:rFonts w:ascii="宋体" w:hAnsi="宋体"/>
      <w:kern w:val="0"/>
      <w:sz w:val="24"/>
      <w:szCs w:val="22"/>
    </w:rPr>
  </w:style>
  <w:style w:type="paragraph" w:customStyle="1" w:styleId="262">
    <w:name w:val="章标题"/>
    <w:basedOn w:val="17"/>
    <w:qFormat/>
    <w:uiPriority w:val="0"/>
    <w:pPr>
      <w:widowControl/>
      <w:jc w:val="center"/>
    </w:pPr>
    <w:rPr>
      <w:rFonts w:ascii="宋体" w:hAnsi="Arial"/>
      <w:b/>
      <w:kern w:val="0"/>
      <w:sz w:val="32"/>
      <w:szCs w:val="18"/>
    </w:rPr>
  </w:style>
  <w:style w:type="paragraph" w:customStyle="1" w:styleId="263">
    <w:name w:val="表头"/>
    <w:basedOn w:val="1"/>
    <w:qFormat/>
    <w:uiPriority w:val="0"/>
    <w:pPr>
      <w:adjustRightInd w:val="0"/>
      <w:spacing w:before="120" w:after="60" w:line="420" w:lineRule="atLeast"/>
      <w:textAlignment w:val="baseline"/>
    </w:pPr>
    <w:rPr>
      <w:rFonts w:ascii="黑体" w:eastAsia="黑体"/>
      <w:b/>
      <w:kern w:val="0"/>
    </w:rPr>
  </w:style>
  <w:style w:type="paragraph" w:customStyle="1" w:styleId="264">
    <w:name w:val="正文1"/>
    <w:qFormat/>
    <w:uiPriority w:val="0"/>
    <w:pPr>
      <w:widowControl w:val="0"/>
      <w:jc w:val="both"/>
    </w:pPr>
    <w:rPr>
      <w:rFonts w:ascii="Times New Roman" w:hAnsi="Times New Roman" w:eastAsia="宋体" w:cs="Times New Roman"/>
      <w:lang w:val="en-US" w:eastAsia="zh-CN" w:bidi="ar-SA"/>
    </w:rPr>
  </w:style>
  <w:style w:type="paragraph" w:customStyle="1" w:styleId="265">
    <w:name w:val=" Char Char5"/>
    <w:basedOn w:val="1"/>
    <w:qFormat/>
    <w:uiPriority w:val="0"/>
    <w:pPr>
      <w:widowControl/>
      <w:spacing w:after="160" w:line="240" w:lineRule="exact"/>
      <w:jc w:val="left"/>
    </w:pPr>
    <w:rPr>
      <w:szCs w:val="24"/>
    </w:rPr>
  </w:style>
  <w:style w:type="paragraph" w:customStyle="1" w:styleId="266">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7">
    <w:name w:val="_Style 266"/>
    <w:unhideWhenUsed/>
    <w:qFormat/>
    <w:uiPriority w:val="99"/>
    <w:rPr>
      <w:rFonts w:ascii="Times New Roman" w:hAnsi="Times New Roman" w:eastAsia="宋体" w:cs="Times New Roman"/>
      <w:kern w:val="2"/>
      <w:sz w:val="24"/>
      <w:szCs w:val="22"/>
      <w:lang w:val="en-US" w:eastAsia="zh-CN" w:bidi="ar-SA"/>
    </w:rPr>
  </w:style>
  <w:style w:type="paragraph" w:customStyle="1" w:styleId="268">
    <w:name w:val="题注6"/>
    <w:basedOn w:val="1"/>
    <w:next w:val="14"/>
    <w:qFormat/>
    <w:uiPriority w:val="0"/>
    <w:pPr>
      <w:tabs>
        <w:tab w:val="left" w:pos="720"/>
      </w:tabs>
      <w:ind w:left="720"/>
    </w:pPr>
    <w:rPr>
      <w:bCs/>
      <w:color w:val="FF0000"/>
      <w:szCs w:val="24"/>
      <w:lang w:val="en-GB"/>
    </w:rPr>
  </w:style>
  <w:style w:type="paragraph" w:customStyle="1" w:styleId="269">
    <w:name w:val="_Style 1"/>
    <w:basedOn w:val="1"/>
    <w:qFormat/>
    <w:uiPriority w:val="34"/>
    <w:pPr>
      <w:widowControl/>
      <w:ind w:firstLine="420" w:firstLineChars="200"/>
      <w:jc w:val="left"/>
    </w:pPr>
    <w:rPr>
      <w:rFonts w:ascii="宋体" w:hAnsi="宋体" w:cs="宋体"/>
      <w:kern w:val="0"/>
      <w:sz w:val="24"/>
      <w:szCs w:val="22"/>
    </w:rPr>
  </w:style>
  <w:style w:type="paragraph" w:customStyle="1" w:styleId="270">
    <w:name w:val="正文_0_0"/>
    <w:basedOn w:val="1"/>
    <w:qFormat/>
    <w:uiPriority w:val="0"/>
    <w:rPr>
      <w:color w:val="0000FF"/>
      <w:sz w:val="24"/>
      <w:szCs w:val="24"/>
    </w:rPr>
  </w:style>
  <w:style w:type="paragraph" w:customStyle="1" w:styleId="271">
    <w:name w:val=" Char Char1 Char Char"/>
    <w:basedOn w:val="1"/>
    <w:qFormat/>
    <w:uiPriority w:val="0"/>
    <w:rPr>
      <w:szCs w:val="21"/>
    </w:rPr>
  </w:style>
  <w:style w:type="paragraph" w:customStyle="1" w:styleId="272">
    <w:name w:val="_Style 134"/>
    <w:basedOn w:val="1"/>
    <w:next w:val="208"/>
    <w:qFormat/>
    <w:uiPriority w:val="0"/>
    <w:pPr>
      <w:ind w:firstLine="420" w:firstLineChars="200"/>
    </w:pPr>
    <w:rPr>
      <w:rFonts w:ascii="Calibri" w:hAnsi="Calibri" w:cs="Calibri"/>
      <w:sz w:val="24"/>
      <w:szCs w:val="22"/>
    </w:rPr>
  </w:style>
  <w:style w:type="paragraph" w:customStyle="1" w:styleId="273">
    <w:name w:val="Table Paragraph"/>
    <w:basedOn w:val="1"/>
    <w:qFormat/>
    <w:uiPriority w:val="1"/>
    <w:pPr>
      <w:jc w:val="left"/>
    </w:pPr>
    <w:rPr>
      <w:rFonts w:ascii="Calibri" w:hAnsi="Calibri" w:eastAsia="Calibri"/>
      <w:kern w:val="0"/>
      <w:sz w:val="22"/>
      <w:szCs w:val="22"/>
      <w:lang w:eastAsia="en-US"/>
    </w:rPr>
  </w:style>
  <w:style w:type="paragraph" w:customStyle="1" w:styleId="274">
    <w:name w:val="正文格式"/>
    <w:qFormat/>
    <w:uiPriority w:val="99"/>
    <w:pPr>
      <w:spacing w:line="360" w:lineRule="auto"/>
      <w:ind w:firstLine="200" w:firstLineChars="200"/>
    </w:pPr>
    <w:rPr>
      <w:rFonts w:ascii="宋体" w:hAnsi="宋体" w:eastAsia="宋体" w:cs="宋体"/>
      <w:kern w:val="2"/>
      <w:sz w:val="28"/>
      <w:szCs w:val="28"/>
      <w:lang w:val="en-US" w:eastAsia="zh-CN" w:bidi="ar-SA"/>
    </w:rPr>
  </w:style>
  <w:style w:type="paragraph" w:customStyle="1" w:styleId="275">
    <w:name w:val="_Style 138"/>
    <w:basedOn w:val="1"/>
    <w:next w:val="208"/>
    <w:qFormat/>
    <w:uiPriority w:val="34"/>
    <w:pPr>
      <w:ind w:firstLine="420" w:firstLineChars="200"/>
    </w:pPr>
    <w:rPr>
      <w:rFonts w:ascii="Calibri" w:hAnsi="Calibri" w:cs="Calibri"/>
      <w:sz w:val="24"/>
      <w:szCs w:val="22"/>
    </w:rPr>
  </w:style>
  <w:style w:type="paragraph" w:customStyle="1" w:styleId="276">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7">
    <w:name w:val="正文_1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278">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9">
    <w:name w:val="正文_4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program%20files\WPS%20Office\12.1.0.23542\office6\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2025</Words>
  <Characters>2699</Characters>
  <Lines>50</Lines>
  <Paragraphs>14</Paragraphs>
  <TotalTime>16</TotalTime>
  <ScaleCrop>false</ScaleCrop>
  <LinksUpToDate>false</LinksUpToDate>
  <CharactersWithSpaces>2926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2022-10-31T10:39:00Z</dcterms:created>
  <dc:creator>Administrator</dc:creator>
  <cp:lastModifiedBy>HL-Ho</cp:lastModifiedBy>
  <dcterms:modified xsi:type="dcterms:W3CDTF">2025-11-24T02:13:32Z</dcterms:modified>
  <dc:title>采购需求</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9E0F25C49EA442B7AEC5EC8EE2EEAAF2_13</vt:lpwstr>
  </property>
  <property fmtid="{D5CDD505-2E9C-101B-9397-08002B2CF9AE}" pid="4" name="KSOTemplateDocerSaveRecord">
    <vt:lpwstr>eyJoZGlkIjoiZWZmZmUyYTZiZDEzYTJiM2RlMjY2ODMwMDRkNzQzNDciLCJ1c2VySWQiOiIxNDE0MzI5MyJ9</vt:lpwstr>
  </property>
</Properties>
</file>