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p>
    <w:p>
      <w:pPr>
        <w:jc w:val="center"/>
        <w:rPr>
          <w:sz w:val="52"/>
          <w:szCs w:val="52"/>
        </w:rPr>
      </w:pPr>
    </w:p>
    <w:p>
      <w:pPr>
        <w:jc w:val="center"/>
        <w:rPr>
          <w:sz w:val="52"/>
          <w:szCs w:val="52"/>
        </w:rPr>
      </w:pPr>
    </w:p>
    <w:p>
      <w:pPr>
        <w:jc w:val="center"/>
        <w:rPr>
          <w:sz w:val="72"/>
          <w:szCs w:val="72"/>
        </w:rPr>
      </w:pPr>
      <w:r>
        <w:rPr>
          <w:rFonts w:hint="eastAsia"/>
          <w:sz w:val="72"/>
          <w:szCs w:val="72"/>
        </w:rPr>
        <w:t>佛山市第一人民医院</w:t>
      </w:r>
    </w:p>
    <w:p>
      <w:pPr>
        <w:jc w:val="center"/>
        <w:rPr>
          <w:sz w:val="72"/>
          <w:szCs w:val="72"/>
        </w:rPr>
      </w:pPr>
      <w:r>
        <w:rPr>
          <w:rFonts w:hint="eastAsia"/>
          <w:sz w:val="72"/>
          <w:szCs w:val="72"/>
        </w:rPr>
        <w:t>信息系统安全服务项目</w:t>
      </w:r>
    </w:p>
    <w:p>
      <w:pPr>
        <w:jc w:val="center"/>
        <w:rPr>
          <w:sz w:val="72"/>
          <w:szCs w:val="72"/>
        </w:rPr>
      </w:pPr>
      <w:r>
        <w:rPr>
          <w:rFonts w:hint="eastAsia"/>
          <w:sz w:val="72"/>
          <w:szCs w:val="72"/>
        </w:rPr>
        <w:t>用户需求书</w:t>
      </w:r>
    </w:p>
    <w:p>
      <w:pPr>
        <w:jc w:val="center"/>
        <w:rPr>
          <w:rFonts w:ascii="宋体" w:hAnsi="宋体"/>
          <w:sz w:val="48"/>
          <w:szCs w:val="48"/>
        </w:rPr>
      </w:pPr>
    </w:p>
    <w:p>
      <w:pPr>
        <w:jc w:val="center"/>
        <w:rPr>
          <w:rFonts w:ascii="宋体" w:hAnsi="宋体"/>
          <w:sz w:val="48"/>
          <w:szCs w:val="48"/>
        </w:rPr>
      </w:pPr>
    </w:p>
    <w:p>
      <w:pPr>
        <w:jc w:val="center"/>
        <w:rPr>
          <w:rFonts w:ascii="宋体" w:hAnsi="宋体"/>
          <w:sz w:val="48"/>
          <w:szCs w:val="48"/>
        </w:rPr>
      </w:pPr>
    </w:p>
    <w:p>
      <w:pPr>
        <w:jc w:val="center"/>
        <w:rPr>
          <w:rFonts w:ascii="宋体" w:hAnsi="宋体"/>
          <w:sz w:val="48"/>
          <w:szCs w:val="48"/>
        </w:rPr>
      </w:pPr>
    </w:p>
    <w:p>
      <w:pPr>
        <w:jc w:val="center"/>
        <w:rPr>
          <w:rFonts w:ascii="宋体" w:hAnsi="宋体"/>
          <w:sz w:val="48"/>
          <w:szCs w:val="48"/>
        </w:rPr>
      </w:pPr>
    </w:p>
    <w:p>
      <w:pPr>
        <w:jc w:val="center"/>
        <w:rPr>
          <w:rFonts w:ascii="宋体" w:hAnsi="宋体"/>
          <w:sz w:val="48"/>
          <w:szCs w:val="48"/>
        </w:rPr>
      </w:pPr>
    </w:p>
    <w:p>
      <w:pPr>
        <w:jc w:val="center"/>
        <w:rPr>
          <w:rFonts w:ascii="宋体" w:hAnsi="宋体"/>
          <w:sz w:val="48"/>
          <w:szCs w:val="48"/>
        </w:rPr>
      </w:pPr>
    </w:p>
    <w:p>
      <w:pPr>
        <w:jc w:val="center"/>
        <w:rPr>
          <w:rFonts w:ascii="宋体" w:hAnsi="宋体"/>
          <w:sz w:val="48"/>
          <w:szCs w:val="48"/>
        </w:rPr>
      </w:pPr>
    </w:p>
    <w:p>
      <w:pPr>
        <w:jc w:val="center"/>
        <w:rPr>
          <w:rFonts w:ascii="宋体" w:hAnsi="宋体"/>
          <w:sz w:val="48"/>
          <w:szCs w:val="48"/>
        </w:rPr>
      </w:pPr>
    </w:p>
    <w:p>
      <w:pPr>
        <w:jc w:val="center"/>
        <w:rPr>
          <w:rFonts w:ascii="宋体" w:hAnsi="宋体"/>
          <w:sz w:val="48"/>
          <w:szCs w:val="48"/>
        </w:rPr>
      </w:pPr>
    </w:p>
    <w:p>
      <w:pPr>
        <w:jc w:val="center"/>
        <w:rPr>
          <w:rFonts w:ascii="宋体" w:hAnsi="宋体"/>
          <w:sz w:val="30"/>
          <w:szCs w:val="30"/>
        </w:rPr>
      </w:pPr>
      <w:r>
        <w:rPr>
          <w:rFonts w:ascii="宋体" w:hAnsi="宋体"/>
          <w:sz w:val="30"/>
          <w:szCs w:val="30"/>
        </w:rPr>
        <w:fldChar w:fldCharType="begin"/>
      </w:r>
      <w:r>
        <w:rPr>
          <w:rFonts w:ascii="宋体" w:hAnsi="宋体"/>
          <w:sz w:val="30"/>
          <w:szCs w:val="30"/>
        </w:rPr>
        <w:instrText xml:space="preserve"> </w:instrText>
      </w:r>
      <w:r>
        <w:rPr>
          <w:rFonts w:hint="eastAsia" w:ascii="宋体" w:hAnsi="宋体"/>
          <w:sz w:val="30"/>
          <w:szCs w:val="30"/>
        </w:rPr>
        <w:instrText xml:space="preserve">TIME \@ "yyyy年M月"</w:instrText>
      </w:r>
      <w:r>
        <w:rPr>
          <w:rFonts w:ascii="宋体" w:hAnsi="宋体"/>
          <w:sz w:val="30"/>
          <w:szCs w:val="30"/>
        </w:rPr>
        <w:instrText xml:space="preserve"> </w:instrText>
      </w:r>
      <w:r>
        <w:rPr>
          <w:rFonts w:ascii="宋体" w:hAnsi="宋体"/>
          <w:sz w:val="30"/>
          <w:szCs w:val="30"/>
        </w:rPr>
        <w:fldChar w:fldCharType="separate"/>
      </w:r>
      <w:r>
        <w:rPr>
          <w:rFonts w:hint="eastAsia" w:ascii="宋体" w:hAnsi="宋体"/>
          <w:sz w:val="30"/>
          <w:szCs w:val="30"/>
        </w:rPr>
        <w:t>2025年4月</w:t>
      </w:r>
      <w:r>
        <w:rPr>
          <w:rFonts w:ascii="宋体" w:hAnsi="宋体"/>
          <w:sz w:val="30"/>
          <w:szCs w:val="30"/>
        </w:rPr>
        <w:fldChar w:fldCharType="end"/>
      </w:r>
    </w:p>
    <w:p>
      <w:pPr>
        <w:jc w:val="center"/>
        <w:rPr>
          <w:rFonts w:ascii="宋体" w:hAnsi="宋体"/>
          <w:sz w:val="30"/>
          <w:szCs w:val="30"/>
        </w:rPr>
      </w:pPr>
    </w:p>
    <w:p>
      <w:pPr>
        <w:pStyle w:val="2"/>
        <w:numPr>
          <w:ilvl w:val="0"/>
          <w:numId w:val="2"/>
        </w:numPr>
        <w:jc w:val="left"/>
      </w:pPr>
      <w:r>
        <w:rPr>
          <w:rFonts w:hint="eastAsia"/>
        </w:rPr>
        <w:t>项目背景</w:t>
      </w:r>
    </w:p>
    <w:p>
      <w:pPr>
        <w:spacing w:line="360" w:lineRule="auto"/>
        <w:ind w:firstLine="480" w:firstLineChars="200"/>
        <w:rPr>
          <w:rFonts w:ascii="宋体" w:hAnsi="宋体"/>
          <w:sz w:val="24"/>
          <w:szCs w:val="24"/>
        </w:rPr>
      </w:pPr>
      <w:bookmarkStart w:id="0" w:name="_Hlk191471467"/>
      <w:r>
        <w:rPr>
          <w:rFonts w:ascii="宋体" w:hAnsi="宋体"/>
          <w:sz w:val="24"/>
          <w:szCs w:val="24"/>
        </w:rPr>
        <w:t>为加强网络与信息安全保障，提升信息系统安全防护水平，一系列政策法规相继出台。2017年6月1日，《中华人民共和国网络安全法》正式施行，明确提出国家实行网络安全等级保护制度，为信息安全等级保护工作提供了坚实的法律基础。2019年，国家市场监督管理总局、国家标准化管理委员会发布了GB/T 22239-2019《信息安全技术</w:t>
      </w:r>
      <w:r>
        <w:rPr>
          <w:rFonts w:hint="eastAsia" w:ascii="宋体" w:hAnsi="宋体"/>
          <w:sz w:val="24"/>
          <w:szCs w:val="24"/>
        </w:rPr>
        <w:t>-</w:t>
      </w:r>
      <w:r>
        <w:rPr>
          <w:rFonts w:ascii="宋体" w:hAnsi="宋体"/>
          <w:sz w:val="24"/>
          <w:szCs w:val="24"/>
        </w:rPr>
        <w:t>网络安全等级保护基本要求》等一系列等级保护相关国家标准，进一步细化和规范了等级保护工作的各项标准和要求。</w:t>
      </w:r>
    </w:p>
    <w:p>
      <w:pPr>
        <w:spacing w:line="360" w:lineRule="auto"/>
        <w:ind w:firstLine="480" w:firstLineChars="200"/>
        <w:rPr>
          <w:rFonts w:ascii="宋体" w:hAnsi="宋体"/>
          <w:sz w:val="24"/>
          <w:szCs w:val="24"/>
        </w:rPr>
      </w:pPr>
      <w:r>
        <w:rPr>
          <w:rFonts w:ascii="宋体" w:hAnsi="宋体"/>
          <w:sz w:val="24"/>
          <w:szCs w:val="24"/>
        </w:rPr>
        <w:t>在当今信息化快速发展的背景下，</w:t>
      </w:r>
      <w:r>
        <w:rPr>
          <w:rFonts w:hint="eastAsia" w:ascii="宋体" w:hAnsi="宋体"/>
          <w:sz w:val="24"/>
          <w:szCs w:val="24"/>
        </w:rPr>
        <w:t>佛山市第一人民医院</w:t>
      </w:r>
      <w:r>
        <w:rPr>
          <w:rFonts w:ascii="宋体" w:hAnsi="宋体"/>
          <w:sz w:val="24"/>
          <w:szCs w:val="24"/>
        </w:rPr>
        <w:t>网络安全面临着越来越复杂的安全挑战。医院的信息系统存储着大量患者的个人信息、医疗记录等敏感数据，一旦这些数据泄露或系统遭到破坏，可能会对患者的隐私和安全造成严重影响，也会影响医院的正常运营，进而危害公共利益。因此，医院必须从多个层面引入创新的安全防护措施，以提高其整体信息安全水平。</w:t>
      </w:r>
    </w:p>
    <w:p>
      <w:pPr>
        <w:spacing w:line="360" w:lineRule="auto"/>
        <w:ind w:firstLine="480" w:firstLineChars="200"/>
        <w:rPr>
          <w:rFonts w:hint="eastAsia" w:ascii="宋体" w:hAnsi="宋体"/>
          <w:sz w:val="24"/>
          <w:szCs w:val="24"/>
        </w:rPr>
      </w:pPr>
      <w:r>
        <w:rPr>
          <w:rFonts w:ascii="宋体" w:hAnsi="宋体"/>
          <w:sz w:val="24"/>
          <w:szCs w:val="24"/>
        </w:rPr>
        <w:t>为应对这一挑战，</w:t>
      </w:r>
      <w:r>
        <w:rPr>
          <w:rFonts w:hint="eastAsia" w:ascii="宋体" w:hAnsi="宋体"/>
          <w:sz w:val="24"/>
          <w:szCs w:val="24"/>
        </w:rPr>
        <w:t>佛山市第一人民医院</w:t>
      </w:r>
      <w:r>
        <w:rPr>
          <w:rFonts w:ascii="宋体" w:hAnsi="宋体"/>
          <w:sz w:val="24"/>
          <w:szCs w:val="24"/>
        </w:rPr>
        <w:t>需要依托国内顶尖的安全服务团队，提供不仅仅局限于传统防护措施的全方位网络安全服务</w:t>
      </w:r>
      <w:r>
        <w:rPr>
          <w:rFonts w:hint="eastAsia" w:ascii="宋体" w:hAnsi="宋体"/>
          <w:sz w:val="24"/>
          <w:szCs w:val="24"/>
        </w:rPr>
        <w:t>，</w:t>
      </w:r>
      <w:r>
        <w:rPr>
          <w:rFonts w:ascii="宋体" w:hAnsi="宋体"/>
          <w:sz w:val="24"/>
          <w:szCs w:val="24"/>
        </w:rPr>
        <w:t>在高风险时期，</w:t>
      </w:r>
      <w:r>
        <w:rPr>
          <w:rFonts w:hint="eastAsia" w:ascii="宋体" w:hAnsi="宋体"/>
          <w:sz w:val="24"/>
          <w:szCs w:val="24"/>
        </w:rPr>
        <w:t>佛山市第一人民医院</w:t>
      </w:r>
      <w:r>
        <w:rPr>
          <w:rFonts w:ascii="宋体" w:hAnsi="宋体"/>
          <w:sz w:val="24"/>
          <w:szCs w:val="24"/>
        </w:rPr>
        <w:t>将结合</w:t>
      </w:r>
      <w:r>
        <w:rPr>
          <w:rFonts w:hint="eastAsia" w:ascii="宋体" w:hAnsi="宋体"/>
          <w:sz w:val="24"/>
          <w:szCs w:val="24"/>
        </w:rPr>
        <w:t>安全加固</w:t>
      </w:r>
      <w:r>
        <w:rPr>
          <w:rFonts w:ascii="宋体" w:hAnsi="宋体"/>
          <w:sz w:val="24"/>
          <w:szCs w:val="24"/>
        </w:rPr>
        <w:t>、漏洞扫描、系统安全性检测等服务，强化对外部攻击的防护，全面提升医院的信息网络安全和数据保护能力</w:t>
      </w:r>
      <w:r>
        <w:rPr>
          <w:rFonts w:hint="eastAsia" w:ascii="宋体" w:hAnsi="宋体"/>
          <w:sz w:val="24"/>
          <w:szCs w:val="24"/>
        </w:rPr>
        <w:t>，以</w:t>
      </w:r>
      <w:r>
        <w:rPr>
          <w:rFonts w:ascii="宋体" w:hAnsi="宋体"/>
          <w:sz w:val="24"/>
          <w:szCs w:val="24"/>
        </w:rPr>
        <w:t>保障核心业务的稳定运行与患者数据的安全</w:t>
      </w:r>
      <w:r>
        <w:rPr>
          <w:rFonts w:hint="eastAsia" w:ascii="宋体" w:hAnsi="宋体"/>
          <w:sz w:val="24"/>
          <w:szCs w:val="24"/>
        </w:rPr>
        <w:t>。</w:t>
      </w:r>
    </w:p>
    <w:bookmarkEnd w:id="0"/>
    <w:p>
      <w:pPr>
        <w:pStyle w:val="2"/>
        <w:numPr>
          <w:ilvl w:val="0"/>
          <w:numId w:val="2"/>
        </w:numPr>
        <w:jc w:val="left"/>
        <w:rPr>
          <w:rFonts w:hint="eastAsia"/>
        </w:rPr>
      </w:pPr>
      <w:r>
        <w:rPr>
          <w:rFonts w:hint="eastAsia"/>
        </w:rPr>
        <w:t>服务标准</w:t>
      </w:r>
    </w:p>
    <w:p>
      <w:pPr>
        <w:pStyle w:val="5"/>
        <w:widowControl/>
        <w:numPr>
          <w:ilvl w:val="0"/>
          <w:numId w:val="3"/>
        </w:numPr>
        <w:spacing w:line="360" w:lineRule="auto"/>
        <w:ind w:firstLineChars="0"/>
        <w:jc w:val="left"/>
        <w:rPr>
          <w:rFonts w:ascii="宋体" w:hAnsi="宋体"/>
          <w:sz w:val="24"/>
          <w:szCs w:val="24"/>
        </w:rPr>
      </w:pPr>
      <w:r>
        <w:rPr>
          <w:rFonts w:hint="eastAsia" w:ascii="宋体" w:hAnsi="宋体"/>
          <w:sz w:val="24"/>
          <w:szCs w:val="24"/>
        </w:rPr>
        <w:t>《信息安全技术信息系统安全等级保护基本要求》（</w:t>
      </w:r>
      <w:r>
        <w:rPr>
          <w:rFonts w:ascii="宋体" w:hAnsi="宋体"/>
          <w:sz w:val="24"/>
          <w:szCs w:val="24"/>
        </w:rPr>
        <w:t>GB/T 22239-2008</w:t>
      </w:r>
      <w:r>
        <w:rPr>
          <w:rFonts w:hint="eastAsia" w:ascii="宋体" w:hAnsi="宋体"/>
          <w:sz w:val="24"/>
          <w:szCs w:val="24"/>
        </w:rPr>
        <w:t>）</w:t>
      </w:r>
    </w:p>
    <w:p>
      <w:pPr>
        <w:pStyle w:val="5"/>
        <w:widowControl/>
        <w:numPr>
          <w:ilvl w:val="0"/>
          <w:numId w:val="3"/>
        </w:numPr>
        <w:spacing w:line="360" w:lineRule="auto"/>
        <w:ind w:firstLineChars="0"/>
        <w:jc w:val="left"/>
        <w:rPr>
          <w:rFonts w:ascii="宋体" w:hAnsi="宋体"/>
          <w:sz w:val="24"/>
          <w:szCs w:val="24"/>
        </w:rPr>
      </w:pPr>
      <w:r>
        <w:rPr>
          <w:rFonts w:hint="eastAsia" w:ascii="宋体" w:hAnsi="宋体"/>
          <w:sz w:val="24"/>
          <w:szCs w:val="24"/>
        </w:rPr>
        <w:t>《信息安全技术信息系统等级保护安全设计技术要求》(</w:t>
      </w:r>
      <w:r>
        <w:rPr>
          <w:rFonts w:ascii="宋体" w:hAnsi="宋体"/>
          <w:sz w:val="24"/>
          <w:szCs w:val="24"/>
        </w:rPr>
        <w:t>GB/T 25070-2010</w:t>
      </w:r>
      <w:r>
        <w:rPr>
          <w:rFonts w:hint="eastAsia" w:ascii="宋体" w:hAnsi="宋体"/>
          <w:sz w:val="24"/>
          <w:szCs w:val="24"/>
        </w:rPr>
        <w:t>)</w:t>
      </w:r>
    </w:p>
    <w:p>
      <w:pPr>
        <w:pStyle w:val="5"/>
        <w:widowControl/>
        <w:numPr>
          <w:ilvl w:val="0"/>
          <w:numId w:val="3"/>
        </w:numPr>
        <w:spacing w:line="360" w:lineRule="auto"/>
        <w:ind w:firstLineChars="0"/>
        <w:jc w:val="left"/>
        <w:rPr>
          <w:rFonts w:ascii="宋体" w:hAnsi="宋体"/>
          <w:sz w:val="24"/>
          <w:szCs w:val="24"/>
        </w:rPr>
      </w:pPr>
      <w:r>
        <w:rPr>
          <w:rFonts w:hint="eastAsia" w:ascii="宋体" w:hAnsi="宋体"/>
          <w:sz w:val="24"/>
          <w:szCs w:val="24"/>
        </w:rPr>
        <w:t>《信息安全技术信息系统安全等级保护定级指南》</w:t>
      </w:r>
      <w:r>
        <w:rPr>
          <w:rFonts w:ascii="宋体" w:hAnsi="宋体"/>
          <w:sz w:val="24"/>
          <w:szCs w:val="24"/>
        </w:rPr>
        <w:t>(GB/T 22240-2008)</w:t>
      </w:r>
    </w:p>
    <w:p>
      <w:pPr>
        <w:pStyle w:val="5"/>
        <w:widowControl/>
        <w:numPr>
          <w:ilvl w:val="0"/>
          <w:numId w:val="3"/>
        </w:numPr>
        <w:spacing w:line="360" w:lineRule="auto"/>
        <w:ind w:firstLineChars="0"/>
        <w:jc w:val="left"/>
        <w:rPr>
          <w:rFonts w:ascii="宋体" w:hAnsi="宋体"/>
          <w:sz w:val="24"/>
          <w:szCs w:val="24"/>
        </w:rPr>
      </w:pPr>
      <w:r>
        <w:rPr>
          <w:rFonts w:hint="eastAsia" w:ascii="宋体" w:hAnsi="宋体"/>
          <w:sz w:val="24"/>
          <w:szCs w:val="24"/>
        </w:rPr>
        <w:t>《信息安全技术信息系统安全等级保护实施指南》</w:t>
      </w:r>
    </w:p>
    <w:p>
      <w:pPr>
        <w:pStyle w:val="5"/>
        <w:widowControl/>
        <w:numPr>
          <w:ilvl w:val="0"/>
          <w:numId w:val="3"/>
        </w:numPr>
        <w:spacing w:line="360" w:lineRule="auto"/>
        <w:ind w:firstLineChars="0"/>
        <w:jc w:val="left"/>
        <w:rPr>
          <w:rFonts w:ascii="宋体" w:hAnsi="宋体"/>
          <w:sz w:val="24"/>
          <w:szCs w:val="24"/>
        </w:rPr>
      </w:pPr>
      <w:r>
        <w:rPr>
          <w:rFonts w:hint="eastAsia" w:ascii="宋体" w:hAnsi="宋体"/>
          <w:sz w:val="24"/>
          <w:szCs w:val="24"/>
        </w:rPr>
        <w:t>《信息安全技术信息系统安全等级保护测评要求》</w:t>
      </w:r>
    </w:p>
    <w:p>
      <w:pPr>
        <w:pStyle w:val="5"/>
        <w:widowControl/>
        <w:numPr>
          <w:ilvl w:val="0"/>
          <w:numId w:val="3"/>
        </w:numPr>
        <w:spacing w:line="360" w:lineRule="auto"/>
        <w:ind w:firstLineChars="0"/>
        <w:jc w:val="left"/>
        <w:rPr>
          <w:rFonts w:ascii="宋体" w:hAnsi="宋体"/>
          <w:sz w:val="24"/>
          <w:szCs w:val="24"/>
        </w:rPr>
      </w:pPr>
      <w:r>
        <w:rPr>
          <w:rFonts w:hint="eastAsia" w:ascii="宋体" w:hAnsi="宋体"/>
          <w:sz w:val="24"/>
          <w:szCs w:val="24"/>
        </w:rPr>
        <w:t>《信息安全技术信息系统安全等级保护测评过程指南》</w:t>
      </w:r>
    </w:p>
    <w:p>
      <w:pPr>
        <w:pStyle w:val="5"/>
        <w:widowControl/>
        <w:numPr>
          <w:ilvl w:val="0"/>
          <w:numId w:val="3"/>
        </w:numPr>
        <w:spacing w:line="360" w:lineRule="auto"/>
        <w:ind w:firstLineChars="0"/>
        <w:jc w:val="left"/>
        <w:rPr>
          <w:rFonts w:ascii="宋体" w:hAnsi="宋体"/>
          <w:sz w:val="24"/>
          <w:szCs w:val="24"/>
        </w:rPr>
      </w:pPr>
      <w:r>
        <w:rPr>
          <w:rFonts w:hint="eastAsia" w:ascii="宋体" w:hAnsi="宋体"/>
          <w:sz w:val="24"/>
          <w:szCs w:val="24"/>
        </w:rPr>
        <w:t>《计算机信息系统安全保护等级划分准则》（</w:t>
      </w:r>
      <w:r>
        <w:rPr>
          <w:rFonts w:ascii="宋体" w:hAnsi="宋体"/>
          <w:sz w:val="24"/>
          <w:szCs w:val="24"/>
        </w:rPr>
        <w:t>GB 17859-1999</w:t>
      </w:r>
      <w:r>
        <w:rPr>
          <w:rFonts w:hint="eastAsia" w:ascii="宋体" w:hAnsi="宋体"/>
          <w:sz w:val="24"/>
          <w:szCs w:val="24"/>
        </w:rPr>
        <w:t>）</w:t>
      </w:r>
    </w:p>
    <w:p>
      <w:pPr>
        <w:pStyle w:val="5"/>
        <w:widowControl/>
        <w:numPr>
          <w:ilvl w:val="0"/>
          <w:numId w:val="3"/>
        </w:numPr>
        <w:spacing w:line="360" w:lineRule="auto"/>
        <w:ind w:firstLineChars="0"/>
        <w:jc w:val="left"/>
        <w:rPr>
          <w:rFonts w:ascii="宋体" w:hAnsi="宋体"/>
          <w:sz w:val="24"/>
          <w:szCs w:val="24"/>
        </w:rPr>
      </w:pPr>
      <w:r>
        <w:rPr>
          <w:rFonts w:hint="eastAsia" w:ascii="宋体" w:hAnsi="宋体"/>
          <w:sz w:val="24"/>
          <w:szCs w:val="24"/>
        </w:rPr>
        <w:t>《信息安全技术信息系统通用安全技术要求》（</w:t>
      </w:r>
      <w:r>
        <w:rPr>
          <w:rFonts w:ascii="宋体" w:hAnsi="宋体"/>
          <w:sz w:val="24"/>
          <w:szCs w:val="24"/>
        </w:rPr>
        <w:t>GB/T 20271-2006</w:t>
      </w:r>
      <w:r>
        <w:rPr>
          <w:rFonts w:hint="eastAsia" w:ascii="宋体" w:hAnsi="宋体"/>
          <w:sz w:val="24"/>
          <w:szCs w:val="24"/>
        </w:rPr>
        <w:t>）</w:t>
      </w:r>
    </w:p>
    <w:p>
      <w:pPr>
        <w:pStyle w:val="5"/>
        <w:widowControl/>
        <w:numPr>
          <w:ilvl w:val="0"/>
          <w:numId w:val="3"/>
        </w:numPr>
        <w:spacing w:line="360" w:lineRule="auto"/>
        <w:ind w:firstLineChars="0"/>
        <w:jc w:val="left"/>
        <w:rPr>
          <w:rFonts w:ascii="宋体" w:hAnsi="宋体"/>
          <w:sz w:val="24"/>
          <w:szCs w:val="24"/>
        </w:rPr>
      </w:pPr>
      <w:r>
        <w:rPr>
          <w:rFonts w:hint="eastAsia" w:ascii="宋体" w:hAnsi="宋体"/>
          <w:sz w:val="24"/>
          <w:szCs w:val="24"/>
        </w:rPr>
        <w:t>《信息安全技术网络基础安全技术要求》（</w:t>
      </w:r>
      <w:r>
        <w:rPr>
          <w:rFonts w:ascii="宋体" w:hAnsi="宋体"/>
          <w:sz w:val="24"/>
          <w:szCs w:val="24"/>
        </w:rPr>
        <w:t>GB/T 20270-2006</w:t>
      </w:r>
      <w:r>
        <w:rPr>
          <w:rFonts w:hint="eastAsia" w:ascii="宋体" w:hAnsi="宋体"/>
          <w:sz w:val="24"/>
          <w:szCs w:val="24"/>
        </w:rPr>
        <w:t>）</w:t>
      </w:r>
    </w:p>
    <w:p>
      <w:pPr>
        <w:pStyle w:val="5"/>
        <w:widowControl/>
        <w:numPr>
          <w:ilvl w:val="0"/>
          <w:numId w:val="3"/>
        </w:numPr>
        <w:spacing w:line="360" w:lineRule="auto"/>
        <w:ind w:firstLineChars="0"/>
        <w:jc w:val="left"/>
        <w:rPr>
          <w:rFonts w:ascii="宋体" w:hAnsi="宋体"/>
          <w:sz w:val="24"/>
          <w:szCs w:val="24"/>
        </w:rPr>
      </w:pPr>
      <w:r>
        <w:rPr>
          <w:rFonts w:hint="eastAsia" w:ascii="宋体" w:hAnsi="宋体"/>
          <w:sz w:val="24"/>
          <w:szCs w:val="24"/>
        </w:rPr>
        <w:t>《信息安全技术操作系统安全技术要求》（</w:t>
      </w:r>
      <w:r>
        <w:rPr>
          <w:rFonts w:ascii="宋体" w:hAnsi="宋体"/>
          <w:sz w:val="24"/>
          <w:szCs w:val="24"/>
        </w:rPr>
        <w:t>GB/T 20272-2006</w:t>
      </w:r>
      <w:r>
        <w:rPr>
          <w:rFonts w:hint="eastAsia" w:ascii="宋体" w:hAnsi="宋体"/>
          <w:sz w:val="24"/>
          <w:szCs w:val="24"/>
        </w:rPr>
        <w:t>）</w:t>
      </w:r>
    </w:p>
    <w:p>
      <w:pPr>
        <w:pStyle w:val="5"/>
        <w:widowControl/>
        <w:numPr>
          <w:ilvl w:val="0"/>
          <w:numId w:val="3"/>
        </w:numPr>
        <w:spacing w:line="360" w:lineRule="auto"/>
        <w:ind w:firstLineChars="0"/>
        <w:jc w:val="left"/>
        <w:rPr>
          <w:rFonts w:ascii="宋体" w:hAnsi="宋体"/>
          <w:sz w:val="24"/>
          <w:szCs w:val="24"/>
        </w:rPr>
      </w:pPr>
      <w:r>
        <w:rPr>
          <w:rFonts w:hint="eastAsia" w:ascii="宋体" w:hAnsi="宋体"/>
          <w:sz w:val="24"/>
          <w:szCs w:val="24"/>
        </w:rPr>
        <w:t>《信息安全技术数据库管理系统安全技术要求》（</w:t>
      </w:r>
      <w:r>
        <w:rPr>
          <w:rFonts w:ascii="宋体" w:hAnsi="宋体"/>
          <w:sz w:val="24"/>
          <w:szCs w:val="24"/>
        </w:rPr>
        <w:t>GB/T 20273-2006</w:t>
      </w:r>
      <w:r>
        <w:rPr>
          <w:rFonts w:hint="eastAsia" w:ascii="宋体" w:hAnsi="宋体"/>
          <w:sz w:val="24"/>
          <w:szCs w:val="24"/>
        </w:rPr>
        <w:t>）</w:t>
      </w:r>
    </w:p>
    <w:p>
      <w:pPr>
        <w:pStyle w:val="5"/>
        <w:widowControl/>
        <w:numPr>
          <w:ilvl w:val="0"/>
          <w:numId w:val="3"/>
        </w:numPr>
        <w:spacing w:line="360" w:lineRule="auto"/>
        <w:ind w:firstLineChars="0"/>
        <w:jc w:val="left"/>
        <w:rPr>
          <w:rFonts w:ascii="宋体" w:hAnsi="宋体"/>
          <w:sz w:val="24"/>
          <w:szCs w:val="24"/>
        </w:rPr>
      </w:pPr>
      <w:r>
        <w:rPr>
          <w:rFonts w:hint="eastAsia" w:ascii="宋体" w:hAnsi="宋体"/>
          <w:sz w:val="24"/>
          <w:szCs w:val="24"/>
        </w:rPr>
        <w:t>《信息安全技术服务器技术要求》（</w:t>
      </w:r>
      <w:r>
        <w:rPr>
          <w:rFonts w:ascii="宋体" w:hAnsi="宋体"/>
          <w:sz w:val="24"/>
          <w:szCs w:val="24"/>
        </w:rPr>
        <w:t>GB/T 21028-2007</w:t>
      </w:r>
      <w:r>
        <w:rPr>
          <w:rFonts w:hint="eastAsia" w:ascii="宋体" w:hAnsi="宋体"/>
          <w:sz w:val="24"/>
          <w:szCs w:val="24"/>
        </w:rPr>
        <w:t>）</w:t>
      </w:r>
    </w:p>
    <w:p>
      <w:pPr>
        <w:pStyle w:val="5"/>
        <w:widowControl/>
        <w:numPr>
          <w:ilvl w:val="0"/>
          <w:numId w:val="3"/>
        </w:numPr>
        <w:spacing w:line="360" w:lineRule="auto"/>
        <w:ind w:firstLineChars="0"/>
        <w:jc w:val="left"/>
        <w:rPr>
          <w:rFonts w:ascii="宋体" w:hAnsi="宋体"/>
          <w:sz w:val="24"/>
          <w:szCs w:val="24"/>
        </w:rPr>
      </w:pPr>
      <w:r>
        <w:rPr>
          <w:rFonts w:hint="eastAsia" w:ascii="宋体" w:hAnsi="宋体"/>
          <w:sz w:val="24"/>
          <w:szCs w:val="24"/>
        </w:rPr>
        <w:t>《信息安全技术终端计算机系统安全等级技术要求》（</w:t>
      </w:r>
      <w:r>
        <w:rPr>
          <w:rFonts w:ascii="宋体" w:hAnsi="宋体"/>
          <w:sz w:val="24"/>
          <w:szCs w:val="24"/>
        </w:rPr>
        <w:t>GA/T 671-2006</w:t>
      </w:r>
      <w:r>
        <w:rPr>
          <w:rFonts w:hint="eastAsia" w:ascii="宋体" w:hAnsi="宋体"/>
          <w:sz w:val="24"/>
          <w:szCs w:val="24"/>
        </w:rPr>
        <w:t>）</w:t>
      </w:r>
    </w:p>
    <w:p>
      <w:pPr>
        <w:pStyle w:val="5"/>
        <w:widowControl/>
        <w:numPr>
          <w:ilvl w:val="0"/>
          <w:numId w:val="3"/>
        </w:numPr>
        <w:spacing w:line="360" w:lineRule="auto"/>
        <w:ind w:firstLineChars="0"/>
        <w:jc w:val="left"/>
        <w:rPr>
          <w:rFonts w:ascii="宋体" w:hAnsi="宋体"/>
          <w:sz w:val="24"/>
          <w:szCs w:val="24"/>
        </w:rPr>
      </w:pPr>
      <w:r>
        <w:rPr>
          <w:rFonts w:hint="eastAsia" w:ascii="宋体" w:hAnsi="宋体"/>
          <w:sz w:val="24"/>
          <w:szCs w:val="24"/>
        </w:rPr>
        <w:t>《信息安全技术信息系统安全管理要求》（</w:t>
      </w:r>
      <w:r>
        <w:rPr>
          <w:rFonts w:ascii="宋体" w:hAnsi="宋体"/>
          <w:sz w:val="24"/>
          <w:szCs w:val="24"/>
        </w:rPr>
        <w:t>GB/T 20269-2006</w:t>
      </w:r>
      <w:r>
        <w:rPr>
          <w:rFonts w:hint="eastAsia" w:ascii="宋体" w:hAnsi="宋体"/>
          <w:sz w:val="24"/>
          <w:szCs w:val="24"/>
        </w:rPr>
        <w:t>）</w:t>
      </w:r>
    </w:p>
    <w:p>
      <w:pPr>
        <w:pStyle w:val="5"/>
        <w:widowControl/>
        <w:numPr>
          <w:ilvl w:val="0"/>
          <w:numId w:val="3"/>
        </w:numPr>
        <w:spacing w:line="360" w:lineRule="auto"/>
        <w:ind w:firstLineChars="0"/>
        <w:jc w:val="left"/>
        <w:rPr>
          <w:rFonts w:ascii="宋体" w:hAnsi="宋体"/>
          <w:sz w:val="24"/>
          <w:szCs w:val="24"/>
        </w:rPr>
      </w:pPr>
      <w:r>
        <w:rPr>
          <w:rFonts w:hint="eastAsia" w:ascii="宋体" w:hAnsi="宋体"/>
          <w:sz w:val="24"/>
          <w:szCs w:val="24"/>
        </w:rPr>
        <w:t>《信息安全技术信息系统安全工程管理要求》（</w:t>
      </w:r>
      <w:r>
        <w:rPr>
          <w:rFonts w:ascii="宋体" w:hAnsi="宋体"/>
          <w:sz w:val="24"/>
          <w:szCs w:val="24"/>
        </w:rPr>
        <w:t>GB/T 20282-2006</w:t>
      </w:r>
      <w:r>
        <w:rPr>
          <w:rFonts w:hint="eastAsia" w:ascii="宋体" w:hAnsi="宋体"/>
          <w:sz w:val="24"/>
          <w:szCs w:val="24"/>
        </w:rPr>
        <w:t>）</w:t>
      </w:r>
    </w:p>
    <w:p>
      <w:pPr>
        <w:pStyle w:val="5"/>
        <w:widowControl/>
        <w:numPr>
          <w:ilvl w:val="0"/>
          <w:numId w:val="3"/>
        </w:numPr>
        <w:spacing w:line="360" w:lineRule="auto"/>
        <w:ind w:firstLineChars="0"/>
        <w:jc w:val="left"/>
        <w:rPr>
          <w:rFonts w:ascii="宋体" w:hAnsi="宋体"/>
          <w:sz w:val="24"/>
          <w:szCs w:val="24"/>
        </w:rPr>
      </w:pPr>
      <w:r>
        <w:rPr>
          <w:rFonts w:ascii="宋体" w:hAnsi="宋体"/>
          <w:sz w:val="24"/>
          <w:szCs w:val="24"/>
        </w:rPr>
        <w:t>GB/T 22080-2008/ISO/IEC 27001:2005</w:t>
      </w:r>
      <w:r>
        <w:rPr>
          <w:rFonts w:hint="eastAsia" w:ascii="宋体" w:hAnsi="宋体"/>
          <w:sz w:val="24"/>
          <w:szCs w:val="24"/>
        </w:rPr>
        <w:t>《信息技术安全技术信息安全管理体系要求》</w:t>
      </w:r>
    </w:p>
    <w:p>
      <w:pPr>
        <w:pStyle w:val="5"/>
        <w:widowControl/>
        <w:numPr>
          <w:ilvl w:val="0"/>
          <w:numId w:val="3"/>
        </w:numPr>
        <w:spacing w:line="360" w:lineRule="auto"/>
        <w:ind w:firstLineChars="0"/>
        <w:jc w:val="left"/>
        <w:rPr>
          <w:rFonts w:ascii="宋体" w:hAnsi="宋体"/>
          <w:sz w:val="24"/>
          <w:szCs w:val="24"/>
        </w:rPr>
      </w:pPr>
      <w:r>
        <w:rPr>
          <w:rFonts w:ascii="宋体" w:hAnsi="宋体"/>
          <w:sz w:val="24"/>
          <w:szCs w:val="24"/>
        </w:rPr>
        <w:t>IATF</w:t>
      </w:r>
      <w:r>
        <w:rPr>
          <w:rFonts w:hint="eastAsia" w:ascii="宋体" w:hAnsi="宋体"/>
          <w:sz w:val="24"/>
          <w:szCs w:val="24"/>
        </w:rPr>
        <w:t>《信息保障技术框架》</w:t>
      </w:r>
    </w:p>
    <w:p>
      <w:pPr>
        <w:pStyle w:val="2"/>
        <w:numPr>
          <w:ilvl w:val="0"/>
          <w:numId w:val="2"/>
        </w:numPr>
        <w:jc w:val="left"/>
      </w:pPr>
      <w:r>
        <w:rPr>
          <w:rFonts w:hint="eastAsia"/>
        </w:rPr>
        <w:t>项目范围</w:t>
      </w:r>
    </w:p>
    <w:p>
      <w:pPr>
        <w:spacing w:line="360" w:lineRule="auto"/>
        <w:ind w:left="1" w:firstLine="720" w:firstLineChars="300"/>
        <w:rPr>
          <w:rFonts w:ascii="宋体" w:hAnsi="宋体"/>
          <w:sz w:val="24"/>
          <w:szCs w:val="24"/>
        </w:rPr>
      </w:pPr>
      <w:r>
        <w:rPr>
          <w:rFonts w:hint="eastAsia" w:ascii="宋体" w:hAnsi="宋体"/>
          <w:sz w:val="24"/>
          <w:szCs w:val="24"/>
        </w:rPr>
        <w:t>医院内部网络及各类信息系统有关之信息应用安全、网络安全、终端安全、操作系统、数据库、常见中间件及服务应用等的安全。</w:t>
      </w:r>
    </w:p>
    <w:p>
      <w:pPr>
        <w:pStyle w:val="5"/>
        <w:numPr>
          <w:ilvl w:val="1"/>
          <w:numId w:val="1"/>
        </w:numPr>
        <w:spacing w:line="360" w:lineRule="auto"/>
        <w:ind w:firstLineChars="0"/>
        <w:rPr>
          <w:rFonts w:ascii="宋体" w:hAnsi="宋体"/>
          <w:kern w:val="0"/>
          <w:sz w:val="24"/>
          <w:szCs w:val="24"/>
        </w:rPr>
      </w:pPr>
      <w:r>
        <w:rPr>
          <w:rFonts w:ascii="宋体" w:hAnsi="宋体"/>
          <w:kern w:val="0"/>
          <w:sz w:val="24"/>
          <w:szCs w:val="24"/>
        </w:rPr>
        <w:t>要安全设备：</w:t>
      </w:r>
    </w:p>
    <w:p>
      <w:pPr>
        <w:pStyle w:val="2"/>
        <w:numPr>
          <w:ilvl w:val="0"/>
          <w:numId w:val="2"/>
        </w:numPr>
        <w:jc w:val="left"/>
        <w:rPr>
          <w:rFonts w:hint="eastAsia"/>
        </w:rPr>
      </w:pPr>
      <w:r>
        <w:rPr>
          <w:rFonts w:hint="eastAsia"/>
        </w:rPr>
        <w:t>服务内容要求</w:t>
      </w:r>
    </w:p>
    <w:p>
      <w:pPr>
        <w:numPr>
          <w:ilvl w:val="1"/>
          <w:numId w:val="4"/>
        </w:numPr>
        <w:spacing w:before="312" w:beforeLines="100" w:after="312" w:afterLines="100" w:line="480" w:lineRule="exact"/>
        <w:ind w:left="578" w:hanging="578"/>
        <w:jc w:val="left"/>
        <w:outlineLvl w:val="1"/>
        <w:rPr>
          <w:rFonts w:ascii="等线" w:hAnsi="等线" w:cs="等线"/>
          <w:b/>
          <w:sz w:val="24"/>
          <w:szCs w:val="24"/>
        </w:rPr>
      </w:pPr>
      <w:r>
        <w:rPr>
          <w:rFonts w:hint="eastAsia" w:ascii="等线" w:hAnsi="等线" w:cs="等线"/>
          <w:b/>
          <w:sz w:val="24"/>
          <w:szCs w:val="24"/>
        </w:rPr>
        <w:t>驻点安全值守服务</w:t>
      </w:r>
    </w:p>
    <w:p>
      <w:pPr>
        <w:spacing w:line="360" w:lineRule="auto"/>
        <w:ind w:firstLine="482" w:firstLineChars="200"/>
        <w:rPr>
          <w:rFonts w:ascii="宋体" w:hAnsi="宋体"/>
          <w:b/>
          <w:sz w:val="24"/>
          <w:szCs w:val="24"/>
        </w:rPr>
      </w:pPr>
      <w:r>
        <w:rPr>
          <w:rFonts w:hint="eastAsia" w:ascii="宋体" w:hAnsi="宋体"/>
          <w:b/>
          <w:sz w:val="24"/>
          <w:szCs w:val="24"/>
        </w:rPr>
        <w:t>提供至少1名或以上专职的信息安全工程师在医院驻点服务，提供一周</w:t>
      </w:r>
      <w:r>
        <w:rPr>
          <w:rFonts w:ascii="宋体" w:hAnsi="宋体"/>
          <w:b/>
          <w:sz w:val="24"/>
          <w:szCs w:val="24"/>
        </w:rPr>
        <w:t>6X8</w:t>
      </w:r>
      <w:r>
        <w:rPr>
          <w:rFonts w:hint="eastAsia" w:ascii="宋体" w:hAnsi="宋体"/>
          <w:b/>
          <w:sz w:val="24"/>
          <w:szCs w:val="24"/>
        </w:rPr>
        <w:t>小时的现场驻点。现场驻点工程师要求：必须拥有1年以上在相关行业从事网络安全现场驻点运维经验，具备CISP等级资质认证。</w:t>
      </w:r>
    </w:p>
    <w:p>
      <w:pPr>
        <w:spacing w:line="360" w:lineRule="auto"/>
        <w:ind w:firstLine="482" w:firstLineChars="200"/>
        <w:rPr>
          <w:rFonts w:hint="eastAsia" w:ascii="宋体" w:hAnsi="宋体"/>
          <w:b/>
          <w:sz w:val="24"/>
          <w:szCs w:val="24"/>
        </w:rPr>
      </w:pPr>
      <w:r>
        <w:rPr>
          <w:rFonts w:hint="eastAsia" w:ascii="宋体" w:hAnsi="宋体"/>
          <w:b/>
          <w:sz w:val="24"/>
          <w:szCs w:val="24"/>
        </w:rPr>
        <w:t>驻点服务内容包括：</w:t>
      </w:r>
    </w:p>
    <w:p>
      <w:pPr>
        <w:spacing w:line="360" w:lineRule="auto"/>
        <w:ind w:left="420" w:leftChars="200" w:firstLine="420"/>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依据医院安全预警平台，协助对医院内网的中毒客户端进行病毒查杀及木马清理，并按医院要求安装防病毒软件客户端。确保医院当</w:t>
      </w:r>
      <w:r>
        <w:rPr>
          <w:rFonts w:ascii="宋体" w:hAnsi="宋体"/>
          <w:sz w:val="24"/>
          <w:szCs w:val="24"/>
        </w:rPr>
        <w:t>月</w:t>
      </w:r>
      <w:r>
        <w:rPr>
          <w:rFonts w:hint="eastAsia" w:ascii="宋体" w:hAnsi="宋体"/>
          <w:sz w:val="24"/>
          <w:szCs w:val="24"/>
        </w:rPr>
        <w:t>安全预警平台的综合得分达到80分以上。</w:t>
      </w:r>
    </w:p>
    <w:p>
      <w:pPr>
        <w:spacing w:line="360" w:lineRule="auto"/>
        <w:ind w:left="420" w:firstLine="420"/>
        <w:rPr>
          <w:rFonts w:hint="eastAsia" w:ascii="宋体" w:hAnsi="宋体"/>
          <w:sz w:val="24"/>
          <w:szCs w:val="24"/>
        </w:rPr>
      </w:pPr>
      <w:r>
        <w:rPr>
          <w:rFonts w:hint="eastAsia" w:ascii="宋体" w:hAnsi="宋体"/>
          <w:sz w:val="24"/>
          <w:szCs w:val="24"/>
        </w:rPr>
        <w:t>1.2</w:t>
      </w:r>
      <w:r>
        <w:rPr>
          <w:rFonts w:ascii="宋体" w:hAnsi="宋体"/>
          <w:sz w:val="24"/>
          <w:szCs w:val="24"/>
        </w:rPr>
        <w:t xml:space="preserve"> </w:t>
      </w:r>
      <w:r>
        <w:rPr>
          <w:rFonts w:hint="eastAsia" w:ascii="宋体" w:hAnsi="宋体"/>
          <w:sz w:val="24"/>
          <w:szCs w:val="24"/>
        </w:rPr>
        <w:t>依据院方安全感知平台的脆弱性业务风险分析报告，协助服务器管理员消除业务存在风险问题；修复高风险漏洞，确保不存在中高风险业务。利用天擎，对医院内终端进行补丁分发，减少系统漏洞，降低病毒感染黑客风险。对于特别危急的系统漏洞，协助用户对服务器进行补丁手工修复及人工检查确认，确保漏洞已经成功修复，保护关键应用的系统安全。漏洞主要是微软操作系统关键、严重类漏洞。危急类补丁主要是影响范围广，对系统可用性影响极大，例如MS17-010、MS08-067远程执行任意代码漏洞。</w:t>
      </w:r>
    </w:p>
    <w:p>
      <w:pPr>
        <w:spacing w:line="360" w:lineRule="auto"/>
        <w:ind w:left="420" w:firstLine="420"/>
        <w:rPr>
          <w:rFonts w:hint="eastAsia" w:ascii="宋体" w:hAnsi="宋体"/>
          <w:sz w:val="24"/>
          <w:szCs w:val="24"/>
        </w:rPr>
      </w:pPr>
      <w:r>
        <w:rPr>
          <w:rFonts w:hint="eastAsia" w:ascii="宋体" w:hAnsi="宋体"/>
          <w:sz w:val="24"/>
          <w:szCs w:val="24"/>
        </w:rPr>
        <w:t>1.3查找未安装安全软件的网内设备，确保防病毒软件客户端覆盖达90%以上。</w:t>
      </w:r>
    </w:p>
    <w:p>
      <w:pPr>
        <w:spacing w:line="360" w:lineRule="auto"/>
        <w:ind w:left="420" w:firstLine="420"/>
        <w:rPr>
          <w:rFonts w:ascii="宋体" w:hAnsi="宋体"/>
          <w:sz w:val="24"/>
          <w:szCs w:val="24"/>
        </w:rPr>
      </w:pPr>
      <w:r>
        <w:rPr>
          <w:rFonts w:hint="eastAsia" w:ascii="宋体" w:hAnsi="宋体"/>
          <w:sz w:val="24"/>
          <w:szCs w:val="24"/>
        </w:rPr>
        <w:t>1.4</w:t>
      </w:r>
      <w:r>
        <w:rPr>
          <w:rFonts w:ascii="宋体" w:hAnsi="宋体"/>
          <w:sz w:val="24"/>
          <w:szCs w:val="24"/>
        </w:rPr>
        <w:t xml:space="preserve"> </w:t>
      </w:r>
      <w:r>
        <w:rPr>
          <w:rFonts w:hint="eastAsia" w:ascii="宋体" w:hAnsi="宋体"/>
          <w:sz w:val="24"/>
          <w:szCs w:val="24"/>
        </w:rPr>
        <w:t>对已部署的安全产品提供运行维护和技术支持服务，包括医院各类信息安全、网络安全、终端安全系统的日常巡检和运维保障。定期巡查安全产品运行状态；根据实际需要进行策略调整；日常巡检维护、安全策略优化、故障处理、应急处理、安防措施有效性验证等。</w:t>
      </w:r>
      <w:r>
        <w:rPr>
          <w:rFonts w:ascii="宋体" w:hAnsi="宋体"/>
          <w:sz w:val="24"/>
          <w:szCs w:val="24"/>
        </w:rPr>
        <w:t xml:space="preserve"> </w:t>
      </w:r>
    </w:p>
    <w:p>
      <w:pPr>
        <w:spacing w:line="360" w:lineRule="auto"/>
        <w:ind w:left="420" w:firstLine="420"/>
        <w:rPr>
          <w:sz w:val="24"/>
        </w:rPr>
      </w:pPr>
      <w:r>
        <w:rPr>
          <w:rFonts w:ascii="宋体" w:hAnsi="宋体"/>
          <w:sz w:val="24"/>
          <w:szCs w:val="24"/>
        </w:rPr>
        <w:t xml:space="preserve">1.5 </w:t>
      </w:r>
      <w:r>
        <w:rPr>
          <w:rFonts w:hint="eastAsia" w:ascii="宋体" w:hAnsi="宋体"/>
          <w:sz w:val="24"/>
          <w:szCs w:val="24"/>
        </w:rPr>
        <w:t>对</w:t>
      </w:r>
      <w:r>
        <w:rPr>
          <w:rFonts w:hint="eastAsia"/>
          <w:sz w:val="24"/>
        </w:rPr>
        <w:t>院内各边界防火墙、互联防火墙安全设备日志分析、安全攻击研判、安全事件应急处置、边界网络访问控制策略开通、梳理及优化配置，策略新增及过期策略回收等，每月形成防火墙策略分析及优化报告。</w:t>
      </w:r>
    </w:p>
    <w:p>
      <w:pPr>
        <w:spacing w:line="360" w:lineRule="auto"/>
        <w:ind w:left="420" w:firstLine="420"/>
        <w:rPr>
          <w:sz w:val="24"/>
        </w:rPr>
      </w:pPr>
      <w:r>
        <w:rPr>
          <w:rFonts w:ascii="宋体" w:hAnsi="宋体"/>
          <w:sz w:val="24"/>
          <w:szCs w:val="24"/>
        </w:rPr>
        <w:t xml:space="preserve">1.6 </w:t>
      </w:r>
      <w:r>
        <w:rPr>
          <w:rFonts w:hint="eastAsia" w:ascii="宋体" w:hAnsi="宋体"/>
          <w:sz w:val="24"/>
          <w:szCs w:val="24"/>
        </w:rPr>
        <w:t>对医院</w:t>
      </w:r>
      <w:r>
        <w:rPr>
          <w:rFonts w:hint="eastAsia"/>
          <w:sz w:val="24"/>
        </w:rPr>
        <w:t>上网行为管理平台进行监控，对上网策略优化，违规上网行为审计及处理等。通过权限访问策略，限制用户访问到互联网恶意网页。</w:t>
      </w:r>
    </w:p>
    <w:p>
      <w:pPr>
        <w:spacing w:line="360" w:lineRule="auto"/>
        <w:ind w:left="420" w:firstLine="420"/>
        <w:rPr>
          <w:sz w:val="24"/>
        </w:rPr>
      </w:pPr>
      <w:r>
        <w:rPr>
          <w:rFonts w:ascii="宋体" w:hAnsi="宋体"/>
          <w:sz w:val="24"/>
          <w:szCs w:val="24"/>
        </w:rPr>
        <w:t xml:space="preserve">1.7 </w:t>
      </w:r>
      <w:r>
        <w:rPr>
          <w:rFonts w:hint="eastAsia" w:ascii="宋体" w:hAnsi="宋体"/>
          <w:sz w:val="24"/>
          <w:szCs w:val="24"/>
        </w:rPr>
        <w:t>对</w:t>
      </w:r>
      <w:r>
        <w:rPr>
          <w:rFonts w:hint="eastAsia"/>
          <w:sz w:val="24"/>
        </w:rPr>
        <w:t>院内服务器主机安全监控，安全防护客户端安装，日志分析，问题处理，服务器高危漏洞排查及推进修复，配置优化等。</w:t>
      </w:r>
    </w:p>
    <w:p>
      <w:pPr>
        <w:spacing w:line="360" w:lineRule="auto"/>
        <w:ind w:left="420" w:firstLine="420"/>
        <w:rPr>
          <w:rFonts w:hint="eastAsia"/>
          <w:sz w:val="24"/>
        </w:rPr>
      </w:pPr>
      <w:r>
        <w:rPr>
          <w:rFonts w:ascii="宋体" w:hAnsi="宋体"/>
          <w:sz w:val="24"/>
        </w:rPr>
        <w:t>1.8</w:t>
      </w:r>
      <w:r>
        <w:rPr>
          <w:rFonts w:hint="eastAsia"/>
          <w:sz w:val="24"/>
        </w:rPr>
        <w:t>上级单位、主管单位、第三方单位安全报告、排查等安全工作的配合和处理。</w:t>
      </w:r>
    </w:p>
    <w:p>
      <w:pPr>
        <w:spacing w:line="360" w:lineRule="auto"/>
        <w:ind w:left="420" w:firstLine="420"/>
        <w:rPr>
          <w:rFonts w:hint="eastAsia" w:ascii="宋体" w:hAnsi="宋体"/>
          <w:sz w:val="24"/>
        </w:rPr>
      </w:pPr>
      <w:r>
        <w:rPr>
          <w:rFonts w:hint="eastAsia" w:ascii="宋体" w:hAnsi="宋体"/>
          <w:sz w:val="24"/>
        </w:rPr>
        <w:t>1.9攻防期间需要驻点人员在医院7X24小时的现场驻点值守。</w:t>
      </w:r>
    </w:p>
    <w:p>
      <w:pPr>
        <w:spacing w:line="360" w:lineRule="auto"/>
        <w:ind w:left="420" w:firstLine="420"/>
        <w:rPr>
          <w:rFonts w:hint="eastAsia" w:ascii="宋体" w:hAnsi="宋体"/>
          <w:sz w:val="24"/>
          <w:szCs w:val="24"/>
        </w:rPr>
      </w:pPr>
      <w:r>
        <w:rPr>
          <w:rFonts w:hint="eastAsia" w:ascii="宋体" w:hAnsi="宋体"/>
          <w:sz w:val="24"/>
          <w:szCs w:val="24"/>
        </w:rPr>
        <w:t>形成专业报告，达到安全风险有预防、安全事件有记录、出现问题可追溯的信息安全监控状态，保障医院各系统正常、安全、稳定、高效运行。</w:t>
      </w:r>
    </w:p>
    <w:p>
      <w:pPr>
        <w:numPr>
          <w:ilvl w:val="1"/>
          <w:numId w:val="4"/>
        </w:numPr>
        <w:spacing w:before="312" w:beforeLines="100" w:after="312" w:afterLines="100" w:line="480" w:lineRule="exact"/>
        <w:ind w:left="578" w:hanging="578"/>
        <w:jc w:val="left"/>
        <w:outlineLvl w:val="1"/>
        <w:rPr>
          <w:rFonts w:ascii="等线" w:hAnsi="等线" w:cs="等线"/>
          <w:b/>
          <w:sz w:val="24"/>
          <w:szCs w:val="24"/>
        </w:rPr>
      </w:pPr>
      <w:r>
        <w:rPr>
          <w:rFonts w:hint="eastAsia" w:ascii="等线" w:hAnsi="等线" w:cs="等线"/>
          <w:b/>
          <w:sz w:val="24"/>
          <w:szCs w:val="24"/>
        </w:rPr>
        <w:t>等级保护安全整改服务</w:t>
      </w:r>
    </w:p>
    <w:p>
      <w:pPr>
        <w:spacing w:line="360" w:lineRule="auto"/>
        <w:ind w:left="1" w:firstLine="480" w:firstLineChars="200"/>
        <w:rPr>
          <w:rFonts w:ascii="宋体" w:hAnsi="宋体"/>
          <w:sz w:val="24"/>
          <w:szCs w:val="24"/>
        </w:rPr>
      </w:pPr>
      <w:r>
        <w:rPr>
          <w:rFonts w:hint="eastAsia" w:ascii="宋体" w:hAnsi="宋体"/>
          <w:sz w:val="24"/>
          <w:szCs w:val="24"/>
        </w:rPr>
        <w:t>（1）协助进行有关等级保护的安全整改，收到第三方测评机构出具的测评报告后，需要依据报告协助院方完成有关物理安全、主机安全的加固，在30工作日内完成整改。配合提供安全加固服务，包括各种网络设备、安全设备、主机操作系统、数据库、常见中间件及服务应用等的安全加固及调优测试，协助院方通过第三方测评机构的验收测评。</w:t>
      </w:r>
    </w:p>
    <w:p>
      <w:pPr>
        <w:spacing w:line="360" w:lineRule="auto"/>
        <w:ind w:firstLine="480" w:firstLineChars="200"/>
        <w:rPr>
          <w:rFonts w:ascii="宋体" w:hAnsi="宋体"/>
          <w:sz w:val="24"/>
          <w:szCs w:val="24"/>
        </w:rPr>
      </w:pPr>
      <w:r>
        <w:rPr>
          <w:rFonts w:hint="eastAsia" w:ascii="宋体" w:hAnsi="宋体"/>
          <w:sz w:val="24"/>
          <w:szCs w:val="24"/>
        </w:rPr>
        <w:t>（2）提供存在互联网资产及端口暴露的医院信息系统的安全监测评估服务，按年提供不少于四次的资产及端口暴露复测服务。新系统上线监测内容包括但不限于物理环境、网络设备、操作系统、应用安全、代码程序和数据等，上线前安全评估服务的实施时间应在应用系统完成编码与测试阶段，部署至生产环境后，正式发布前，需进行端口及应用参数传输方面的安全评估、渗透测试并出具盖章评估报告。对上述已做安全检测的系统，如被第三方具备安全资质检测公司或机构检测到严重的安全漏洞（大量医患敏感数据泄露，服务器远程受控等），并经三方确认的，医院支付给第三方安全检测公司或机构的检测费用由安全服务公司承担。</w:t>
      </w:r>
    </w:p>
    <w:p>
      <w:pPr>
        <w:spacing w:line="360" w:lineRule="auto"/>
        <w:ind w:firstLine="480" w:firstLineChars="200"/>
        <w:rPr>
          <w:rFonts w:hint="eastAsia" w:ascii="宋体" w:hAnsi="宋体"/>
          <w:sz w:val="24"/>
          <w:szCs w:val="24"/>
        </w:rPr>
      </w:pPr>
      <w:r>
        <w:rPr>
          <w:rFonts w:hint="eastAsia" w:ascii="宋体" w:hAnsi="宋体"/>
          <w:sz w:val="24"/>
          <w:szCs w:val="24"/>
        </w:rPr>
        <w:t>（3）为医院提供专业化信息安全服务，负责完善医院现有的信息安全体系，并依据国家信息系统等级保护评测要求，包括制定医院的信息安全目标、完善安全管理制度、设立安全基线、完善日常信息安全作业指导书、编制应急处置流程等。</w:t>
      </w:r>
    </w:p>
    <w:p>
      <w:pPr>
        <w:numPr>
          <w:ilvl w:val="1"/>
          <w:numId w:val="4"/>
        </w:numPr>
        <w:spacing w:before="312" w:beforeLines="100" w:after="312" w:afterLines="100" w:line="480" w:lineRule="exact"/>
        <w:ind w:left="578" w:hanging="578"/>
        <w:jc w:val="left"/>
        <w:outlineLvl w:val="1"/>
        <w:rPr>
          <w:rFonts w:ascii="等线" w:hAnsi="等线" w:cs="等线"/>
          <w:b/>
          <w:sz w:val="24"/>
          <w:szCs w:val="24"/>
        </w:rPr>
      </w:pPr>
      <w:r>
        <w:rPr>
          <w:rFonts w:hint="eastAsia" w:ascii="等线" w:hAnsi="等线" w:cs="等线"/>
          <w:b/>
          <w:sz w:val="24"/>
          <w:szCs w:val="24"/>
        </w:rPr>
        <w:t>7×24小时应急保障服务</w:t>
      </w:r>
    </w:p>
    <w:p>
      <w:pPr>
        <w:spacing w:line="360" w:lineRule="auto"/>
        <w:ind w:firstLine="482" w:firstLineChars="200"/>
        <w:rPr>
          <w:rFonts w:ascii="宋体" w:hAnsi="宋体"/>
          <w:b/>
          <w:sz w:val="24"/>
          <w:szCs w:val="24"/>
        </w:rPr>
      </w:pPr>
      <w:r>
        <w:rPr>
          <w:rFonts w:hint="eastAsia" w:ascii="宋体" w:hAnsi="宋体"/>
          <w:b/>
          <w:sz w:val="24"/>
          <w:szCs w:val="24"/>
        </w:rPr>
        <w:t>建立医院网络安全事件应急预案，提供二线技术团队支持，成立应急技术支持小组，应急技术支持小组应由3人以上的技术专家级工程技术人员组成，365×24小时提供紧急响应服务。</w:t>
      </w:r>
    </w:p>
    <w:p>
      <w:pPr>
        <w:spacing w:line="360" w:lineRule="auto"/>
        <w:ind w:firstLine="480" w:firstLineChars="200"/>
        <w:rPr>
          <w:rFonts w:ascii="宋体" w:hAnsi="宋体"/>
          <w:sz w:val="24"/>
          <w:szCs w:val="24"/>
        </w:rPr>
      </w:pPr>
      <w:r>
        <w:rPr>
          <w:rFonts w:hint="eastAsia" w:ascii="宋体" w:hAnsi="宋体"/>
          <w:sz w:val="24"/>
          <w:szCs w:val="24"/>
        </w:rPr>
        <w:t>当医院网络及信息系统出现服务人员无法解决的信息安全事件或出现大规模的有害程序事件</w:t>
      </w:r>
      <w:r>
        <w:rPr>
          <w:rFonts w:ascii="宋体" w:hAnsi="宋体"/>
          <w:sz w:val="24"/>
          <w:szCs w:val="24"/>
        </w:rPr>
        <w:t>(</w:t>
      </w:r>
      <w:r>
        <w:rPr>
          <w:rFonts w:hint="eastAsia" w:ascii="宋体" w:hAnsi="宋体"/>
          <w:sz w:val="24"/>
          <w:szCs w:val="24"/>
        </w:rPr>
        <w:t>如病毒</w:t>
      </w:r>
      <w:r>
        <w:rPr>
          <w:rFonts w:ascii="宋体" w:hAnsi="宋体"/>
          <w:sz w:val="24"/>
          <w:szCs w:val="24"/>
        </w:rPr>
        <w:t>/</w:t>
      </w:r>
      <w:r>
        <w:rPr>
          <w:rFonts w:hint="eastAsia" w:ascii="宋体" w:hAnsi="宋体"/>
          <w:sz w:val="24"/>
          <w:szCs w:val="24"/>
        </w:rPr>
        <w:t>蠕虫</w:t>
      </w:r>
      <w:r>
        <w:rPr>
          <w:rFonts w:ascii="宋体" w:hAnsi="宋体"/>
          <w:sz w:val="24"/>
          <w:szCs w:val="24"/>
        </w:rPr>
        <w:t>/</w:t>
      </w:r>
      <w:r>
        <w:rPr>
          <w:rFonts w:hint="eastAsia" w:ascii="宋体" w:hAnsi="宋体"/>
          <w:sz w:val="24"/>
          <w:szCs w:val="24"/>
        </w:rPr>
        <w:t>木马</w:t>
      </w:r>
      <w:r>
        <w:rPr>
          <w:rFonts w:ascii="宋体" w:hAnsi="宋体"/>
          <w:sz w:val="24"/>
          <w:szCs w:val="24"/>
        </w:rPr>
        <w:t>/</w:t>
      </w:r>
      <w:r>
        <w:rPr>
          <w:rFonts w:hint="eastAsia" w:ascii="宋体" w:hAnsi="宋体"/>
          <w:sz w:val="24"/>
          <w:szCs w:val="24"/>
        </w:rPr>
        <w:t>僵尸网络</w:t>
      </w:r>
      <w:r>
        <w:rPr>
          <w:rFonts w:ascii="宋体" w:hAnsi="宋体"/>
          <w:sz w:val="24"/>
          <w:szCs w:val="24"/>
        </w:rPr>
        <w:t>)</w:t>
      </w:r>
      <w:r>
        <w:rPr>
          <w:rFonts w:hint="eastAsia" w:ascii="宋体" w:hAnsi="宋体"/>
          <w:sz w:val="24"/>
          <w:szCs w:val="24"/>
        </w:rPr>
        <w:t>、网络攻击事件</w:t>
      </w:r>
      <w:r>
        <w:rPr>
          <w:rFonts w:ascii="宋体" w:hAnsi="宋体"/>
          <w:sz w:val="24"/>
          <w:szCs w:val="24"/>
        </w:rPr>
        <w:t>(</w:t>
      </w:r>
      <w:r>
        <w:rPr>
          <w:rFonts w:hint="eastAsia" w:ascii="宋体" w:hAnsi="宋体"/>
          <w:sz w:val="24"/>
          <w:szCs w:val="24"/>
        </w:rPr>
        <w:t>拒绝服务攻击</w:t>
      </w:r>
      <w:r>
        <w:rPr>
          <w:rFonts w:ascii="宋体" w:hAnsi="宋体"/>
          <w:sz w:val="24"/>
          <w:szCs w:val="24"/>
        </w:rPr>
        <w:t>/</w:t>
      </w:r>
      <w:r>
        <w:rPr>
          <w:rFonts w:hint="eastAsia" w:ascii="宋体" w:hAnsi="宋体"/>
          <w:sz w:val="24"/>
          <w:szCs w:val="24"/>
        </w:rPr>
        <w:t>后门攻击</w:t>
      </w:r>
      <w:r>
        <w:rPr>
          <w:rFonts w:ascii="宋体" w:hAnsi="宋体"/>
          <w:sz w:val="24"/>
          <w:szCs w:val="24"/>
        </w:rPr>
        <w:t>/</w:t>
      </w:r>
      <w:r>
        <w:rPr>
          <w:rFonts w:hint="eastAsia" w:ascii="宋体" w:hAnsi="宋体"/>
          <w:sz w:val="24"/>
          <w:szCs w:val="24"/>
        </w:rPr>
        <w:t>漏洞攻击</w:t>
      </w:r>
      <w:r>
        <w:rPr>
          <w:rFonts w:ascii="宋体" w:hAnsi="宋体"/>
          <w:sz w:val="24"/>
          <w:szCs w:val="24"/>
        </w:rPr>
        <w:t>/</w:t>
      </w:r>
      <w:r>
        <w:rPr>
          <w:rFonts w:hint="eastAsia" w:ascii="宋体" w:hAnsi="宋体"/>
          <w:sz w:val="24"/>
          <w:szCs w:val="24"/>
        </w:rPr>
        <w:t>网络扫描</w:t>
      </w:r>
      <w:r>
        <w:rPr>
          <w:rFonts w:ascii="宋体" w:hAnsi="宋体"/>
          <w:sz w:val="24"/>
          <w:szCs w:val="24"/>
        </w:rPr>
        <w:t>/</w:t>
      </w:r>
      <w:r>
        <w:rPr>
          <w:rFonts w:hint="eastAsia" w:ascii="宋体" w:hAnsi="宋体"/>
          <w:sz w:val="24"/>
          <w:szCs w:val="24"/>
        </w:rPr>
        <w:t>网络钓鱼</w:t>
      </w:r>
      <w:r>
        <w:rPr>
          <w:rFonts w:ascii="宋体" w:hAnsi="宋体"/>
          <w:sz w:val="24"/>
          <w:szCs w:val="24"/>
        </w:rPr>
        <w:t>)</w:t>
      </w:r>
      <w:r>
        <w:rPr>
          <w:rFonts w:hint="eastAsia" w:ascii="宋体" w:hAnsi="宋体"/>
          <w:sz w:val="24"/>
          <w:szCs w:val="24"/>
        </w:rPr>
        <w:t>、信息破坏事件</w:t>
      </w:r>
      <w:r>
        <w:rPr>
          <w:rFonts w:ascii="宋体" w:hAnsi="宋体"/>
          <w:sz w:val="24"/>
          <w:szCs w:val="24"/>
        </w:rPr>
        <w:t>(</w:t>
      </w:r>
      <w:r>
        <w:rPr>
          <w:rFonts w:hint="eastAsia" w:ascii="宋体" w:hAnsi="宋体"/>
          <w:sz w:val="24"/>
          <w:szCs w:val="24"/>
        </w:rPr>
        <w:t>篡改</w:t>
      </w:r>
      <w:r>
        <w:rPr>
          <w:rFonts w:ascii="宋体" w:hAnsi="宋体"/>
          <w:sz w:val="24"/>
          <w:szCs w:val="24"/>
        </w:rPr>
        <w:t>/</w:t>
      </w:r>
      <w:r>
        <w:rPr>
          <w:rFonts w:hint="eastAsia" w:ascii="宋体" w:hAnsi="宋体"/>
          <w:sz w:val="24"/>
          <w:szCs w:val="24"/>
        </w:rPr>
        <w:t>假冒</w:t>
      </w:r>
      <w:r>
        <w:rPr>
          <w:rFonts w:ascii="宋体" w:hAnsi="宋体"/>
          <w:sz w:val="24"/>
          <w:szCs w:val="24"/>
        </w:rPr>
        <w:t>/</w:t>
      </w:r>
      <w:r>
        <w:rPr>
          <w:rFonts w:hint="eastAsia" w:ascii="宋体" w:hAnsi="宋体"/>
          <w:sz w:val="24"/>
          <w:szCs w:val="24"/>
        </w:rPr>
        <w:t>泄露</w:t>
      </w:r>
      <w:r>
        <w:rPr>
          <w:rFonts w:ascii="宋体" w:hAnsi="宋体"/>
          <w:sz w:val="24"/>
          <w:szCs w:val="24"/>
        </w:rPr>
        <w:t>/</w:t>
      </w:r>
      <w:r>
        <w:rPr>
          <w:rFonts w:hint="eastAsia" w:ascii="宋体" w:hAnsi="宋体"/>
          <w:sz w:val="24"/>
          <w:szCs w:val="24"/>
        </w:rPr>
        <w:t>窃取</w:t>
      </w:r>
      <w:r>
        <w:rPr>
          <w:rFonts w:ascii="宋体" w:hAnsi="宋体"/>
          <w:sz w:val="24"/>
          <w:szCs w:val="24"/>
        </w:rPr>
        <w:t>/</w:t>
      </w:r>
      <w:r>
        <w:rPr>
          <w:rFonts w:hint="eastAsia" w:ascii="宋体" w:hAnsi="宋体"/>
          <w:sz w:val="24"/>
          <w:szCs w:val="24"/>
        </w:rPr>
        <w:t>丢失</w:t>
      </w:r>
      <w:r>
        <w:rPr>
          <w:rFonts w:ascii="宋体" w:hAnsi="宋体"/>
          <w:sz w:val="24"/>
          <w:szCs w:val="24"/>
        </w:rPr>
        <w:t>)</w:t>
      </w:r>
      <w:r>
        <w:rPr>
          <w:rFonts w:hint="eastAsia" w:ascii="宋体" w:hAnsi="宋体"/>
          <w:sz w:val="24"/>
          <w:szCs w:val="24"/>
        </w:rPr>
        <w:t>等，应立即启动紧急响应服务，协助处理信息安全事件。</w:t>
      </w:r>
    </w:p>
    <w:p>
      <w:pPr>
        <w:spacing w:line="360" w:lineRule="auto"/>
        <w:ind w:firstLine="480" w:firstLineChars="200"/>
        <w:rPr>
          <w:rFonts w:ascii="宋体" w:hAnsi="宋体"/>
          <w:sz w:val="24"/>
          <w:szCs w:val="24"/>
        </w:rPr>
      </w:pPr>
      <w:r>
        <w:rPr>
          <w:rFonts w:hint="eastAsia" w:ascii="宋体" w:hAnsi="宋体"/>
          <w:sz w:val="24"/>
          <w:szCs w:val="24"/>
        </w:rPr>
        <w:t>应急响应小组人员应15分钟内响应，2小时内到达用户现场。</w:t>
      </w:r>
    </w:p>
    <w:p>
      <w:pPr>
        <w:spacing w:line="360" w:lineRule="auto"/>
        <w:ind w:firstLine="480" w:firstLineChars="200"/>
        <w:rPr>
          <w:rFonts w:hint="eastAsia" w:ascii="宋体" w:hAnsi="宋体"/>
          <w:sz w:val="24"/>
          <w:szCs w:val="24"/>
        </w:rPr>
      </w:pPr>
      <w:r>
        <w:rPr>
          <w:rFonts w:hint="eastAsia" w:ascii="宋体" w:hAnsi="宋体"/>
          <w:sz w:val="24"/>
          <w:szCs w:val="24"/>
        </w:rPr>
        <w:t>每次服务完成后2周内，服务商必须提交完整的事件分析报告，内容至少包括事件原因分析、已造成的影响。详细说明事件原因、经过和处理方式等，而且对用户以后整改的方向提供适当的解决方案；</w:t>
      </w:r>
    </w:p>
    <w:p>
      <w:pPr>
        <w:numPr>
          <w:ilvl w:val="1"/>
          <w:numId w:val="4"/>
        </w:numPr>
        <w:spacing w:before="312" w:beforeLines="100" w:after="312" w:afterLines="100" w:line="480" w:lineRule="exact"/>
        <w:ind w:left="578" w:hanging="578"/>
        <w:jc w:val="left"/>
        <w:outlineLvl w:val="1"/>
        <w:rPr>
          <w:rFonts w:ascii="等线" w:hAnsi="等线" w:cs="等线"/>
          <w:b/>
          <w:sz w:val="24"/>
          <w:szCs w:val="24"/>
        </w:rPr>
      </w:pPr>
      <w:r>
        <w:rPr>
          <w:rFonts w:hint="eastAsia" w:ascii="等线" w:hAnsi="等线" w:cs="等线"/>
          <w:b/>
          <w:sz w:val="24"/>
          <w:szCs w:val="24"/>
        </w:rPr>
        <w:t>安全巡检服务</w:t>
      </w:r>
    </w:p>
    <w:p>
      <w:pPr>
        <w:spacing w:line="360" w:lineRule="auto"/>
        <w:ind w:left="1" w:firstLine="480" w:firstLineChars="200"/>
        <w:rPr>
          <w:rFonts w:hint="eastAsia" w:ascii="宋体" w:hAnsi="宋体"/>
          <w:sz w:val="24"/>
          <w:szCs w:val="24"/>
        </w:rPr>
      </w:pPr>
      <w:r>
        <w:rPr>
          <w:rFonts w:hint="eastAsia" w:ascii="宋体" w:hAnsi="宋体"/>
          <w:sz w:val="24"/>
          <w:szCs w:val="24"/>
        </w:rPr>
        <w:t>每月进行对防火墙、防病毒服务器、入侵检测系统、日志审计等安全设备状态进行检查，对记录的事件和日志分析，检查策略是否有效，配置是否安全，是否有可疑事件发生，必要时进行安全策略的调整。</w:t>
      </w:r>
    </w:p>
    <w:p>
      <w:pPr>
        <w:numPr>
          <w:ilvl w:val="1"/>
          <w:numId w:val="4"/>
        </w:numPr>
        <w:spacing w:before="312" w:beforeLines="100" w:after="312" w:afterLines="100" w:line="480" w:lineRule="exact"/>
        <w:ind w:left="578" w:hanging="578"/>
        <w:jc w:val="left"/>
        <w:outlineLvl w:val="1"/>
        <w:rPr>
          <w:rFonts w:ascii="等线" w:hAnsi="等线" w:cs="等线"/>
          <w:b/>
          <w:sz w:val="24"/>
          <w:szCs w:val="24"/>
        </w:rPr>
      </w:pPr>
      <w:r>
        <w:rPr>
          <w:rFonts w:hint="eastAsia" w:ascii="等线" w:hAnsi="等线" w:cs="等线"/>
          <w:b/>
          <w:sz w:val="24"/>
          <w:szCs w:val="24"/>
        </w:rPr>
        <w:t>安全基线核查服务</w:t>
      </w:r>
    </w:p>
    <w:p>
      <w:pPr>
        <w:spacing w:line="360" w:lineRule="auto"/>
        <w:ind w:left="1" w:firstLine="480" w:firstLineChars="200"/>
        <w:rPr>
          <w:rFonts w:ascii="宋体" w:hAnsi="宋体"/>
          <w:sz w:val="24"/>
          <w:szCs w:val="24"/>
        </w:rPr>
      </w:pPr>
      <w:r>
        <w:rPr>
          <w:rFonts w:hint="eastAsia" w:ascii="宋体" w:hAnsi="宋体"/>
          <w:sz w:val="24"/>
          <w:szCs w:val="24"/>
        </w:rPr>
        <w:t>每月进行一次安全基线核查，若当期安全形势危急，或上级有安全要求可进行多次。</w:t>
      </w:r>
    </w:p>
    <w:p>
      <w:pPr>
        <w:spacing w:line="360" w:lineRule="auto"/>
        <w:ind w:left="1" w:firstLine="480" w:firstLineChars="200"/>
        <w:rPr>
          <w:rFonts w:ascii="宋体" w:hAnsi="宋体"/>
          <w:sz w:val="24"/>
          <w:szCs w:val="24"/>
        </w:rPr>
      </w:pPr>
      <w:r>
        <w:rPr>
          <w:rFonts w:hint="eastAsia" w:ascii="宋体" w:hAnsi="宋体"/>
          <w:sz w:val="24"/>
          <w:szCs w:val="24"/>
        </w:rPr>
        <w:t>通过工具扫描及安全服务工程师对客户信息系统进行安全基线检查，及时发现信息系统存在的各种安全隐患，如：网络设备、安全设备、服务器主机、操作系统、数据库和用户账号、口令等配置问题，以及系统运行状态，提出系统加固建议以及相关的应急措施。</w:t>
      </w:r>
    </w:p>
    <w:p>
      <w:pPr>
        <w:spacing w:line="360" w:lineRule="auto"/>
        <w:ind w:left="1" w:firstLine="480" w:firstLineChars="200"/>
        <w:rPr>
          <w:rFonts w:ascii="宋体" w:hAnsi="宋体"/>
          <w:sz w:val="24"/>
          <w:szCs w:val="24"/>
        </w:rPr>
      </w:pPr>
      <w:r>
        <w:rPr>
          <w:rFonts w:hint="eastAsia" w:ascii="宋体" w:hAnsi="宋体"/>
          <w:sz w:val="24"/>
          <w:szCs w:val="24"/>
        </w:rPr>
        <w:t>基线核查内容包括但不限于以下内容：</w:t>
      </w:r>
    </w:p>
    <w:p>
      <w:pPr>
        <w:spacing w:line="360" w:lineRule="auto"/>
        <w:ind w:left="1" w:firstLine="480" w:firstLineChars="200"/>
        <w:rPr>
          <w:rFonts w:hint="eastAsia" w:ascii="宋体" w:hAnsi="宋体"/>
          <w:sz w:val="24"/>
          <w:szCs w:val="24"/>
        </w:rPr>
      </w:pPr>
      <w:r>
        <w:rPr>
          <w:rFonts w:hint="eastAsia" w:ascii="宋体" w:hAnsi="宋体"/>
          <w:sz w:val="24"/>
          <w:szCs w:val="24"/>
        </w:rPr>
        <w:t>（1）操作系统安全检查</w:t>
      </w:r>
    </w:p>
    <w:p>
      <w:pPr>
        <w:spacing w:line="360" w:lineRule="auto"/>
        <w:ind w:left="1" w:firstLine="480" w:firstLineChars="200"/>
        <w:rPr>
          <w:rFonts w:hint="eastAsia" w:ascii="宋体" w:hAnsi="宋体"/>
          <w:sz w:val="24"/>
          <w:szCs w:val="24"/>
        </w:rPr>
      </w:pPr>
      <w:r>
        <w:rPr>
          <w:rFonts w:hint="eastAsia" w:ascii="宋体" w:hAnsi="宋体"/>
          <w:sz w:val="24"/>
          <w:szCs w:val="24"/>
        </w:rPr>
        <w:t>业务系统涉及到的操作系统，如Windows、Linux等进行安全配置缺陷的检查与评估。核查内容包括（但不限于）：身份鉴别方式、帐号安全设置、多余帐号和空口令检查、默认共享检查、文件系统、系统访问控制、日志及监控审计等安全情况。</w:t>
      </w:r>
    </w:p>
    <w:p>
      <w:pPr>
        <w:spacing w:line="360" w:lineRule="auto"/>
        <w:ind w:left="1" w:firstLine="480" w:firstLineChars="200"/>
        <w:rPr>
          <w:rFonts w:hint="eastAsia" w:ascii="宋体" w:hAnsi="宋体"/>
          <w:sz w:val="24"/>
          <w:szCs w:val="24"/>
        </w:rPr>
      </w:pPr>
      <w:r>
        <w:rPr>
          <w:rFonts w:hint="eastAsia" w:ascii="宋体" w:hAnsi="宋体"/>
          <w:sz w:val="24"/>
          <w:szCs w:val="24"/>
        </w:rPr>
        <w:t>（2）网络、安全设备配置检查</w:t>
      </w:r>
    </w:p>
    <w:p>
      <w:pPr>
        <w:spacing w:line="360" w:lineRule="auto"/>
        <w:ind w:left="1" w:firstLine="480" w:firstLineChars="200"/>
        <w:rPr>
          <w:rFonts w:hint="eastAsia" w:ascii="宋体" w:hAnsi="宋体"/>
          <w:sz w:val="24"/>
          <w:szCs w:val="24"/>
        </w:rPr>
      </w:pPr>
      <w:r>
        <w:rPr>
          <w:rFonts w:hint="eastAsia" w:ascii="宋体" w:hAnsi="宋体"/>
          <w:sz w:val="24"/>
          <w:szCs w:val="24"/>
        </w:rPr>
        <w:t>对用户信息系统涉及到的网络安全设备，如防火墙、入侵检测系统、路由器、交换机等进行安全配置缺陷的检查与评估。核查内容包括（但不限于）：帐号安全设置、管理权限和角色设置、多余帐号和缺省口令检查、备份和升级情况、访问控制、日志审核、远程访问等安全情况。</w:t>
      </w:r>
    </w:p>
    <w:p>
      <w:pPr>
        <w:spacing w:line="360" w:lineRule="auto"/>
        <w:ind w:left="1" w:firstLine="480" w:firstLineChars="200"/>
        <w:rPr>
          <w:rFonts w:ascii="宋体" w:hAnsi="宋体"/>
          <w:sz w:val="24"/>
          <w:szCs w:val="24"/>
        </w:rPr>
      </w:pPr>
      <w:r>
        <w:rPr>
          <w:rFonts w:hint="eastAsia" w:ascii="宋体" w:hAnsi="宋体"/>
          <w:sz w:val="24"/>
          <w:szCs w:val="24"/>
        </w:rPr>
        <w:t>每次检查完成后2周之内，服务商必须提交完整的基线检查报告，详细说明用户有可能存在的安全风险，含整改的手段及方案。</w:t>
      </w:r>
    </w:p>
    <w:p>
      <w:pPr>
        <w:numPr>
          <w:ilvl w:val="1"/>
          <w:numId w:val="4"/>
        </w:numPr>
        <w:spacing w:before="312" w:beforeLines="100" w:after="312" w:afterLines="100" w:line="480" w:lineRule="exact"/>
        <w:ind w:left="578" w:hanging="578"/>
        <w:jc w:val="left"/>
        <w:outlineLvl w:val="1"/>
        <w:rPr>
          <w:rFonts w:ascii="等线" w:hAnsi="等线" w:cs="等线"/>
          <w:b/>
          <w:sz w:val="24"/>
          <w:szCs w:val="24"/>
        </w:rPr>
      </w:pPr>
      <w:r>
        <w:rPr>
          <w:rFonts w:hint="eastAsia" w:ascii="等线" w:hAnsi="等线" w:cs="等线"/>
          <w:b/>
          <w:sz w:val="24"/>
          <w:szCs w:val="24"/>
          <w:lang w:val="en-US" w:eastAsia="zh-CN"/>
        </w:rPr>
        <w:t>安全</w:t>
      </w:r>
      <w:r>
        <w:rPr>
          <w:rFonts w:hint="eastAsia" w:ascii="等线" w:hAnsi="等线" w:cs="等线"/>
          <w:b/>
          <w:sz w:val="24"/>
          <w:szCs w:val="24"/>
        </w:rPr>
        <w:t>漏洞扫描服务</w:t>
      </w:r>
    </w:p>
    <w:p>
      <w:pPr>
        <w:spacing w:line="360" w:lineRule="auto"/>
        <w:ind w:left="1" w:firstLine="482" w:firstLineChars="200"/>
        <w:rPr>
          <w:rFonts w:ascii="宋体" w:hAnsi="宋体"/>
          <w:sz w:val="24"/>
          <w:szCs w:val="24"/>
        </w:rPr>
      </w:pPr>
      <w:r>
        <w:rPr>
          <w:rFonts w:hint="eastAsia" w:ascii="宋体" w:hAnsi="宋体"/>
          <w:b/>
          <w:sz w:val="24"/>
          <w:szCs w:val="24"/>
        </w:rPr>
        <w:t>利用专业工具进行安全漏洞扫描，</w:t>
      </w:r>
      <w:r>
        <w:rPr>
          <w:rFonts w:hint="eastAsia" w:ascii="宋体" w:hAnsi="宋体"/>
          <w:sz w:val="24"/>
          <w:szCs w:val="24"/>
        </w:rPr>
        <w:t>每月至少一次，若当期安全形势危急，可进行多次；安全漏洞扫描围绕该系统的操作系统和应用系统是否存在后门或漏洞为目的；</w:t>
      </w:r>
    </w:p>
    <w:p>
      <w:pPr>
        <w:spacing w:line="360" w:lineRule="auto"/>
        <w:ind w:left="1" w:firstLine="480" w:firstLineChars="200"/>
        <w:rPr>
          <w:rFonts w:ascii="宋体" w:hAnsi="宋体"/>
          <w:sz w:val="24"/>
          <w:szCs w:val="24"/>
        </w:rPr>
      </w:pPr>
      <w:r>
        <w:rPr>
          <w:rFonts w:hint="eastAsia" w:ascii="宋体" w:hAnsi="宋体"/>
          <w:sz w:val="24"/>
          <w:szCs w:val="24"/>
        </w:rPr>
        <w:t>安全漏洞扫描实现的方式应包括但不限于以下方式：工具测试；</w:t>
      </w:r>
    </w:p>
    <w:p>
      <w:pPr>
        <w:spacing w:line="360" w:lineRule="auto"/>
        <w:ind w:left="1" w:firstLine="480" w:firstLineChars="200"/>
        <w:rPr>
          <w:rFonts w:hint="eastAsia" w:ascii="宋体" w:hAnsi="宋体"/>
          <w:sz w:val="24"/>
          <w:szCs w:val="24"/>
        </w:rPr>
      </w:pPr>
      <w:r>
        <w:rPr>
          <w:rFonts w:hint="eastAsia" w:ascii="宋体" w:hAnsi="宋体"/>
          <w:sz w:val="24"/>
          <w:szCs w:val="24"/>
        </w:rPr>
        <w:t>每次安全漏洞扫描完成后2周之内，服务商必须提交完整的漏洞扫描分析报告，详细说明用户有可能存在的安全风险，含整改的手段及方案。</w:t>
      </w:r>
    </w:p>
    <w:p>
      <w:pPr>
        <w:spacing w:line="360" w:lineRule="auto"/>
        <w:ind w:left="1" w:firstLine="480" w:firstLineChars="200"/>
        <w:rPr>
          <w:rFonts w:hint="eastAsia" w:ascii="宋体" w:hAnsi="宋体"/>
          <w:sz w:val="24"/>
          <w:szCs w:val="24"/>
        </w:rPr>
      </w:pPr>
    </w:p>
    <w:p>
      <w:pPr>
        <w:numPr>
          <w:ilvl w:val="1"/>
          <w:numId w:val="4"/>
        </w:numPr>
        <w:spacing w:before="312" w:beforeLines="100" w:after="312" w:afterLines="100" w:line="480" w:lineRule="exact"/>
        <w:ind w:left="578" w:hanging="578"/>
        <w:jc w:val="left"/>
        <w:outlineLvl w:val="1"/>
        <w:rPr>
          <w:rFonts w:ascii="等线" w:hAnsi="等线" w:cs="等线"/>
          <w:b/>
          <w:sz w:val="24"/>
          <w:szCs w:val="24"/>
        </w:rPr>
      </w:pPr>
      <w:r>
        <w:rPr>
          <w:rFonts w:ascii="等线" w:hAnsi="等线" w:cs="等线"/>
          <w:b/>
          <w:sz w:val="24"/>
          <w:szCs w:val="24"/>
        </w:rPr>
        <w:t>系统安全性</w:t>
      </w:r>
      <w:r>
        <w:rPr>
          <w:rFonts w:hint="eastAsia" w:ascii="等线" w:hAnsi="等线" w:cs="等线"/>
          <w:b/>
          <w:sz w:val="24"/>
          <w:szCs w:val="24"/>
        </w:rPr>
        <w:t>评估服务</w:t>
      </w:r>
    </w:p>
    <w:p>
      <w:pPr>
        <w:spacing w:line="360" w:lineRule="auto"/>
        <w:ind w:left="1" w:firstLine="480" w:firstLineChars="200"/>
        <w:rPr>
          <w:rFonts w:hint="eastAsia" w:ascii="宋体" w:hAnsi="宋体"/>
          <w:sz w:val="24"/>
          <w:szCs w:val="24"/>
        </w:rPr>
      </w:pPr>
      <w:r>
        <w:rPr>
          <w:rFonts w:hint="eastAsia" w:ascii="宋体" w:hAnsi="宋体"/>
          <w:sz w:val="24"/>
          <w:szCs w:val="24"/>
        </w:rPr>
        <w:t>按要求对院方指定的系统进行系统安全性评估服务，并出具详细的评估报告及整体建议，整改后需进行二次评估来验证，直至程序漏洞修复完成为止。服务商应从用户的外部及内部，形式手段不限地以多种方式尝试测试该系统的操作系统和应用，找出系统存在的后门或漏洞、页面漏洞、后台管理账号、用户弱密码等一切安全风险；</w:t>
      </w:r>
    </w:p>
    <w:p>
      <w:pPr>
        <w:spacing w:line="360" w:lineRule="auto"/>
        <w:ind w:left="1" w:firstLine="480" w:firstLineChars="200"/>
        <w:rPr>
          <w:rFonts w:hint="eastAsia" w:ascii="宋体" w:hAnsi="宋体"/>
          <w:sz w:val="24"/>
          <w:szCs w:val="24"/>
        </w:rPr>
      </w:pPr>
      <w:r>
        <w:rPr>
          <w:rFonts w:hint="eastAsia" w:ascii="宋体" w:hAnsi="宋体"/>
          <w:sz w:val="24"/>
          <w:szCs w:val="24"/>
        </w:rPr>
        <w:t>每次开展系统性安全性评估前，服务商必须提交系统安全性评估方案，详细说明系统安全性评估工作的范围和采取的方式，待用户同意后方能实施；</w:t>
      </w:r>
    </w:p>
    <w:p>
      <w:pPr>
        <w:spacing w:line="360" w:lineRule="auto"/>
        <w:ind w:left="1" w:firstLine="480" w:firstLineChars="200"/>
        <w:rPr>
          <w:rFonts w:hint="eastAsia" w:ascii="宋体" w:hAnsi="宋体"/>
          <w:sz w:val="24"/>
          <w:szCs w:val="24"/>
        </w:rPr>
      </w:pPr>
      <w:r>
        <w:rPr>
          <w:rFonts w:hint="eastAsia" w:ascii="宋体" w:hAnsi="宋体"/>
          <w:sz w:val="24"/>
          <w:szCs w:val="24"/>
        </w:rPr>
        <w:t>每次评估完成后1周之内，服务商必须提交完整的评估分析报告，详细说明用户有可能存在的安全风险，含整改的手段及方案，并尽全力恢复好测试的系统原状态；</w:t>
      </w:r>
    </w:p>
    <w:p>
      <w:pPr>
        <w:numPr>
          <w:ilvl w:val="1"/>
          <w:numId w:val="4"/>
        </w:numPr>
        <w:spacing w:before="312" w:beforeLines="100" w:after="312" w:afterLines="100" w:line="480" w:lineRule="exact"/>
        <w:ind w:left="578" w:hanging="578"/>
        <w:jc w:val="left"/>
        <w:outlineLvl w:val="1"/>
        <w:rPr>
          <w:rFonts w:ascii="等线" w:hAnsi="等线" w:cs="等线"/>
          <w:b/>
          <w:sz w:val="24"/>
          <w:szCs w:val="24"/>
        </w:rPr>
      </w:pPr>
      <w:r>
        <w:rPr>
          <w:rFonts w:hint="eastAsia" w:ascii="等线" w:hAnsi="等线" w:cs="等线"/>
          <w:b/>
          <w:sz w:val="24"/>
          <w:szCs w:val="24"/>
        </w:rPr>
        <w:t>全网病毒态势分析服务</w:t>
      </w:r>
    </w:p>
    <w:p>
      <w:pPr>
        <w:spacing w:line="360" w:lineRule="auto"/>
        <w:ind w:left="1" w:firstLine="480" w:firstLineChars="200"/>
        <w:rPr>
          <w:rFonts w:ascii="宋体" w:hAnsi="宋体"/>
          <w:sz w:val="24"/>
          <w:szCs w:val="24"/>
        </w:rPr>
      </w:pPr>
      <w:r>
        <w:rPr>
          <w:rFonts w:hint="eastAsia" w:ascii="宋体" w:hAnsi="宋体"/>
          <w:sz w:val="24"/>
          <w:szCs w:val="24"/>
        </w:rPr>
        <w:t>为达到快速、没死角的病毒防控水平，需提供全网病毒态势分析服务。通过定制化的防病毒运维服务，实现以下维度的病毒日志分析：</w:t>
      </w:r>
    </w:p>
    <w:p>
      <w:pPr>
        <w:spacing w:line="360" w:lineRule="auto"/>
        <w:ind w:left="1" w:firstLine="480" w:firstLineChars="200"/>
        <w:rPr>
          <w:rFonts w:ascii="宋体" w:hAnsi="宋体"/>
          <w:sz w:val="24"/>
          <w:szCs w:val="24"/>
        </w:rPr>
      </w:pPr>
      <w:r>
        <w:rPr>
          <w:rFonts w:hint="eastAsia" w:ascii="宋体" w:hAnsi="宋体"/>
          <w:sz w:val="24"/>
          <w:szCs w:val="24"/>
        </w:rPr>
        <w:t>（1）</w:t>
      </w:r>
      <w:r>
        <w:rPr>
          <w:rFonts w:ascii="宋体" w:hAnsi="宋体"/>
          <w:sz w:val="24"/>
          <w:szCs w:val="24"/>
        </w:rPr>
        <w:t>年度全网病毒感染趋势图；</w:t>
      </w:r>
    </w:p>
    <w:p>
      <w:pPr>
        <w:spacing w:line="360" w:lineRule="auto"/>
        <w:ind w:left="1" w:firstLine="480" w:firstLineChars="200"/>
        <w:rPr>
          <w:rFonts w:ascii="宋体" w:hAnsi="宋体"/>
          <w:sz w:val="24"/>
          <w:szCs w:val="24"/>
        </w:rPr>
      </w:pPr>
      <w:r>
        <w:rPr>
          <w:rFonts w:hint="eastAsia" w:ascii="宋体" w:hAnsi="宋体"/>
          <w:sz w:val="24"/>
          <w:szCs w:val="24"/>
        </w:rPr>
        <w:t>（2）</w:t>
      </w:r>
      <w:r>
        <w:rPr>
          <w:rFonts w:ascii="宋体" w:hAnsi="宋体"/>
          <w:sz w:val="24"/>
          <w:szCs w:val="24"/>
        </w:rPr>
        <w:t>感染病毒主机数趋势图；</w:t>
      </w:r>
    </w:p>
    <w:p>
      <w:pPr>
        <w:spacing w:line="360" w:lineRule="auto"/>
        <w:ind w:firstLine="480" w:firstLineChars="200"/>
        <w:rPr>
          <w:rFonts w:ascii="宋体" w:hAnsi="宋体"/>
          <w:sz w:val="24"/>
          <w:szCs w:val="24"/>
        </w:rPr>
      </w:pPr>
      <w:r>
        <w:rPr>
          <w:rFonts w:hint="eastAsia" w:ascii="宋体" w:hAnsi="宋体"/>
          <w:sz w:val="24"/>
          <w:szCs w:val="24"/>
        </w:rPr>
        <w:t>（3）Top</w:t>
      </w:r>
      <w:r>
        <w:rPr>
          <w:rFonts w:ascii="宋体" w:hAnsi="宋体"/>
          <w:sz w:val="24"/>
          <w:szCs w:val="24"/>
        </w:rPr>
        <w:t>10病毒、感染数；</w:t>
      </w:r>
    </w:p>
    <w:p>
      <w:pPr>
        <w:spacing w:line="360" w:lineRule="auto"/>
        <w:ind w:left="1" w:firstLine="480" w:firstLineChars="200"/>
        <w:rPr>
          <w:rFonts w:ascii="宋体" w:hAnsi="宋体"/>
          <w:sz w:val="24"/>
          <w:szCs w:val="24"/>
        </w:rPr>
      </w:pPr>
      <w:r>
        <w:rPr>
          <w:rFonts w:hint="eastAsia" w:ascii="宋体" w:hAnsi="宋体"/>
          <w:sz w:val="24"/>
          <w:szCs w:val="24"/>
        </w:rPr>
        <w:t>（4）</w:t>
      </w:r>
      <w:r>
        <w:rPr>
          <w:rFonts w:ascii="宋体" w:hAnsi="宋体"/>
          <w:sz w:val="24"/>
          <w:szCs w:val="24"/>
        </w:rPr>
        <w:t>Top10感染病毒计算机（当期、历史）；</w:t>
      </w:r>
    </w:p>
    <w:p>
      <w:pPr>
        <w:spacing w:line="360" w:lineRule="auto"/>
        <w:ind w:left="1" w:firstLine="480" w:firstLineChars="200"/>
        <w:rPr>
          <w:rFonts w:ascii="宋体" w:hAnsi="宋体"/>
          <w:sz w:val="24"/>
          <w:szCs w:val="24"/>
        </w:rPr>
      </w:pPr>
      <w:r>
        <w:rPr>
          <w:rFonts w:hint="eastAsia" w:ascii="宋体" w:hAnsi="宋体"/>
          <w:sz w:val="24"/>
          <w:szCs w:val="24"/>
        </w:rPr>
        <w:t>（5）</w:t>
      </w:r>
      <w:r>
        <w:rPr>
          <w:rFonts w:ascii="宋体" w:hAnsi="宋体"/>
          <w:sz w:val="24"/>
          <w:szCs w:val="24"/>
        </w:rPr>
        <w:t>病毒传播及感染方向分析</w:t>
      </w:r>
      <w:r>
        <w:rPr>
          <w:rFonts w:hint="eastAsia" w:ascii="宋体" w:hAnsi="宋体"/>
          <w:sz w:val="24"/>
          <w:szCs w:val="24"/>
        </w:rPr>
        <w:t>，包括</w:t>
      </w:r>
      <w:r>
        <w:rPr>
          <w:rFonts w:ascii="宋体" w:hAnsi="宋体"/>
          <w:sz w:val="24"/>
          <w:szCs w:val="24"/>
        </w:rPr>
        <w:t>本机内横向扩散病毒数、通过移动存储感染病毒数、通过互联网感染病毒数、局域网横向传播病毒数</w:t>
      </w:r>
      <w:r>
        <w:rPr>
          <w:rFonts w:hint="eastAsia" w:ascii="宋体" w:hAnsi="宋体"/>
          <w:sz w:val="24"/>
          <w:szCs w:val="24"/>
        </w:rPr>
        <w:t>等</w:t>
      </w:r>
      <w:r>
        <w:rPr>
          <w:rFonts w:ascii="宋体" w:hAnsi="宋体"/>
          <w:sz w:val="24"/>
          <w:szCs w:val="24"/>
        </w:rPr>
        <w:t>；</w:t>
      </w:r>
    </w:p>
    <w:p>
      <w:pPr>
        <w:spacing w:line="360" w:lineRule="auto"/>
        <w:ind w:left="1" w:firstLine="480" w:firstLineChars="200"/>
        <w:rPr>
          <w:rFonts w:ascii="宋体" w:hAnsi="宋体"/>
          <w:sz w:val="24"/>
          <w:szCs w:val="24"/>
        </w:rPr>
      </w:pPr>
      <w:r>
        <w:rPr>
          <w:rFonts w:hint="eastAsia" w:ascii="宋体" w:hAnsi="宋体"/>
          <w:sz w:val="24"/>
          <w:szCs w:val="24"/>
        </w:rPr>
        <w:t>（6）</w:t>
      </w:r>
      <w:r>
        <w:rPr>
          <w:rFonts w:ascii="宋体" w:hAnsi="宋体"/>
          <w:sz w:val="24"/>
          <w:szCs w:val="24"/>
        </w:rPr>
        <w:t>高危病毒全网扩散性趋势分析；</w:t>
      </w:r>
    </w:p>
    <w:p>
      <w:pPr>
        <w:spacing w:line="360" w:lineRule="auto"/>
        <w:ind w:left="1" w:firstLine="480" w:firstLineChars="200"/>
        <w:rPr>
          <w:rFonts w:ascii="宋体" w:hAnsi="宋体"/>
          <w:sz w:val="24"/>
          <w:szCs w:val="24"/>
        </w:rPr>
      </w:pPr>
      <w:r>
        <w:rPr>
          <w:rFonts w:hint="eastAsia" w:ascii="宋体" w:hAnsi="宋体"/>
          <w:sz w:val="24"/>
          <w:szCs w:val="24"/>
        </w:rPr>
        <w:t>（7）</w:t>
      </w:r>
      <w:r>
        <w:rPr>
          <w:rFonts w:ascii="宋体" w:hAnsi="宋体"/>
          <w:sz w:val="24"/>
          <w:szCs w:val="24"/>
        </w:rPr>
        <w:t>全网高危计算机感染分析，近十天内，感染病毒天数前十的计算机；</w:t>
      </w:r>
    </w:p>
    <w:p>
      <w:pPr>
        <w:numPr>
          <w:ilvl w:val="1"/>
          <w:numId w:val="4"/>
        </w:numPr>
        <w:spacing w:before="312" w:beforeLines="100" w:after="312" w:afterLines="100" w:line="480" w:lineRule="exact"/>
        <w:ind w:left="578" w:hanging="578"/>
        <w:jc w:val="left"/>
        <w:outlineLvl w:val="1"/>
        <w:rPr>
          <w:rFonts w:hint="default" w:ascii="等线" w:hAnsi="等线" w:cs="等线"/>
          <w:b/>
          <w:sz w:val="24"/>
          <w:szCs w:val="24"/>
          <w:lang w:val="en-US" w:eastAsia="zh-CN"/>
        </w:rPr>
      </w:pPr>
      <w:r>
        <w:rPr>
          <w:rFonts w:hint="eastAsia" w:ascii="等线" w:hAnsi="等线" w:cs="等线"/>
          <w:b/>
          <w:sz w:val="24"/>
          <w:szCs w:val="24"/>
          <w:lang w:val="en-US" w:eastAsia="zh-CN"/>
        </w:rPr>
        <w:t>、APP安全监测服务</w:t>
      </w:r>
    </w:p>
    <w:p>
      <w:pPr>
        <w:spacing w:line="360" w:lineRule="auto"/>
        <w:ind w:firstLine="420"/>
        <w:jc w:val="left"/>
        <w:rPr>
          <w:rFonts w:ascii="宋体" w:hAnsi="宋体"/>
          <w:sz w:val="24"/>
          <w:szCs w:val="24"/>
        </w:rPr>
      </w:pPr>
      <w:r>
        <w:rPr>
          <w:rFonts w:hint="eastAsia" w:ascii="宋体" w:hAnsi="宋体"/>
          <w:sz w:val="24"/>
          <w:szCs w:val="24"/>
        </w:rPr>
        <w:t>APP安全检测服务是帮助客户对包括android，ios平台各个版本的漏洞检测，包括对Android组件、权限管理、dex保护、数据安全(传输、存储、输出)，以及对危险调试信息等常见的漏洞风险进行检测，如Activity安全、Broadcast Receiver安全、Service安全、WebView安全、数据安全检测调试信息、输入检查 、数据传输完整性 、远程数据通讯协议等。从而发现APP应用代码编写过程中可能出现的安全漏洞、编码隐患等，减少因安全风险漏洞可能造成的应用内信息泄露、远程代码执行、本地拒绝服务等多种安全问题，保障APP应用的正常运行。</w:t>
      </w:r>
    </w:p>
    <w:p>
      <w:pPr>
        <w:spacing w:after="156" w:afterLines="50" w:line="360" w:lineRule="auto"/>
        <w:ind w:firstLine="420"/>
        <w:jc w:val="left"/>
        <w:rPr>
          <w:rFonts w:ascii="宋体" w:hAnsi="宋体"/>
          <w:sz w:val="24"/>
          <w:szCs w:val="24"/>
        </w:rPr>
      </w:pPr>
      <w:r>
        <w:rPr>
          <w:rFonts w:hint="eastAsia" w:ascii="宋体" w:hAnsi="宋体"/>
          <w:sz w:val="24"/>
          <w:szCs w:val="24"/>
        </w:rPr>
        <w:t>APP安全检测范围注入如下：</w:t>
      </w:r>
    </w:p>
    <w:tbl>
      <w:tblPr>
        <w:tblStyle w:val="3"/>
        <w:tblW w:w="4937" w:type="pct"/>
        <w:tblInd w:w="108"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746"/>
        <w:gridCol w:w="2831"/>
        <w:gridCol w:w="283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31" w:type="pct"/>
            <w:shd w:val="solid" w:color="000080" w:fill="FFFFFF"/>
            <w:noWrap w:val="0"/>
            <w:vAlign w:val="center"/>
          </w:tcPr>
          <w:p>
            <w:pPr>
              <w:jc w:val="center"/>
              <w:rPr>
                <w:b/>
                <w:bCs/>
              </w:rPr>
            </w:pPr>
            <w:r>
              <w:rPr>
                <w:rFonts w:hint="eastAsia"/>
                <w:b/>
                <w:bCs/>
              </w:rPr>
              <w:t>Android客户端</w:t>
            </w:r>
          </w:p>
        </w:tc>
        <w:tc>
          <w:tcPr>
            <w:tcW w:w="1682" w:type="pct"/>
            <w:shd w:val="solid" w:color="000080" w:fill="FFFFFF"/>
            <w:noWrap w:val="0"/>
            <w:vAlign w:val="center"/>
          </w:tcPr>
          <w:p>
            <w:pPr>
              <w:jc w:val="center"/>
              <w:rPr>
                <w:b/>
                <w:bCs/>
              </w:rPr>
            </w:pPr>
            <w:r>
              <w:rPr>
                <w:rFonts w:hint="eastAsia"/>
                <w:b/>
                <w:bCs/>
              </w:rPr>
              <w:t>IOS客户端</w:t>
            </w:r>
          </w:p>
        </w:tc>
        <w:tc>
          <w:tcPr>
            <w:tcW w:w="1686" w:type="pct"/>
            <w:shd w:val="solid" w:color="000080" w:fill="FFFFFF"/>
            <w:noWrap w:val="0"/>
            <w:vAlign w:val="center"/>
          </w:tcPr>
          <w:p>
            <w:pPr>
              <w:jc w:val="center"/>
              <w:rPr>
                <w:b/>
                <w:bCs/>
              </w:rPr>
            </w:pPr>
            <w:r>
              <w:rPr>
                <w:rFonts w:hint="eastAsia"/>
                <w:b/>
                <w:bCs/>
              </w:rPr>
              <w:t>服务端</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31" w:type="pct"/>
            <w:noWrap w:val="0"/>
            <w:vAlign w:val="center"/>
          </w:tcPr>
          <w:p>
            <w:pPr>
              <w:jc w:val="center"/>
            </w:pPr>
            <w:r>
              <w:rPr>
                <w:rFonts w:hint="eastAsia"/>
              </w:rPr>
              <w:t>客户端程序安全</w:t>
            </w:r>
          </w:p>
        </w:tc>
        <w:tc>
          <w:tcPr>
            <w:tcW w:w="1682" w:type="pct"/>
            <w:noWrap w:val="0"/>
            <w:vAlign w:val="center"/>
          </w:tcPr>
          <w:p>
            <w:pPr>
              <w:jc w:val="center"/>
            </w:pPr>
            <w:r>
              <w:rPr>
                <w:rFonts w:hint="eastAsia"/>
              </w:rPr>
              <w:t>客户端程序安全</w:t>
            </w:r>
          </w:p>
        </w:tc>
        <w:tc>
          <w:tcPr>
            <w:tcW w:w="1686" w:type="pct"/>
            <w:noWrap w:val="0"/>
            <w:vAlign w:val="center"/>
          </w:tcPr>
          <w:p>
            <w:pPr>
              <w:jc w:val="center"/>
            </w:pPr>
            <w:r>
              <w:t>W</w:t>
            </w:r>
            <w:r>
              <w:rPr>
                <w:rFonts w:hint="eastAsia"/>
              </w:rPr>
              <w:t>eb安全</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31" w:type="pct"/>
            <w:noWrap w:val="0"/>
            <w:vAlign w:val="center"/>
          </w:tcPr>
          <w:p>
            <w:pPr>
              <w:jc w:val="center"/>
            </w:pPr>
            <w:r>
              <w:rPr>
                <w:rFonts w:hint="eastAsia"/>
              </w:rPr>
              <w:t>敏感信息安全</w:t>
            </w:r>
          </w:p>
        </w:tc>
        <w:tc>
          <w:tcPr>
            <w:tcW w:w="1682" w:type="pct"/>
            <w:noWrap w:val="0"/>
            <w:vAlign w:val="center"/>
          </w:tcPr>
          <w:p>
            <w:pPr>
              <w:jc w:val="center"/>
            </w:pPr>
            <w:r>
              <w:rPr>
                <w:rFonts w:hint="eastAsia"/>
              </w:rPr>
              <w:t>敏感信息安全</w:t>
            </w:r>
          </w:p>
        </w:tc>
        <w:tc>
          <w:tcPr>
            <w:tcW w:w="1686" w:type="pct"/>
            <w:noWrap w:val="0"/>
            <w:vAlign w:val="center"/>
          </w:tcPr>
          <w:p>
            <w:pPr>
              <w:jc w:val="center"/>
            </w:pPr>
            <w:r>
              <w:rPr>
                <w:rFonts w:hint="eastAsia"/>
              </w:rPr>
              <w:t>业务逻辑安全</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31" w:type="pct"/>
            <w:noWrap w:val="0"/>
            <w:vAlign w:val="center"/>
          </w:tcPr>
          <w:p>
            <w:pPr>
              <w:jc w:val="center"/>
            </w:pPr>
            <w:r>
              <w:rPr>
                <w:rFonts w:hint="eastAsia"/>
              </w:rPr>
              <w:t>网络通信安全</w:t>
            </w:r>
          </w:p>
        </w:tc>
        <w:tc>
          <w:tcPr>
            <w:tcW w:w="1682" w:type="pct"/>
            <w:noWrap w:val="0"/>
            <w:vAlign w:val="center"/>
          </w:tcPr>
          <w:p>
            <w:pPr>
              <w:jc w:val="center"/>
            </w:pPr>
            <w:r>
              <w:rPr>
                <w:rFonts w:hint="eastAsia"/>
              </w:rPr>
              <w:t>网络通信安全</w:t>
            </w:r>
          </w:p>
        </w:tc>
        <w:tc>
          <w:tcPr>
            <w:tcW w:w="1686" w:type="pct"/>
            <w:noWrap w:val="0"/>
            <w:vAlign w:val="center"/>
          </w:tcPr>
          <w:p>
            <w:pPr>
              <w:jc w:val="center"/>
            </w:pPr>
            <w:r>
              <w:rPr>
                <w:rFonts w:hint="eastAsia"/>
              </w:rPr>
              <w:t>中间件安全</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31" w:type="pct"/>
            <w:noWrap w:val="0"/>
            <w:vAlign w:val="center"/>
          </w:tcPr>
          <w:p>
            <w:pPr>
              <w:jc w:val="center"/>
            </w:pPr>
            <w:r>
              <w:rPr>
                <w:rFonts w:hint="eastAsia"/>
              </w:rPr>
              <w:t>进程安全</w:t>
            </w:r>
          </w:p>
        </w:tc>
        <w:tc>
          <w:tcPr>
            <w:tcW w:w="1682" w:type="pct"/>
            <w:noWrap w:val="0"/>
            <w:vAlign w:val="center"/>
          </w:tcPr>
          <w:p>
            <w:pPr>
              <w:jc w:val="center"/>
            </w:pPr>
            <w:r>
              <w:rPr>
                <w:rFonts w:hint="eastAsia"/>
              </w:rPr>
              <w:t>进程安全</w:t>
            </w:r>
          </w:p>
        </w:tc>
        <w:tc>
          <w:tcPr>
            <w:tcW w:w="1686" w:type="pct"/>
            <w:noWrap w:val="0"/>
            <w:vAlign w:val="center"/>
          </w:tcPr>
          <w:p>
            <w:pPr>
              <w:jc w:val="center"/>
            </w:pPr>
            <w:r>
              <w:rPr>
                <w:rFonts w:hint="eastAsia"/>
              </w:rPr>
              <w:t>服务器安全</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31" w:type="pct"/>
            <w:noWrap w:val="0"/>
            <w:vAlign w:val="center"/>
          </w:tcPr>
          <w:p>
            <w:pPr>
              <w:jc w:val="center"/>
            </w:pPr>
            <w:r>
              <w:rPr>
                <w:rFonts w:hint="eastAsia"/>
              </w:rPr>
              <w:t>安全策略设置</w:t>
            </w:r>
          </w:p>
        </w:tc>
        <w:tc>
          <w:tcPr>
            <w:tcW w:w="1682" w:type="pct"/>
            <w:noWrap w:val="0"/>
            <w:vAlign w:val="center"/>
          </w:tcPr>
          <w:p>
            <w:pPr>
              <w:jc w:val="center"/>
            </w:pPr>
            <w:r>
              <w:rPr>
                <w:rFonts w:hint="eastAsia"/>
              </w:rPr>
              <w:t>安全策略设置</w:t>
            </w:r>
          </w:p>
        </w:tc>
        <w:tc>
          <w:tcPr>
            <w:tcW w:w="1686" w:type="pct"/>
            <w:noWrap w:val="0"/>
            <w:vAlign w:val="center"/>
          </w:tcPr>
          <w:p>
            <w:pPr>
              <w:jc w:val="center"/>
            </w:pPr>
            <w:r>
              <w:rPr>
                <w:rFonts w:hint="eastAsia"/>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31" w:type="pct"/>
            <w:noWrap w:val="0"/>
            <w:vAlign w:val="center"/>
          </w:tcPr>
          <w:p>
            <w:pPr>
              <w:jc w:val="center"/>
            </w:pPr>
            <w:r>
              <w:rPr>
                <w:rFonts w:hint="eastAsia"/>
              </w:rPr>
              <w:t>组件安全</w:t>
            </w:r>
          </w:p>
        </w:tc>
        <w:tc>
          <w:tcPr>
            <w:tcW w:w="1682" w:type="pct"/>
            <w:noWrap w:val="0"/>
            <w:vAlign w:val="center"/>
          </w:tcPr>
          <w:p>
            <w:pPr>
              <w:jc w:val="center"/>
            </w:pPr>
            <w:r>
              <w:rPr>
                <w:rFonts w:hint="eastAsia"/>
              </w:rPr>
              <w:t>-</w:t>
            </w:r>
          </w:p>
        </w:tc>
        <w:tc>
          <w:tcPr>
            <w:tcW w:w="1686" w:type="pct"/>
            <w:noWrap w:val="0"/>
            <w:vAlign w:val="center"/>
          </w:tcPr>
          <w:p>
            <w:pPr>
              <w:jc w:val="center"/>
            </w:pPr>
            <w:r>
              <w:rPr>
                <w:rFonts w:hint="eastAsia"/>
              </w:rPr>
              <w:t>-</w:t>
            </w:r>
          </w:p>
        </w:tc>
      </w:tr>
    </w:tbl>
    <w:p>
      <w:pPr>
        <w:numPr>
          <w:ilvl w:val="0"/>
          <w:numId w:val="0"/>
        </w:numPr>
        <w:spacing w:before="312" w:beforeLines="100" w:after="312" w:afterLines="100" w:line="480" w:lineRule="exact"/>
        <w:ind w:leftChars="0"/>
        <w:jc w:val="left"/>
        <w:outlineLvl w:val="1"/>
        <w:rPr>
          <w:rFonts w:hint="default" w:ascii="等线" w:hAnsi="等线" w:cs="等线"/>
          <w:b/>
          <w:sz w:val="24"/>
          <w:szCs w:val="24"/>
          <w:lang w:val="en-US" w:eastAsia="zh-CN"/>
        </w:rPr>
      </w:pPr>
    </w:p>
    <w:p>
      <w:pPr>
        <w:numPr>
          <w:ilvl w:val="1"/>
          <w:numId w:val="4"/>
        </w:numPr>
        <w:spacing w:before="312" w:beforeLines="100" w:after="312" w:afterLines="100" w:line="480" w:lineRule="exact"/>
        <w:ind w:left="578" w:hanging="578"/>
        <w:jc w:val="left"/>
        <w:outlineLvl w:val="1"/>
        <w:rPr>
          <w:rFonts w:hint="default" w:ascii="等线" w:hAnsi="等线" w:cs="等线"/>
          <w:b/>
          <w:sz w:val="24"/>
          <w:szCs w:val="24"/>
          <w:lang w:val="en-US" w:eastAsia="zh-CN"/>
        </w:rPr>
      </w:pPr>
      <w:r>
        <w:rPr>
          <w:rFonts w:hint="eastAsia" w:ascii="等线" w:hAnsi="等线" w:cs="等线"/>
          <w:b/>
          <w:sz w:val="24"/>
          <w:szCs w:val="24"/>
          <w:lang w:val="en-US" w:eastAsia="zh-CN"/>
        </w:rPr>
        <w:t>网站加固服务</w:t>
      </w:r>
    </w:p>
    <w:p>
      <w:pPr>
        <w:spacing w:line="360" w:lineRule="auto"/>
        <w:ind w:firstLine="420"/>
        <w:jc w:val="left"/>
        <w:rPr>
          <w:rFonts w:hint="default" w:ascii="等线" w:hAnsi="等线" w:cs="等线"/>
          <w:b/>
          <w:sz w:val="24"/>
          <w:szCs w:val="24"/>
          <w:lang w:val="en-US" w:eastAsia="zh-CN"/>
        </w:rPr>
      </w:pPr>
      <w:r>
        <w:rPr>
          <w:rFonts w:hint="eastAsia" w:ascii="宋体" w:hAnsi="宋体"/>
          <w:sz w:val="24"/>
          <w:szCs w:val="24"/>
        </w:rPr>
        <w:t>网站安全加固服务针对重要网站的软硬件技术架构、网站运行状态和最新的安全威胁等因素提高网站安全防护能力，该服务包括但不限于底层操作系统安全、通信安全、网站开发平台、网站日志、网站漏洞补丁和最新安全风险防护等协助加固工作。服务期内提供网站的安全加固协助服务，安全加固后，</w:t>
      </w:r>
      <w:bookmarkStart w:id="28" w:name="_GoBack"/>
      <w:bookmarkEnd w:id="28"/>
      <w:r>
        <w:rPr>
          <w:rFonts w:hint="eastAsia" w:ascii="宋体" w:hAnsi="宋体"/>
          <w:sz w:val="24"/>
          <w:szCs w:val="24"/>
        </w:rPr>
        <w:t>不影响正常业务。</w:t>
      </w:r>
    </w:p>
    <w:p>
      <w:pPr>
        <w:numPr>
          <w:ilvl w:val="1"/>
          <w:numId w:val="4"/>
        </w:numPr>
        <w:spacing w:before="312" w:beforeLines="100" w:after="312" w:afterLines="100" w:line="480" w:lineRule="exact"/>
        <w:ind w:left="578" w:hanging="578"/>
        <w:jc w:val="left"/>
        <w:outlineLvl w:val="1"/>
        <w:rPr>
          <w:rFonts w:hint="default" w:ascii="等线" w:hAnsi="等线" w:cs="等线"/>
          <w:b/>
          <w:sz w:val="24"/>
          <w:szCs w:val="24"/>
          <w:lang w:val="en-US" w:eastAsia="zh-CN"/>
        </w:rPr>
      </w:pPr>
      <w:r>
        <w:rPr>
          <w:rFonts w:hint="eastAsia" w:ascii="等线" w:hAnsi="等线" w:cs="等线"/>
          <w:b/>
          <w:sz w:val="24"/>
          <w:szCs w:val="24"/>
          <w:lang w:val="en-US" w:eastAsia="zh-CN"/>
        </w:rPr>
        <w:t>渗透性测试服务</w:t>
      </w:r>
    </w:p>
    <w:p>
      <w:pPr>
        <w:spacing w:line="360" w:lineRule="auto"/>
        <w:ind w:left="1" w:firstLine="480" w:firstLineChars="200"/>
        <w:rPr>
          <w:rFonts w:ascii="宋体" w:hAnsi="宋体"/>
          <w:sz w:val="24"/>
          <w:szCs w:val="24"/>
        </w:rPr>
      </w:pPr>
      <w:r>
        <w:rPr>
          <w:rFonts w:hint="eastAsia" w:ascii="宋体" w:hAnsi="宋体"/>
          <w:sz w:val="24"/>
          <w:szCs w:val="24"/>
        </w:rPr>
        <w:t>每月对院方指定的5个系统进行渗透测试服务，并出具详细测试报告及整改建议，整改后需进行二次测试报告来验证，直至程序漏洞修复完成为止。服务商应从用户的外部及内部，形式手段不限地以多种方式尝试渗透该系统的操作系统和应用，找出系统存在的后门或漏洞、页面漏洞、后台管理账号、用户弱密码等一切安全风险；</w:t>
      </w:r>
    </w:p>
    <w:p>
      <w:pPr>
        <w:spacing w:line="360" w:lineRule="auto"/>
        <w:ind w:left="1" w:firstLine="480" w:firstLineChars="200"/>
        <w:rPr>
          <w:rFonts w:ascii="宋体" w:hAnsi="宋体"/>
          <w:sz w:val="24"/>
          <w:szCs w:val="24"/>
        </w:rPr>
      </w:pPr>
      <w:r>
        <w:rPr>
          <w:rFonts w:hint="eastAsia" w:ascii="宋体" w:hAnsi="宋体"/>
          <w:sz w:val="24"/>
          <w:szCs w:val="24"/>
        </w:rPr>
        <w:t>渗透性测试实现的方式应包括但不限于以下方式：人工渗透、社会工程学、爬虫、工具渗透等；</w:t>
      </w:r>
    </w:p>
    <w:p>
      <w:pPr>
        <w:spacing w:line="360" w:lineRule="auto"/>
        <w:ind w:left="1" w:firstLine="480" w:firstLineChars="200"/>
        <w:rPr>
          <w:rFonts w:ascii="宋体" w:hAnsi="宋体"/>
          <w:sz w:val="24"/>
          <w:szCs w:val="24"/>
        </w:rPr>
      </w:pPr>
      <w:r>
        <w:rPr>
          <w:rFonts w:hint="eastAsia" w:ascii="宋体" w:hAnsi="宋体"/>
          <w:sz w:val="24"/>
          <w:szCs w:val="24"/>
        </w:rPr>
        <w:t>每次渗透性测试前，服务商必须提交渗透性测试方案，详细说明渗透性测试的范围和采取的方式，待用户同意后方能实施；</w:t>
      </w:r>
    </w:p>
    <w:p>
      <w:pPr>
        <w:spacing w:line="360" w:lineRule="auto"/>
        <w:ind w:left="1" w:firstLine="480" w:firstLineChars="200"/>
        <w:rPr>
          <w:rFonts w:ascii="宋体" w:hAnsi="宋体"/>
          <w:sz w:val="24"/>
          <w:szCs w:val="24"/>
        </w:rPr>
      </w:pPr>
      <w:r>
        <w:rPr>
          <w:rFonts w:hint="eastAsia" w:ascii="宋体" w:hAnsi="宋体"/>
          <w:sz w:val="24"/>
          <w:szCs w:val="24"/>
        </w:rPr>
        <w:t>每次渗透性测试完成后</w:t>
      </w:r>
      <w:r>
        <w:rPr>
          <w:rFonts w:ascii="宋体" w:hAnsi="宋体"/>
          <w:sz w:val="24"/>
          <w:szCs w:val="24"/>
        </w:rPr>
        <w:t>1</w:t>
      </w:r>
      <w:r>
        <w:rPr>
          <w:rFonts w:hint="eastAsia" w:ascii="宋体" w:hAnsi="宋体"/>
          <w:sz w:val="24"/>
          <w:szCs w:val="24"/>
        </w:rPr>
        <w:t>周之内，服务商必须提交完整的渗透性测试分析报告，详细说明用户有可能存在的安全风险，含整改的手段及方案，并尽全力恢复好测试的系统原状态；</w:t>
      </w:r>
    </w:p>
    <w:p>
      <w:pPr>
        <w:numPr>
          <w:ilvl w:val="1"/>
          <w:numId w:val="4"/>
        </w:numPr>
        <w:spacing w:line="480" w:lineRule="exact"/>
        <w:jc w:val="left"/>
        <w:outlineLvl w:val="1"/>
        <w:rPr>
          <w:rFonts w:ascii="等线" w:hAnsi="等线" w:cs="等线"/>
          <w:b/>
          <w:sz w:val="24"/>
          <w:szCs w:val="24"/>
        </w:rPr>
      </w:pPr>
      <w:r>
        <w:rPr>
          <w:rFonts w:hint="eastAsia" w:ascii="等线" w:hAnsi="等线" w:cs="等线"/>
          <w:b/>
          <w:sz w:val="24"/>
          <w:szCs w:val="24"/>
        </w:rPr>
        <w:t>安全通告</w:t>
      </w:r>
    </w:p>
    <w:p>
      <w:pPr>
        <w:spacing w:line="360" w:lineRule="auto"/>
        <w:ind w:left="1" w:firstLine="480" w:firstLineChars="200"/>
        <w:rPr>
          <w:rFonts w:hint="default" w:ascii="等线" w:hAnsi="等线" w:cs="等线"/>
          <w:b/>
          <w:sz w:val="24"/>
          <w:szCs w:val="24"/>
          <w:lang w:val="en-US" w:eastAsia="zh-CN"/>
        </w:rPr>
      </w:pPr>
      <w:r>
        <w:rPr>
          <w:rFonts w:hint="eastAsia" w:ascii="宋体" w:hAnsi="宋体"/>
          <w:sz w:val="24"/>
          <w:szCs w:val="24"/>
        </w:rPr>
        <w:t>服务商以邮件、</w:t>
      </w:r>
      <w:r>
        <w:rPr>
          <w:rFonts w:hint="eastAsia" w:ascii="宋体" w:hAnsi="宋体"/>
          <w:sz w:val="24"/>
          <w:szCs w:val="24"/>
          <w:lang w:val="en-US" w:eastAsia="zh-CN"/>
        </w:rPr>
        <w:t>微信、</w:t>
      </w:r>
      <w:r>
        <w:rPr>
          <w:rFonts w:hint="eastAsia" w:ascii="宋体" w:hAnsi="宋体"/>
          <w:sz w:val="24"/>
          <w:szCs w:val="24"/>
        </w:rPr>
        <w:t>电话、走访用户、培训等方式，将安全技术和安全信息及时传递给用户，使用户能保持对信息安全最新动态的认识，提前预知风险，安全预警和通告的内容包括但不限于以下几个方面：紧急安全事件通告、业界最新动态、国际、国内行业安全政策及法律法规。</w:t>
      </w:r>
    </w:p>
    <w:p>
      <w:pPr>
        <w:numPr>
          <w:ilvl w:val="1"/>
          <w:numId w:val="4"/>
        </w:numPr>
        <w:spacing w:before="312" w:beforeLines="100" w:after="312" w:afterLines="100" w:line="480" w:lineRule="exact"/>
        <w:ind w:left="578" w:hanging="578"/>
        <w:jc w:val="left"/>
        <w:outlineLvl w:val="1"/>
        <w:rPr>
          <w:rFonts w:ascii="等线" w:hAnsi="等线" w:cs="等线"/>
          <w:b/>
          <w:sz w:val="24"/>
          <w:szCs w:val="24"/>
        </w:rPr>
      </w:pPr>
      <w:r>
        <w:rPr>
          <w:rFonts w:hint="eastAsia" w:ascii="等线" w:hAnsi="等线" w:cs="等线"/>
          <w:b/>
          <w:sz w:val="24"/>
          <w:szCs w:val="24"/>
        </w:rPr>
        <w:t>安全迎检服务</w:t>
      </w:r>
    </w:p>
    <w:p>
      <w:pPr>
        <w:spacing w:line="360" w:lineRule="auto"/>
        <w:ind w:left="142" w:firstLine="480"/>
        <w:rPr>
          <w:rFonts w:ascii="宋体" w:hAnsi="宋体"/>
          <w:sz w:val="24"/>
        </w:rPr>
      </w:pPr>
      <w:r>
        <w:rPr>
          <w:rFonts w:hint="eastAsia" w:ascii="宋体" w:hAnsi="宋体"/>
          <w:sz w:val="24"/>
        </w:rPr>
        <w:t>服务商需配合我方迎接上级部门或其他相关单位网络安全检查。</w:t>
      </w:r>
    </w:p>
    <w:p>
      <w:pPr>
        <w:spacing w:line="360" w:lineRule="auto"/>
        <w:ind w:left="142" w:firstLine="480"/>
        <w:rPr>
          <w:rFonts w:ascii="宋体" w:hAnsi="宋体"/>
          <w:sz w:val="24"/>
          <w:szCs w:val="24"/>
        </w:rPr>
      </w:pPr>
      <w:r>
        <w:rPr>
          <w:rFonts w:hint="eastAsia" w:ascii="宋体" w:hAnsi="宋体"/>
          <w:sz w:val="24"/>
          <w:szCs w:val="24"/>
        </w:rPr>
        <w:t>配合做好上级部门不定期的安全检查配合工作。做好信息自查和准备工作，满足对信息安全要求各类指标。包括各种检查内容的实际情况调查、完成相关检查表格准备并及时进行整理。提供安全检查所需资料和文档，并按照检查结果进行后续整改工作，确保圆满完成安全检查和达标考核。</w:t>
      </w:r>
    </w:p>
    <w:p>
      <w:pPr>
        <w:spacing w:line="360" w:lineRule="auto"/>
        <w:ind w:left="142" w:firstLine="480"/>
        <w:rPr>
          <w:rFonts w:hint="eastAsia" w:ascii="宋体" w:hAnsi="宋体"/>
          <w:sz w:val="24"/>
        </w:rPr>
      </w:pPr>
      <w:r>
        <w:rPr>
          <w:rFonts w:hint="eastAsia" w:ascii="宋体" w:hAnsi="宋体"/>
          <w:sz w:val="24"/>
        </w:rPr>
        <w:t>检查时期需派1名工程师到达现场进行协助。</w:t>
      </w:r>
    </w:p>
    <w:p>
      <w:pPr>
        <w:numPr>
          <w:ilvl w:val="1"/>
          <w:numId w:val="4"/>
        </w:numPr>
        <w:spacing w:before="312" w:beforeLines="100" w:after="312" w:afterLines="100" w:line="480" w:lineRule="exact"/>
        <w:ind w:left="578" w:hanging="578"/>
        <w:jc w:val="left"/>
        <w:outlineLvl w:val="1"/>
        <w:rPr>
          <w:rFonts w:hint="eastAsia" w:ascii="等线" w:hAnsi="等线" w:cs="等线"/>
          <w:b/>
          <w:sz w:val="24"/>
          <w:szCs w:val="24"/>
        </w:rPr>
      </w:pPr>
      <w:r>
        <w:rPr>
          <w:rFonts w:hint="eastAsia" w:ascii="等线" w:hAnsi="等线" w:cs="等线"/>
          <w:b/>
          <w:sz w:val="24"/>
          <w:szCs w:val="24"/>
        </w:rPr>
        <w:t>安全加固服务</w:t>
      </w:r>
    </w:p>
    <w:p>
      <w:pPr>
        <w:spacing w:line="360" w:lineRule="auto"/>
        <w:ind w:firstLine="420"/>
        <w:jc w:val="left"/>
        <w:rPr>
          <w:rFonts w:hint="eastAsia" w:ascii="宋体" w:hAnsi="宋体"/>
          <w:sz w:val="24"/>
          <w:szCs w:val="24"/>
        </w:rPr>
      </w:pPr>
      <w:r>
        <w:rPr>
          <w:rFonts w:hint="eastAsia" w:ascii="宋体" w:hAnsi="宋体"/>
          <w:sz w:val="24"/>
          <w:szCs w:val="24"/>
        </w:rPr>
        <w:t>安全加固服务指针对信息系统、网络设备、应用程序及网站的安全增强服务，旨在通过技术手段和管理优化，主动识别和修复潜在漏洞、降低安全风险，从而提升系统的整体防御能力，抵御外部攻击或内部威胁。服务期内需根据用户方实际需求开展安全加固协助服务。安全加固后，须不影响正常业务。</w:t>
      </w:r>
    </w:p>
    <w:p>
      <w:pPr>
        <w:numPr>
          <w:ilvl w:val="1"/>
          <w:numId w:val="4"/>
        </w:numPr>
        <w:spacing w:before="312" w:beforeLines="100" w:after="312" w:afterLines="100" w:line="480" w:lineRule="exact"/>
        <w:ind w:left="578" w:hanging="578"/>
        <w:jc w:val="left"/>
        <w:outlineLvl w:val="1"/>
        <w:rPr>
          <w:rFonts w:ascii="等线" w:hAnsi="等线" w:cs="等线"/>
          <w:b/>
          <w:sz w:val="24"/>
          <w:szCs w:val="24"/>
        </w:rPr>
      </w:pPr>
      <w:r>
        <w:rPr>
          <w:rFonts w:hint="eastAsia" w:ascii="等线" w:hAnsi="等线" w:cs="等线"/>
          <w:b/>
          <w:sz w:val="24"/>
          <w:szCs w:val="24"/>
        </w:rPr>
        <w:t>安全教育与培训服务</w:t>
      </w:r>
    </w:p>
    <w:p>
      <w:pPr>
        <w:spacing w:line="360" w:lineRule="auto"/>
        <w:ind w:left="1" w:firstLine="480" w:firstLineChars="200"/>
        <w:rPr>
          <w:rFonts w:hint="eastAsia" w:ascii="宋体" w:hAnsi="宋体"/>
          <w:sz w:val="24"/>
          <w:szCs w:val="24"/>
        </w:rPr>
      </w:pPr>
      <w:r>
        <w:rPr>
          <w:rFonts w:hint="eastAsia" w:ascii="宋体" w:hAnsi="宋体"/>
          <w:sz w:val="24"/>
          <w:szCs w:val="24"/>
        </w:rPr>
        <w:t>一年</w:t>
      </w:r>
      <w:r>
        <w:rPr>
          <w:rFonts w:hint="eastAsia" w:ascii="宋体" w:hAnsi="宋体"/>
          <w:sz w:val="24"/>
          <w:szCs w:val="24"/>
          <w:lang w:val="en-US" w:eastAsia="zh-CN"/>
        </w:rPr>
        <w:t>四</w:t>
      </w:r>
      <w:r>
        <w:rPr>
          <w:rFonts w:hint="eastAsia" w:ascii="宋体" w:hAnsi="宋体"/>
          <w:sz w:val="24"/>
          <w:szCs w:val="24"/>
        </w:rPr>
        <w:t>次，</w:t>
      </w:r>
      <w:bookmarkStart w:id="1" w:name="_Toc110006883"/>
      <w:bookmarkStart w:id="2" w:name="_Toc99424537"/>
      <w:bookmarkStart w:id="3" w:name="_Toc299628778"/>
      <w:bookmarkStart w:id="4" w:name="_Toc485045222"/>
      <w:r>
        <w:rPr>
          <w:rFonts w:hint="eastAsia" w:ascii="宋体" w:hAnsi="宋体"/>
          <w:sz w:val="24"/>
          <w:szCs w:val="24"/>
        </w:rPr>
        <w:t>需由我院推荐具有相关资质的培训讲师，面向全院人员进行培训。</w:t>
      </w:r>
    </w:p>
    <w:p>
      <w:pPr>
        <w:spacing w:line="360" w:lineRule="auto"/>
        <w:ind w:left="1" w:firstLine="480" w:firstLineChars="200"/>
        <w:rPr>
          <w:rFonts w:ascii="宋体" w:hAnsi="宋体"/>
          <w:sz w:val="24"/>
          <w:szCs w:val="24"/>
        </w:rPr>
      </w:pPr>
      <w:r>
        <w:rPr>
          <w:rFonts w:hint="eastAsia" w:ascii="宋体" w:hAnsi="宋体"/>
          <w:sz w:val="24"/>
          <w:szCs w:val="24"/>
        </w:rPr>
        <w:t>信息安全培训的</w:t>
      </w:r>
      <w:bookmarkEnd w:id="1"/>
      <w:bookmarkEnd w:id="2"/>
      <w:r>
        <w:rPr>
          <w:rFonts w:hint="eastAsia" w:ascii="宋体" w:hAnsi="宋体"/>
          <w:sz w:val="24"/>
          <w:szCs w:val="24"/>
        </w:rPr>
        <w:t>对象</w:t>
      </w:r>
      <w:bookmarkEnd w:id="3"/>
      <w:bookmarkEnd w:id="4"/>
      <w:r>
        <w:rPr>
          <w:rFonts w:hint="eastAsia" w:ascii="宋体" w:hAnsi="宋体"/>
          <w:sz w:val="24"/>
          <w:szCs w:val="24"/>
        </w:rPr>
        <w:t>:管理层、</w:t>
      </w:r>
      <w:bookmarkStart w:id="5" w:name="_Toc110006885"/>
      <w:bookmarkStart w:id="6" w:name="_Toc99424539"/>
      <w:r>
        <w:rPr>
          <w:rFonts w:hint="eastAsia" w:ascii="宋体" w:hAnsi="宋体"/>
          <w:sz w:val="24"/>
          <w:szCs w:val="24"/>
        </w:rPr>
        <w:t>信息安全管理人员</w:t>
      </w:r>
      <w:bookmarkEnd w:id="5"/>
      <w:bookmarkEnd w:id="6"/>
      <w:r>
        <w:rPr>
          <w:rFonts w:hint="eastAsia" w:ascii="宋体" w:hAnsi="宋体"/>
          <w:sz w:val="24"/>
          <w:szCs w:val="24"/>
        </w:rPr>
        <w:t>、</w:t>
      </w:r>
      <w:bookmarkStart w:id="7" w:name="_Toc110006886"/>
      <w:bookmarkStart w:id="8" w:name="_Toc99424540"/>
      <w:r>
        <w:rPr>
          <w:rFonts w:hint="eastAsia" w:ascii="宋体" w:hAnsi="宋体"/>
          <w:sz w:val="24"/>
          <w:szCs w:val="24"/>
        </w:rPr>
        <w:t>系统管理员</w:t>
      </w:r>
      <w:bookmarkEnd w:id="7"/>
      <w:bookmarkEnd w:id="8"/>
      <w:r>
        <w:rPr>
          <w:rFonts w:hint="eastAsia" w:ascii="宋体" w:hAnsi="宋体"/>
          <w:sz w:val="24"/>
          <w:szCs w:val="24"/>
        </w:rPr>
        <w:t>、员工。</w:t>
      </w:r>
    </w:p>
    <w:p>
      <w:pPr>
        <w:spacing w:line="360" w:lineRule="auto"/>
        <w:ind w:left="1" w:firstLine="480" w:firstLineChars="200"/>
        <w:rPr>
          <w:rFonts w:ascii="宋体" w:hAnsi="宋体"/>
          <w:sz w:val="24"/>
          <w:szCs w:val="24"/>
        </w:rPr>
      </w:pPr>
      <w:bookmarkStart w:id="9" w:name="_Toc99424542"/>
      <w:bookmarkStart w:id="10" w:name="_Toc21942154"/>
      <w:bookmarkStart w:id="11" w:name="_Toc485045223"/>
      <w:bookmarkStart w:id="12" w:name="_Toc299628779"/>
      <w:bookmarkStart w:id="13" w:name="_Toc110006888"/>
      <w:r>
        <w:rPr>
          <w:rFonts w:hint="eastAsia" w:ascii="宋体" w:hAnsi="宋体"/>
          <w:sz w:val="24"/>
          <w:szCs w:val="24"/>
        </w:rPr>
        <w:t>信息安全培训的内容</w:t>
      </w:r>
      <w:bookmarkEnd w:id="9"/>
      <w:bookmarkEnd w:id="10"/>
      <w:bookmarkEnd w:id="11"/>
      <w:bookmarkEnd w:id="12"/>
      <w:bookmarkEnd w:id="13"/>
      <w:r>
        <w:rPr>
          <w:rFonts w:hint="eastAsia" w:ascii="宋体" w:hAnsi="宋体"/>
          <w:sz w:val="24"/>
          <w:szCs w:val="24"/>
        </w:rPr>
        <w:t>：</w:t>
      </w:r>
      <w:bookmarkStart w:id="14" w:name="_Toc99424543"/>
      <w:bookmarkStart w:id="15" w:name="_Toc110006889"/>
      <w:r>
        <w:rPr>
          <w:rFonts w:hint="eastAsia" w:ascii="宋体" w:hAnsi="宋体"/>
          <w:sz w:val="24"/>
          <w:szCs w:val="24"/>
        </w:rPr>
        <w:t>安全体系及安全职责分工</w:t>
      </w:r>
      <w:bookmarkEnd w:id="14"/>
      <w:bookmarkEnd w:id="15"/>
      <w:r>
        <w:rPr>
          <w:rFonts w:hint="eastAsia" w:ascii="宋体" w:hAnsi="宋体"/>
          <w:sz w:val="24"/>
          <w:szCs w:val="24"/>
        </w:rPr>
        <w:t>培训、</w:t>
      </w:r>
      <w:bookmarkStart w:id="16" w:name="_Toc99424544"/>
      <w:bookmarkStart w:id="17" w:name="_Toc110006890"/>
      <w:r>
        <w:rPr>
          <w:rFonts w:hint="eastAsia" w:ascii="宋体" w:hAnsi="宋体"/>
          <w:sz w:val="24"/>
          <w:szCs w:val="24"/>
        </w:rPr>
        <w:t>新员工入职安全培训</w:t>
      </w:r>
      <w:bookmarkEnd w:id="16"/>
      <w:bookmarkEnd w:id="17"/>
      <w:r>
        <w:rPr>
          <w:rFonts w:hint="eastAsia" w:ascii="宋体" w:hAnsi="宋体"/>
          <w:sz w:val="24"/>
          <w:szCs w:val="24"/>
        </w:rPr>
        <w:t>、</w:t>
      </w:r>
      <w:bookmarkStart w:id="18" w:name="_Toc110006891"/>
      <w:bookmarkStart w:id="19" w:name="_Toc99424545"/>
      <w:r>
        <w:rPr>
          <w:rFonts w:hint="eastAsia" w:ascii="宋体" w:hAnsi="宋体"/>
          <w:sz w:val="24"/>
          <w:szCs w:val="24"/>
        </w:rPr>
        <w:t>员工安全技术教育</w:t>
      </w:r>
      <w:bookmarkEnd w:id="18"/>
      <w:bookmarkEnd w:id="19"/>
      <w:r>
        <w:rPr>
          <w:rFonts w:hint="eastAsia" w:ascii="宋体" w:hAnsi="宋体"/>
          <w:sz w:val="24"/>
          <w:szCs w:val="24"/>
        </w:rPr>
        <w:t>、</w:t>
      </w:r>
      <w:bookmarkStart w:id="20" w:name="_Toc99424546"/>
      <w:bookmarkStart w:id="21" w:name="_Toc110006892"/>
      <w:r>
        <w:rPr>
          <w:rFonts w:hint="eastAsia" w:ascii="宋体" w:hAnsi="宋体"/>
          <w:sz w:val="24"/>
          <w:szCs w:val="24"/>
        </w:rPr>
        <w:t>各项安全专业技术教育</w:t>
      </w:r>
      <w:bookmarkEnd w:id="20"/>
      <w:bookmarkEnd w:id="21"/>
      <w:r>
        <w:rPr>
          <w:rFonts w:hint="eastAsia" w:ascii="宋体" w:hAnsi="宋体"/>
          <w:sz w:val="24"/>
          <w:szCs w:val="24"/>
        </w:rPr>
        <w:t>、</w:t>
      </w:r>
      <w:bookmarkStart w:id="22" w:name="_Toc99424547"/>
      <w:bookmarkStart w:id="23" w:name="_Toc110006893"/>
      <w:r>
        <w:rPr>
          <w:rFonts w:hint="eastAsia" w:ascii="宋体" w:hAnsi="宋体"/>
          <w:sz w:val="24"/>
          <w:szCs w:val="24"/>
        </w:rPr>
        <w:t>安全专业资格认证</w:t>
      </w:r>
      <w:bookmarkEnd w:id="22"/>
      <w:bookmarkEnd w:id="23"/>
      <w:r>
        <w:rPr>
          <w:rFonts w:hint="eastAsia" w:ascii="宋体" w:hAnsi="宋体"/>
          <w:sz w:val="24"/>
          <w:szCs w:val="24"/>
        </w:rPr>
        <w:t>、</w:t>
      </w:r>
      <w:bookmarkStart w:id="24" w:name="_Toc99424548"/>
      <w:bookmarkStart w:id="25" w:name="_Toc110006894"/>
      <w:r>
        <w:rPr>
          <w:rFonts w:hint="eastAsia" w:ascii="宋体" w:hAnsi="宋体"/>
          <w:sz w:val="24"/>
          <w:szCs w:val="24"/>
        </w:rPr>
        <w:t>信息安全内部考核（含培训）</w:t>
      </w:r>
      <w:bookmarkEnd w:id="24"/>
      <w:bookmarkEnd w:id="25"/>
      <w:r>
        <w:rPr>
          <w:rFonts w:hint="eastAsia" w:ascii="宋体" w:hAnsi="宋体"/>
          <w:sz w:val="24"/>
          <w:szCs w:val="24"/>
        </w:rPr>
        <w:t>等内容。</w:t>
      </w:r>
    </w:p>
    <w:p>
      <w:pPr>
        <w:spacing w:line="360" w:lineRule="auto"/>
        <w:ind w:left="1" w:firstLine="480" w:firstLineChars="200"/>
        <w:rPr>
          <w:rFonts w:hint="eastAsia" w:ascii="宋体" w:hAnsi="宋体"/>
          <w:sz w:val="24"/>
          <w:szCs w:val="24"/>
        </w:rPr>
      </w:pPr>
      <w:r>
        <w:rPr>
          <w:rFonts w:hint="eastAsia" w:ascii="宋体" w:hAnsi="宋体"/>
          <w:sz w:val="24"/>
          <w:szCs w:val="24"/>
        </w:rPr>
        <w:t>协助获取专利、软著等知识产权，协助出版书籍、论文刊物、共</w:t>
      </w:r>
      <w:r>
        <w:rPr>
          <w:rFonts w:ascii="宋体" w:hAnsi="宋体"/>
          <w:sz w:val="24"/>
          <w:szCs w:val="24"/>
        </w:rPr>
        <w:t>同</w:t>
      </w:r>
      <w:r>
        <w:rPr>
          <w:rFonts w:hint="eastAsia" w:ascii="宋体" w:hAnsi="宋体"/>
          <w:sz w:val="24"/>
          <w:szCs w:val="24"/>
        </w:rPr>
        <w:t>撰</w:t>
      </w:r>
      <w:r>
        <w:rPr>
          <w:rFonts w:ascii="宋体" w:hAnsi="宋体"/>
          <w:sz w:val="24"/>
          <w:szCs w:val="24"/>
        </w:rPr>
        <w:t>写数据</w:t>
      </w:r>
      <w:r>
        <w:rPr>
          <w:rFonts w:hint="eastAsia" w:ascii="宋体" w:hAnsi="宋体"/>
          <w:sz w:val="24"/>
          <w:szCs w:val="24"/>
        </w:rPr>
        <w:t>标</w:t>
      </w:r>
      <w:r>
        <w:rPr>
          <w:rFonts w:ascii="宋体" w:hAnsi="宋体"/>
          <w:sz w:val="24"/>
          <w:szCs w:val="24"/>
        </w:rPr>
        <w:t>准体系</w:t>
      </w:r>
      <w:r>
        <w:rPr>
          <w:rFonts w:hint="eastAsia" w:ascii="宋体" w:hAnsi="宋体"/>
          <w:sz w:val="24"/>
          <w:szCs w:val="24"/>
        </w:rPr>
        <w:t>、协</w:t>
      </w:r>
      <w:r>
        <w:rPr>
          <w:rFonts w:ascii="宋体" w:hAnsi="宋体"/>
          <w:sz w:val="24"/>
          <w:szCs w:val="24"/>
        </w:rPr>
        <w:t>同科研申报</w:t>
      </w:r>
      <w:r>
        <w:rPr>
          <w:rFonts w:hint="eastAsia" w:ascii="宋体" w:hAnsi="宋体"/>
          <w:sz w:val="24"/>
          <w:szCs w:val="24"/>
        </w:rPr>
        <w:t>等，打造佛山市第一人民医院信息安</w:t>
      </w:r>
      <w:r>
        <w:rPr>
          <w:rFonts w:ascii="宋体" w:hAnsi="宋体"/>
          <w:sz w:val="24"/>
          <w:szCs w:val="24"/>
        </w:rPr>
        <w:t>全</w:t>
      </w:r>
      <w:r>
        <w:rPr>
          <w:rFonts w:hint="eastAsia" w:ascii="宋体" w:hAnsi="宋体"/>
          <w:sz w:val="24"/>
          <w:szCs w:val="24"/>
        </w:rPr>
        <w:t>中心学习型、知识型、创新型的信</w:t>
      </w:r>
      <w:r>
        <w:rPr>
          <w:rFonts w:ascii="宋体" w:hAnsi="宋体"/>
          <w:sz w:val="24"/>
          <w:szCs w:val="24"/>
        </w:rPr>
        <w:t>息安全</w:t>
      </w:r>
      <w:r>
        <w:rPr>
          <w:rFonts w:hint="eastAsia" w:ascii="宋体" w:hAnsi="宋体"/>
          <w:sz w:val="24"/>
          <w:szCs w:val="24"/>
        </w:rPr>
        <w:t>组织队伍。</w:t>
      </w:r>
    </w:p>
    <w:p>
      <w:pPr>
        <w:spacing w:line="360" w:lineRule="auto"/>
        <w:ind w:left="1" w:firstLine="482" w:firstLineChars="200"/>
        <w:rPr>
          <w:rFonts w:ascii="宋体" w:hAnsi="宋体"/>
          <w:b/>
          <w:bCs/>
          <w:sz w:val="24"/>
          <w:szCs w:val="24"/>
        </w:rPr>
      </w:pPr>
      <w:r>
        <w:rPr>
          <w:rFonts w:hint="eastAsia" w:ascii="宋体" w:hAnsi="宋体"/>
          <w:b/>
          <w:bCs/>
          <w:sz w:val="24"/>
          <w:szCs w:val="24"/>
        </w:rPr>
        <w:t>提供医院2个名额信息安全相关培训及认证名额，含培训期间食宿安排。</w:t>
      </w:r>
    </w:p>
    <w:p>
      <w:pPr>
        <w:numPr>
          <w:ilvl w:val="1"/>
          <w:numId w:val="4"/>
        </w:numPr>
        <w:spacing w:before="312" w:beforeLines="100" w:after="312" w:afterLines="100" w:line="480" w:lineRule="exact"/>
        <w:ind w:left="578" w:hanging="578"/>
        <w:jc w:val="left"/>
        <w:outlineLvl w:val="1"/>
        <w:rPr>
          <w:rFonts w:ascii="等线" w:hAnsi="等线" w:cs="等线"/>
          <w:b/>
          <w:sz w:val="24"/>
          <w:szCs w:val="24"/>
        </w:rPr>
      </w:pPr>
      <w:bookmarkStart w:id="26" w:name="_Toc24638065"/>
      <w:r>
        <w:rPr>
          <w:rFonts w:hint="eastAsia" w:ascii="等线" w:hAnsi="等线" w:cs="等线"/>
          <w:b/>
          <w:sz w:val="24"/>
          <w:szCs w:val="24"/>
        </w:rPr>
        <w:t>应急演练服务</w:t>
      </w:r>
    </w:p>
    <w:p>
      <w:pPr>
        <w:spacing w:line="360" w:lineRule="auto"/>
        <w:ind w:left="1" w:firstLine="480" w:firstLineChars="200"/>
        <w:rPr>
          <w:rFonts w:ascii="宋体" w:hAnsi="宋体"/>
          <w:sz w:val="24"/>
          <w:szCs w:val="24"/>
        </w:rPr>
      </w:pPr>
      <w:r>
        <w:rPr>
          <w:rFonts w:hint="eastAsia" w:ascii="宋体" w:hAnsi="宋体"/>
          <w:sz w:val="24"/>
          <w:szCs w:val="24"/>
        </w:rPr>
        <w:t>针对应急演练需要，提供应急演练场景，并按应急演练方案进行演练，一年提供1次。</w:t>
      </w:r>
    </w:p>
    <w:p>
      <w:pPr>
        <w:spacing w:line="360" w:lineRule="auto"/>
        <w:ind w:left="1" w:firstLine="480" w:firstLineChars="200"/>
        <w:rPr>
          <w:rFonts w:hint="eastAsia" w:ascii="宋体" w:hAnsi="宋体"/>
          <w:sz w:val="24"/>
          <w:szCs w:val="24"/>
        </w:rPr>
      </w:pPr>
      <w:r>
        <w:rPr>
          <w:rFonts w:hint="eastAsia" w:ascii="宋体" w:hAnsi="宋体"/>
          <w:sz w:val="24"/>
          <w:szCs w:val="24"/>
        </w:rPr>
        <w:t>投</w:t>
      </w:r>
      <w:r>
        <w:rPr>
          <w:rFonts w:ascii="宋体" w:hAnsi="宋体"/>
          <w:sz w:val="24"/>
          <w:szCs w:val="24"/>
        </w:rPr>
        <w:t>标方应根据</w:t>
      </w:r>
      <w:r>
        <w:rPr>
          <w:rFonts w:hint="eastAsia" w:ascii="宋体" w:hAnsi="宋体"/>
          <w:sz w:val="24"/>
          <w:szCs w:val="24"/>
        </w:rPr>
        <w:t>招标人</w:t>
      </w:r>
      <w:r>
        <w:rPr>
          <w:rFonts w:ascii="宋体" w:hAnsi="宋体"/>
          <w:sz w:val="24"/>
          <w:szCs w:val="24"/>
        </w:rPr>
        <w:t>的实际情况对应急演练的内容提出建议，并有针对性的制定应急演练实施方案，根据实施方案开展相关准备工作和负责组织实施。在应急演练结束后，认真总结评价，并提交总结报告，对不足之处进行有针对性的整改，以提高应急工作的整体水平。</w:t>
      </w:r>
    </w:p>
    <w:p>
      <w:pPr>
        <w:pStyle w:val="2"/>
        <w:numPr>
          <w:ilvl w:val="0"/>
          <w:numId w:val="2"/>
        </w:numPr>
        <w:jc w:val="left"/>
      </w:pPr>
      <w:r>
        <w:rPr>
          <w:rFonts w:hint="eastAsia"/>
        </w:rPr>
        <w:t>服务商资质要求</w:t>
      </w:r>
      <w:bookmarkEnd w:id="26"/>
    </w:p>
    <w:p>
      <w:pPr>
        <w:spacing w:line="360" w:lineRule="auto"/>
        <w:ind w:left="1" w:firstLine="480" w:firstLineChars="200"/>
        <w:rPr>
          <w:rFonts w:ascii="宋体" w:hAnsi="宋体"/>
          <w:sz w:val="24"/>
          <w:szCs w:val="24"/>
        </w:rPr>
      </w:pPr>
      <w:r>
        <w:rPr>
          <w:rFonts w:hint="eastAsia" w:ascii="宋体" w:hAnsi="宋体"/>
          <w:sz w:val="24"/>
          <w:szCs w:val="24"/>
        </w:rPr>
        <w:t>服务商应具备为我院提供优质安全服务的能力，至少满足以下条件：</w:t>
      </w:r>
    </w:p>
    <w:p>
      <w:pPr>
        <w:spacing w:line="360" w:lineRule="auto"/>
        <w:ind w:left="1" w:firstLine="480" w:firstLineChars="200"/>
        <w:rPr>
          <w:rFonts w:hint="eastAsia" w:ascii="宋体" w:hAnsi="宋体"/>
          <w:sz w:val="24"/>
          <w:szCs w:val="24"/>
        </w:rPr>
      </w:pPr>
      <w:r>
        <w:rPr>
          <w:rFonts w:hint="eastAsia" w:ascii="宋体" w:hAnsi="宋体"/>
          <w:sz w:val="24"/>
          <w:szCs w:val="24"/>
        </w:rPr>
        <w:t>1.满足应急响应2小时抵达现场的要求；</w:t>
      </w:r>
    </w:p>
    <w:p>
      <w:pPr>
        <w:spacing w:line="360" w:lineRule="auto"/>
        <w:ind w:left="1"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.具备信息安全风险评估、信息安全应急处理服务资质三级或以上资质；</w:t>
      </w:r>
    </w:p>
    <w:p>
      <w:pPr>
        <w:spacing w:line="360" w:lineRule="auto"/>
        <w:ind w:left="1"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．项目经理需具有PMP及CISP专业认证。</w:t>
      </w:r>
    </w:p>
    <w:p>
      <w:pPr>
        <w:pStyle w:val="2"/>
        <w:numPr>
          <w:ilvl w:val="0"/>
          <w:numId w:val="2"/>
        </w:numPr>
        <w:jc w:val="left"/>
      </w:pPr>
      <w:r>
        <w:rPr>
          <w:rFonts w:hint="eastAsia"/>
        </w:rPr>
        <w:t>服务质量</w:t>
      </w:r>
    </w:p>
    <w:p>
      <w:pPr>
        <w:spacing w:line="360" w:lineRule="auto"/>
        <w:ind w:left="1" w:firstLine="480" w:firstLineChars="200"/>
        <w:rPr>
          <w:rFonts w:ascii="宋体" w:hAnsi="宋体"/>
          <w:sz w:val="24"/>
          <w:szCs w:val="24"/>
        </w:rPr>
      </w:pPr>
      <w:r>
        <w:rPr>
          <w:rFonts w:hint="eastAsia" w:ascii="宋体" w:hAnsi="宋体"/>
          <w:sz w:val="24"/>
          <w:szCs w:val="24"/>
        </w:rPr>
        <w:t>1、本服务项目将每年对服务商服务成果进行考核扣分，扣分项目如下（基础分为100分）</w:t>
      </w:r>
    </w:p>
    <w:tbl>
      <w:tblPr>
        <w:tblStyle w:val="3"/>
        <w:tblW w:w="8280" w:type="dxa"/>
        <w:jc w:val="center"/>
        <w:tblLayout w:type="autofit"/>
        <w:tblCellMar>
          <w:top w:w="0" w:type="dxa"/>
          <w:left w:w="108" w:type="dxa"/>
          <w:bottom w:w="0" w:type="dxa"/>
          <w:right w:w="108" w:type="dxa"/>
        </w:tblCellMar>
      </w:tblPr>
      <w:tblGrid>
        <w:gridCol w:w="1560"/>
        <w:gridCol w:w="2837"/>
        <w:gridCol w:w="13"/>
        <w:gridCol w:w="1830"/>
        <w:gridCol w:w="2040"/>
      </w:tblGrid>
      <w:tr>
        <w:tblPrEx>
          <w:tblCellMar>
            <w:top w:w="0" w:type="dxa"/>
            <w:left w:w="108" w:type="dxa"/>
            <w:bottom w:w="0" w:type="dxa"/>
            <w:right w:w="108" w:type="dxa"/>
          </w:tblCellMar>
        </w:tblPrEx>
        <w:trPr>
          <w:trHeight w:val="270" w:hRule="atLeast"/>
          <w:jc w:val="center"/>
        </w:trPr>
        <w:tc>
          <w:tcPr>
            <w:tcW w:w="1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考核项</w:t>
            </w:r>
          </w:p>
        </w:tc>
        <w:tc>
          <w:tcPr>
            <w:tcW w:w="4680" w:type="dxa"/>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rPr>
            </w:pPr>
            <w:r>
              <w:rPr>
                <w:rFonts w:hint="eastAsia" w:ascii="宋体" w:hAnsi="宋体" w:cs="宋体"/>
                <w:kern w:val="0"/>
                <w:sz w:val="22"/>
              </w:rPr>
              <w:t>考核内容</w:t>
            </w:r>
          </w:p>
        </w:tc>
        <w:tc>
          <w:tcPr>
            <w:tcW w:w="20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rPr>
            </w:pPr>
            <w:r>
              <w:rPr>
                <w:rFonts w:hint="eastAsia" w:ascii="宋体" w:hAnsi="宋体" w:cs="宋体"/>
                <w:kern w:val="0"/>
                <w:sz w:val="22"/>
              </w:rPr>
              <w:t>扣分分值</w:t>
            </w:r>
          </w:p>
        </w:tc>
      </w:tr>
      <w:tr>
        <w:tblPrEx>
          <w:tblCellMar>
            <w:top w:w="0" w:type="dxa"/>
            <w:left w:w="108" w:type="dxa"/>
            <w:bottom w:w="0" w:type="dxa"/>
            <w:right w:w="108" w:type="dxa"/>
          </w:tblCellMar>
        </w:tblPrEx>
        <w:trPr>
          <w:trHeight w:val="276" w:hRule="atLeast"/>
          <w:jc w:val="center"/>
        </w:trPr>
        <w:tc>
          <w:tcPr>
            <w:tcW w:w="1560" w:type="dxa"/>
            <w:vMerge w:val="restart"/>
            <w:tcBorders>
              <w:top w:val="nil"/>
              <w:left w:val="single" w:color="auto" w:sz="4" w:space="0"/>
              <w:right w:val="single" w:color="auto" w:sz="4" w:space="0"/>
            </w:tcBorders>
            <w:noWrap w:val="0"/>
            <w:vAlign w:val="center"/>
          </w:tcPr>
          <w:p>
            <w:pPr>
              <w:widowControl/>
              <w:jc w:val="center"/>
              <w:rPr>
                <w:rFonts w:hint="eastAsia" w:ascii="宋体" w:hAnsi="宋体" w:cs="宋体"/>
                <w:kern w:val="0"/>
                <w:sz w:val="22"/>
              </w:rPr>
            </w:pPr>
            <w:r>
              <w:rPr>
                <w:rFonts w:hint="eastAsia" w:ascii="宋体" w:hAnsi="宋体" w:cs="宋体"/>
                <w:kern w:val="0"/>
                <w:sz w:val="22"/>
              </w:rPr>
              <w:t>安全事件</w:t>
            </w:r>
          </w:p>
        </w:tc>
        <w:tc>
          <w:tcPr>
            <w:tcW w:w="2837" w:type="dxa"/>
            <w:vMerge w:val="restart"/>
            <w:tcBorders>
              <w:top w:val="nil"/>
              <w:left w:val="nil"/>
              <w:right w:val="single" w:color="auto" w:sz="4" w:space="0"/>
            </w:tcBorders>
            <w:noWrap/>
            <w:vAlign w:val="center"/>
          </w:tcPr>
          <w:p>
            <w:pPr>
              <w:widowControl/>
              <w:jc w:val="center"/>
              <w:rPr>
                <w:rFonts w:hint="eastAsia" w:ascii="宋体" w:hAnsi="宋体" w:cs="宋体"/>
                <w:kern w:val="0"/>
                <w:sz w:val="22"/>
              </w:rPr>
            </w:pPr>
            <w:r>
              <w:rPr>
                <w:rFonts w:hint="eastAsia" w:ascii="宋体" w:hAnsi="宋体" w:cs="宋体"/>
                <w:kern w:val="0"/>
                <w:sz w:val="22"/>
              </w:rPr>
              <w:t>重大故障，系统瘫痪，无法运行，院级业务停顿</w:t>
            </w:r>
          </w:p>
        </w:tc>
        <w:tc>
          <w:tcPr>
            <w:tcW w:w="1843"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rPr>
            </w:pPr>
            <w:r>
              <w:rPr>
                <w:rFonts w:hint="eastAsia" w:ascii="宋体" w:hAnsi="宋体" w:cs="宋体"/>
                <w:kern w:val="0"/>
                <w:sz w:val="22"/>
              </w:rPr>
              <w:t>4小时及以上</w:t>
            </w:r>
          </w:p>
        </w:tc>
        <w:tc>
          <w:tcPr>
            <w:tcW w:w="20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rPr>
            </w:pPr>
            <w:r>
              <w:rPr>
                <w:rFonts w:hint="eastAsia" w:ascii="宋体" w:hAnsi="宋体" w:cs="宋体"/>
                <w:kern w:val="0"/>
                <w:sz w:val="22"/>
              </w:rPr>
              <w:t>5分/次</w:t>
            </w:r>
          </w:p>
        </w:tc>
      </w:tr>
      <w:tr>
        <w:tblPrEx>
          <w:tblCellMar>
            <w:top w:w="0" w:type="dxa"/>
            <w:left w:w="108" w:type="dxa"/>
            <w:bottom w:w="0" w:type="dxa"/>
            <w:right w:w="108" w:type="dxa"/>
          </w:tblCellMar>
        </w:tblPrEx>
        <w:trPr>
          <w:trHeight w:val="285" w:hRule="atLeast"/>
          <w:jc w:val="center"/>
        </w:trPr>
        <w:tc>
          <w:tcPr>
            <w:tcW w:w="1560"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2"/>
              </w:rPr>
            </w:pPr>
          </w:p>
        </w:tc>
        <w:tc>
          <w:tcPr>
            <w:tcW w:w="2837" w:type="dxa"/>
            <w:vMerge w:val="continue"/>
            <w:tcBorders>
              <w:left w:val="nil"/>
              <w:right w:val="single" w:color="auto" w:sz="4" w:space="0"/>
            </w:tcBorders>
            <w:noWrap/>
            <w:vAlign w:val="center"/>
          </w:tcPr>
          <w:p>
            <w:pPr>
              <w:widowControl/>
              <w:jc w:val="center"/>
              <w:rPr>
                <w:rFonts w:hint="eastAsia" w:ascii="宋体" w:hAnsi="宋体" w:cs="宋体"/>
                <w:kern w:val="0"/>
                <w:sz w:val="22"/>
              </w:rPr>
            </w:pPr>
          </w:p>
        </w:tc>
        <w:tc>
          <w:tcPr>
            <w:tcW w:w="184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rPr>
            </w:pPr>
            <w:r>
              <w:rPr>
                <w:rFonts w:hint="eastAsia" w:ascii="宋体" w:hAnsi="宋体" w:cs="宋体"/>
                <w:kern w:val="0"/>
                <w:sz w:val="22"/>
              </w:rPr>
              <w:t>2-4小时</w:t>
            </w:r>
          </w:p>
        </w:tc>
        <w:tc>
          <w:tcPr>
            <w:tcW w:w="204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2"/>
              </w:rPr>
            </w:pPr>
            <w:r>
              <w:rPr>
                <w:rFonts w:hint="eastAsia" w:ascii="宋体" w:hAnsi="宋体" w:cs="宋体"/>
                <w:kern w:val="0"/>
                <w:sz w:val="22"/>
              </w:rPr>
              <w:t>3分/次</w:t>
            </w:r>
          </w:p>
        </w:tc>
      </w:tr>
      <w:tr>
        <w:tblPrEx>
          <w:tblCellMar>
            <w:top w:w="0" w:type="dxa"/>
            <w:left w:w="108" w:type="dxa"/>
            <w:bottom w:w="0" w:type="dxa"/>
            <w:right w:w="108" w:type="dxa"/>
          </w:tblCellMar>
        </w:tblPrEx>
        <w:trPr>
          <w:trHeight w:val="325" w:hRule="atLeast"/>
          <w:jc w:val="center"/>
        </w:trPr>
        <w:tc>
          <w:tcPr>
            <w:tcW w:w="1560"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2"/>
              </w:rPr>
            </w:pPr>
          </w:p>
        </w:tc>
        <w:tc>
          <w:tcPr>
            <w:tcW w:w="2837" w:type="dxa"/>
            <w:vMerge w:val="continue"/>
            <w:tcBorders>
              <w:left w:val="nil"/>
              <w:bottom w:val="single" w:color="auto" w:sz="4" w:space="0"/>
              <w:right w:val="single" w:color="auto" w:sz="4" w:space="0"/>
            </w:tcBorders>
            <w:noWrap/>
            <w:vAlign w:val="center"/>
          </w:tcPr>
          <w:p>
            <w:pPr>
              <w:widowControl/>
              <w:jc w:val="center"/>
              <w:rPr>
                <w:rFonts w:hint="eastAsia" w:ascii="宋体" w:hAnsi="宋体" w:cs="宋体"/>
                <w:kern w:val="0"/>
                <w:sz w:val="22"/>
              </w:rPr>
            </w:pPr>
          </w:p>
        </w:tc>
        <w:tc>
          <w:tcPr>
            <w:tcW w:w="184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rPr>
            </w:pPr>
            <w:r>
              <w:rPr>
                <w:rFonts w:hint="eastAsia" w:ascii="宋体" w:hAnsi="宋体" w:cs="宋体"/>
                <w:kern w:val="0"/>
                <w:sz w:val="22"/>
              </w:rPr>
              <w:t>1小时以内</w:t>
            </w:r>
          </w:p>
        </w:tc>
        <w:tc>
          <w:tcPr>
            <w:tcW w:w="204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2"/>
              </w:rPr>
            </w:pPr>
            <w:r>
              <w:rPr>
                <w:rFonts w:hint="eastAsia" w:ascii="宋体" w:hAnsi="宋体" w:cs="宋体"/>
                <w:kern w:val="0"/>
                <w:sz w:val="22"/>
              </w:rPr>
              <w:t>1.5分/次</w:t>
            </w:r>
          </w:p>
        </w:tc>
      </w:tr>
      <w:tr>
        <w:tblPrEx>
          <w:tblCellMar>
            <w:top w:w="0" w:type="dxa"/>
            <w:left w:w="108" w:type="dxa"/>
            <w:bottom w:w="0" w:type="dxa"/>
            <w:right w:w="108" w:type="dxa"/>
          </w:tblCellMar>
        </w:tblPrEx>
        <w:trPr>
          <w:trHeight w:val="1175" w:hRule="atLeast"/>
          <w:jc w:val="center"/>
        </w:trPr>
        <w:tc>
          <w:tcPr>
            <w:tcW w:w="1560"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2"/>
              </w:rPr>
            </w:pPr>
          </w:p>
        </w:tc>
        <w:tc>
          <w:tcPr>
            <w:tcW w:w="4680" w:type="dxa"/>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rPr>
            </w:pPr>
            <w:r>
              <w:rPr>
                <w:rFonts w:hint="eastAsia" w:ascii="宋体" w:hAnsi="宋体" w:cs="宋体"/>
                <w:kern w:val="0"/>
                <w:sz w:val="22"/>
              </w:rPr>
              <w:t>受市级及以上管理部门信息及网络系统安全事件通报或下发整改通知书</w:t>
            </w:r>
          </w:p>
        </w:tc>
        <w:tc>
          <w:tcPr>
            <w:tcW w:w="20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rPr>
            </w:pPr>
            <w:r>
              <w:rPr>
                <w:rFonts w:ascii="宋体" w:hAnsi="宋体" w:cs="宋体"/>
                <w:kern w:val="0"/>
                <w:sz w:val="22"/>
              </w:rPr>
              <w:t>3</w:t>
            </w:r>
            <w:r>
              <w:rPr>
                <w:rFonts w:hint="eastAsia" w:ascii="宋体" w:hAnsi="宋体" w:cs="宋体"/>
                <w:kern w:val="0"/>
                <w:sz w:val="22"/>
              </w:rPr>
              <w:t>分/次</w:t>
            </w:r>
          </w:p>
        </w:tc>
      </w:tr>
      <w:tr>
        <w:tblPrEx>
          <w:tblCellMar>
            <w:top w:w="0" w:type="dxa"/>
            <w:left w:w="108" w:type="dxa"/>
            <w:bottom w:w="0" w:type="dxa"/>
            <w:right w:w="108" w:type="dxa"/>
          </w:tblCellMar>
        </w:tblPrEx>
        <w:trPr>
          <w:trHeight w:val="916" w:hRule="atLeast"/>
          <w:jc w:val="center"/>
        </w:trPr>
        <w:tc>
          <w:tcPr>
            <w:tcW w:w="1560"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2"/>
              </w:rPr>
            </w:pPr>
          </w:p>
        </w:tc>
        <w:tc>
          <w:tcPr>
            <w:tcW w:w="4680" w:type="dxa"/>
            <w:gridSpan w:val="3"/>
            <w:tcBorders>
              <w:top w:val="single" w:color="auto" w:sz="4" w:space="0"/>
              <w:left w:val="nil"/>
              <w:bottom w:val="single" w:color="auto" w:sz="4" w:space="0"/>
              <w:right w:val="single" w:color="auto" w:sz="4" w:space="0"/>
            </w:tcBorders>
            <w:noWrap/>
            <w:vAlign w:val="center"/>
          </w:tcPr>
          <w:p>
            <w:pPr>
              <w:jc w:val="center"/>
              <w:rPr>
                <w:rFonts w:hint="eastAsia" w:ascii="黑体" w:hAnsi="黑体" w:eastAsia="黑体" w:cs="宋体"/>
                <w:kern w:val="0"/>
                <w:sz w:val="22"/>
              </w:rPr>
            </w:pPr>
            <w:r>
              <w:rPr>
                <w:rFonts w:hint="eastAsia" w:ascii="宋体" w:hAnsi="宋体" w:cs="宋体"/>
                <w:kern w:val="0"/>
                <w:sz w:val="22"/>
                <w:lang w:val="en-US" w:eastAsia="zh-CN"/>
              </w:rPr>
              <w:t>由</w:t>
            </w:r>
            <w:r>
              <w:rPr>
                <w:rFonts w:hint="eastAsia" w:ascii="宋体" w:hAnsi="宋体" w:cs="宋体"/>
                <w:kern w:val="0"/>
                <w:sz w:val="22"/>
              </w:rPr>
              <w:t>第三方有资质安全公司对我院资产暴露扫描，</w:t>
            </w:r>
            <w:r>
              <w:rPr>
                <w:rFonts w:hint="eastAsia" w:ascii="宋体" w:hAnsi="宋体" w:cs="宋体"/>
                <w:kern w:val="0"/>
                <w:sz w:val="22"/>
                <w:lang w:val="en-US" w:eastAsia="zh-CN"/>
              </w:rPr>
              <w:t>发现我院互联网资产普通</w:t>
            </w:r>
            <w:r>
              <w:rPr>
                <w:rFonts w:hint="eastAsia" w:ascii="宋体" w:hAnsi="宋体" w:cs="宋体"/>
                <w:kern w:val="0"/>
                <w:sz w:val="22"/>
              </w:rPr>
              <w:t>漏洞经证实</w:t>
            </w:r>
            <w:r>
              <w:rPr>
                <w:rFonts w:hint="eastAsia" w:ascii="宋体" w:hAnsi="宋体" w:cs="宋体"/>
                <w:kern w:val="0"/>
                <w:sz w:val="22"/>
                <w:lang w:val="en-US" w:eastAsia="zh-CN"/>
              </w:rPr>
              <w:t>每个扣1分，高危</w:t>
            </w:r>
            <w:r>
              <w:rPr>
                <w:rFonts w:hint="eastAsia" w:ascii="宋体" w:hAnsi="宋体" w:cs="宋体"/>
                <w:kern w:val="0"/>
                <w:sz w:val="22"/>
              </w:rPr>
              <w:t>漏洞经证实</w:t>
            </w:r>
            <w:r>
              <w:rPr>
                <w:rFonts w:hint="eastAsia" w:ascii="宋体" w:hAnsi="宋体" w:cs="宋体"/>
                <w:kern w:val="0"/>
                <w:sz w:val="22"/>
                <w:lang w:val="en-US" w:eastAsia="zh-CN"/>
              </w:rPr>
              <w:t>每个扣3分</w:t>
            </w:r>
          </w:p>
        </w:tc>
        <w:tc>
          <w:tcPr>
            <w:tcW w:w="2040" w:type="dxa"/>
            <w:tcBorders>
              <w:top w:val="single" w:color="auto" w:sz="4" w:space="0"/>
              <w:left w:val="nil"/>
              <w:bottom w:val="single" w:color="auto" w:sz="4" w:space="0"/>
              <w:right w:val="single" w:color="auto" w:sz="4" w:space="0"/>
            </w:tcBorders>
            <w:noWrap/>
            <w:vAlign w:val="center"/>
          </w:tcPr>
          <w:p>
            <w:pPr>
              <w:jc w:val="both"/>
              <w:rPr>
                <w:rFonts w:ascii="黑体" w:hAnsi="黑体" w:eastAsia="黑体" w:cs="宋体"/>
                <w:kern w:val="0"/>
                <w:sz w:val="22"/>
              </w:rPr>
            </w:pPr>
            <w:r>
              <w:rPr>
                <w:rFonts w:hint="eastAsia" w:ascii="黑体" w:hAnsi="黑体" w:eastAsia="黑体" w:cs="宋体"/>
                <w:kern w:val="0"/>
                <w:sz w:val="22"/>
                <w:lang w:val="en-US" w:eastAsia="zh-CN"/>
              </w:rPr>
              <w:t>1或3</w:t>
            </w:r>
            <w:r>
              <w:rPr>
                <w:rFonts w:hint="eastAsia" w:ascii="黑体" w:hAnsi="黑体" w:eastAsia="黑体" w:cs="宋体"/>
                <w:kern w:val="0"/>
                <w:sz w:val="22"/>
              </w:rPr>
              <w:t>分/个</w:t>
            </w:r>
          </w:p>
        </w:tc>
      </w:tr>
      <w:tr>
        <w:tblPrEx>
          <w:tblCellMar>
            <w:top w:w="0" w:type="dxa"/>
            <w:left w:w="108" w:type="dxa"/>
            <w:bottom w:w="0" w:type="dxa"/>
            <w:right w:w="108" w:type="dxa"/>
          </w:tblCellMar>
        </w:tblPrEx>
        <w:trPr>
          <w:trHeight w:val="249" w:hRule="atLeast"/>
          <w:jc w:val="center"/>
        </w:trPr>
        <w:tc>
          <w:tcPr>
            <w:tcW w:w="1560"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2"/>
              </w:rPr>
            </w:pPr>
          </w:p>
        </w:tc>
        <w:tc>
          <w:tcPr>
            <w:tcW w:w="2850" w:type="dxa"/>
            <w:gridSpan w:val="2"/>
            <w:vMerge w:val="restart"/>
            <w:tcBorders>
              <w:top w:val="single" w:color="auto" w:sz="4" w:space="0"/>
              <w:left w:val="nil"/>
              <w:right w:val="single" w:color="auto" w:sz="4" w:space="0"/>
            </w:tcBorders>
            <w:noWrap/>
            <w:vAlign w:val="center"/>
          </w:tcPr>
          <w:p>
            <w:pPr>
              <w:jc w:val="center"/>
              <w:rPr>
                <w:rFonts w:hint="eastAsia" w:ascii="宋体" w:hAnsi="宋体" w:cs="宋体"/>
                <w:kern w:val="0"/>
                <w:sz w:val="22"/>
              </w:rPr>
            </w:pPr>
            <w:r>
              <w:rPr>
                <w:rFonts w:hint="eastAsia" w:ascii="宋体" w:hAnsi="宋体" w:cs="宋体"/>
                <w:kern w:val="0"/>
                <w:sz w:val="22"/>
              </w:rPr>
              <w:t>系统部分设备故障，影响和限制了部分业务运营</w:t>
            </w:r>
          </w:p>
        </w:tc>
        <w:tc>
          <w:tcPr>
            <w:tcW w:w="183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rPr>
            </w:pPr>
            <w:r>
              <w:rPr>
                <w:rFonts w:hint="eastAsia" w:ascii="宋体" w:hAnsi="宋体" w:cs="宋体"/>
                <w:kern w:val="0"/>
                <w:sz w:val="22"/>
              </w:rPr>
              <w:t>4小时及以上</w:t>
            </w:r>
          </w:p>
        </w:tc>
        <w:tc>
          <w:tcPr>
            <w:tcW w:w="204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2"/>
              </w:rPr>
            </w:pPr>
            <w:r>
              <w:rPr>
                <w:rFonts w:hint="eastAsia" w:ascii="宋体" w:hAnsi="宋体" w:cs="宋体"/>
                <w:kern w:val="0"/>
                <w:sz w:val="22"/>
              </w:rPr>
              <w:t>3分/次</w:t>
            </w:r>
          </w:p>
        </w:tc>
      </w:tr>
      <w:tr>
        <w:tblPrEx>
          <w:tblCellMar>
            <w:top w:w="0" w:type="dxa"/>
            <w:left w:w="108" w:type="dxa"/>
            <w:bottom w:w="0" w:type="dxa"/>
            <w:right w:w="108" w:type="dxa"/>
          </w:tblCellMar>
        </w:tblPrEx>
        <w:trPr>
          <w:trHeight w:val="135" w:hRule="atLeast"/>
          <w:jc w:val="center"/>
        </w:trPr>
        <w:tc>
          <w:tcPr>
            <w:tcW w:w="1560"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2"/>
              </w:rPr>
            </w:pPr>
          </w:p>
        </w:tc>
        <w:tc>
          <w:tcPr>
            <w:tcW w:w="2850" w:type="dxa"/>
            <w:gridSpan w:val="2"/>
            <w:vMerge w:val="continue"/>
            <w:tcBorders>
              <w:left w:val="nil"/>
              <w:right w:val="single" w:color="auto" w:sz="4" w:space="0"/>
            </w:tcBorders>
            <w:noWrap/>
            <w:vAlign w:val="center"/>
          </w:tcPr>
          <w:p>
            <w:pPr>
              <w:jc w:val="center"/>
              <w:rPr>
                <w:rFonts w:hint="eastAsia" w:ascii="宋体" w:hAnsi="宋体" w:cs="宋体"/>
                <w:kern w:val="0"/>
                <w:sz w:val="22"/>
              </w:rPr>
            </w:pPr>
          </w:p>
        </w:tc>
        <w:tc>
          <w:tcPr>
            <w:tcW w:w="183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rPr>
            </w:pPr>
            <w:r>
              <w:rPr>
                <w:rFonts w:hint="eastAsia" w:ascii="宋体" w:hAnsi="宋体" w:cs="宋体"/>
                <w:kern w:val="0"/>
                <w:sz w:val="22"/>
              </w:rPr>
              <w:t>2-4小时</w:t>
            </w:r>
          </w:p>
        </w:tc>
        <w:tc>
          <w:tcPr>
            <w:tcW w:w="2040"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2"/>
              </w:rPr>
            </w:pPr>
            <w:r>
              <w:rPr>
                <w:rFonts w:hint="eastAsia" w:ascii="宋体" w:hAnsi="宋体" w:cs="宋体"/>
                <w:kern w:val="0"/>
                <w:sz w:val="22"/>
              </w:rPr>
              <w:t>2分/次</w:t>
            </w:r>
          </w:p>
        </w:tc>
      </w:tr>
      <w:tr>
        <w:tblPrEx>
          <w:tblCellMar>
            <w:top w:w="0" w:type="dxa"/>
            <w:left w:w="108" w:type="dxa"/>
            <w:bottom w:w="0" w:type="dxa"/>
            <w:right w:w="108" w:type="dxa"/>
          </w:tblCellMar>
        </w:tblPrEx>
        <w:trPr>
          <w:trHeight w:val="210" w:hRule="atLeast"/>
          <w:jc w:val="center"/>
        </w:trPr>
        <w:tc>
          <w:tcPr>
            <w:tcW w:w="1560"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2"/>
              </w:rPr>
            </w:pPr>
          </w:p>
        </w:tc>
        <w:tc>
          <w:tcPr>
            <w:tcW w:w="2850" w:type="dxa"/>
            <w:gridSpan w:val="2"/>
            <w:vMerge w:val="continue"/>
            <w:tcBorders>
              <w:left w:val="nil"/>
              <w:bottom w:val="single" w:color="auto" w:sz="4" w:space="0"/>
              <w:right w:val="single" w:color="auto" w:sz="4" w:space="0"/>
            </w:tcBorders>
            <w:noWrap/>
            <w:vAlign w:val="center"/>
          </w:tcPr>
          <w:p>
            <w:pPr>
              <w:jc w:val="center"/>
              <w:rPr>
                <w:rFonts w:hint="eastAsia" w:ascii="宋体" w:hAnsi="宋体" w:cs="宋体"/>
                <w:kern w:val="0"/>
                <w:sz w:val="22"/>
              </w:rPr>
            </w:pPr>
          </w:p>
        </w:tc>
        <w:tc>
          <w:tcPr>
            <w:tcW w:w="183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rPr>
            </w:pPr>
            <w:r>
              <w:rPr>
                <w:rFonts w:hint="eastAsia" w:ascii="宋体" w:hAnsi="宋体" w:cs="宋体"/>
                <w:kern w:val="0"/>
                <w:sz w:val="22"/>
              </w:rPr>
              <w:t>1小时以内</w:t>
            </w:r>
          </w:p>
        </w:tc>
        <w:tc>
          <w:tcPr>
            <w:tcW w:w="204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2"/>
              </w:rPr>
            </w:pPr>
            <w:r>
              <w:rPr>
                <w:rFonts w:hint="eastAsia" w:ascii="宋体" w:hAnsi="宋体" w:cs="宋体"/>
                <w:kern w:val="0"/>
                <w:sz w:val="22"/>
              </w:rPr>
              <w:t>1分/次</w:t>
            </w:r>
          </w:p>
        </w:tc>
      </w:tr>
      <w:tr>
        <w:tblPrEx>
          <w:tblCellMar>
            <w:top w:w="0" w:type="dxa"/>
            <w:left w:w="108" w:type="dxa"/>
            <w:bottom w:w="0" w:type="dxa"/>
            <w:right w:w="108" w:type="dxa"/>
          </w:tblCellMar>
        </w:tblPrEx>
        <w:trPr>
          <w:trHeight w:val="720" w:hRule="atLeast"/>
          <w:jc w:val="center"/>
        </w:trPr>
        <w:tc>
          <w:tcPr>
            <w:tcW w:w="1560"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2"/>
              </w:rPr>
            </w:pPr>
          </w:p>
        </w:tc>
        <w:tc>
          <w:tcPr>
            <w:tcW w:w="4680" w:type="dxa"/>
            <w:gridSpan w:val="3"/>
            <w:tcBorders>
              <w:top w:val="nil"/>
              <w:left w:val="nil"/>
              <w:bottom w:val="single" w:color="auto" w:sz="4" w:space="0"/>
              <w:right w:val="single" w:color="auto" w:sz="4" w:space="0"/>
            </w:tcBorders>
            <w:noWrap/>
            <w:vAlign w:val="center"/>
          </w:tcPr>
          <w:p>
            <w:pPr>
              <w:jc w:val="center"/>
              <w:rPr>
                <w:rFonts w:hint="eastAsia" w:ascii="宋体" w:hAnsi="宋体" w:cs="宋体"/>
                <w:kern w:val="0"/>
                <w:sz w:val="22"/>
              </w:rPr>
            </w:pPr>
            <w:r>
              <w:rPr>
                <w:rFonts w:hint="eastAsia" w:ascii="宋体" w:hAnsi="宋体" w:cs="宋体"/>
                <w:kern w:val="0"/>
                <w:sz w:val="22"/>
              </w:rPr>
              <w:t>重大故障2小时未到现场</w:t>
            </w:r>
          </w:p>
        </w:tc>
        <w:tc>
          <w:tcPr>
            <w:tcW w:w="2040" w:type="dxa"/>
            <w:tcBorders>
              <w:top w:val="nil"/>
              <w:left w:val="nil"/>
              <w:bottom w:val="single" w:color="auto" w:sz="4" w:space="0"/>
              <w:right w:val="single" w:color="auto" w:sz="4" w:space="0"/>
            </w:tcBorders>
            <w:noWrap/>
            <w:vAlign w:val="center"/>
          </w:tcPr>
          <w:p>
            <w:pPr>
              <w:jc w:val="center"/>
              <w:rPr>
                <w:rFonts w:ascii="宋体" w:hAnsi="宋体" w:cs="宋体"/>
                <w:kern w:val="0"/>
                <w:sz w:val="22"/>
              </w:rPr>
            </w:pPr>
            <w:r>
              <w:rPr>
                <w:rFonts w:hint="eastAsia" w:ascii="宋体" w:hAnsi="宋体" w:cs="宋体"/>
                <w:kern w:val="0"/>
                <w:sz w:val="22"/>
              </w:rPr>
              <w:t>2分/次</w:t>
            </w:r>
          </w:p>
        </w:tc>
      </w:tr>
      <w:tr>
        <w:tblPrEx>
          <w:tblCellMar>
            <w:top w:w="0" w:type="dxa"/>
            <w:left w:w="108" w:type="dxa"/>
            <w:bottom w:w="0" w:type="dxa"/>
            <w:right w:w="108" w:type="dxa"/>
          </w:tblCellMar>
        </w:tblPrEx>
        <w:trPr>
          <w:trHeight w:val="420" w:hRule="atLeast"/>
          <w:jc w:val="center"/>
        </w:trPr>
        <w:tc>
          <w:tcPr>
            <w:tcW w:w="1560"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4680" w:type="dxa"/>
            <w:gridSpan w:val="3"/>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2"/>
              </w:rPr>
            </w:pPr>
            <w:r>
              <w:rPr>
                <w:rFonts w:hint="eastAsia" w:ascii="宋体" w:hAnsi="宋体" w:cs="宋体"/>
                <w:kern w:val="0"/>
                <w:sz w:val="22"/>
              </w:rPr>
              <w:t>参照《佛山市卫生健康系统</w:t>
            </w:r>
            <w:r>
              <w:rPr>
                <w:rFonts w:ascii="宋体" w:hAnsi="宋体" w:cs="宋体"/>
                <w:kern w:val="0"/>
                <w:sz w:val="22"/>
              </w:rPr>
              <w:t>202</w:t>
            </w:r>
            <w:r>
              <w:rPr>
                <w:rFonts w:hint="eastAsia" w:ascii="宋体" w:hAnsi="宋体" w:cs="宋体"/>
                <w:kern w:val="0"/>
                <w:sz w:val="22"/>
              </w:rPr>
              <w:t>5年度网络安全工作责任制执行评估表》</w:t>
            </w:r>
          </w:p>
        </w:tc>
        <w:tc>
          <w:tcPr>
            <w:tcW w:w="204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2"/>
              </w:rPr>
            </w:pPr>
            <w:r>
              <w:rPr>
                <w:rFonts w:hint="eastAsia" w:ascii="宋体" w:hAnsi="宋体" w:cs="宋体"/>
                <w:kern w:val="0"/>
                <w:sz w:val="22"/>
              </w:rPr>
              <w:t>10分/次</w:t>
            </w:r>
          </w:p>
        </w:tc>
      </w:tr>
      <w:tr>
        <w:tblPrEx>
          <w:tblCellMar>
            <w:top w:w="0" w:type="dxa"/>
            <w:left w:w="108" w:type="dxa"/>
            <w:bottom w:w="0" w:type="dxa"/>
            <w:right w:w="108" w:type="dxa"/>
          </w:tblCellMar>
        </w:tblPrEx>
        <w:trPr>
          <w:trHeight w:val="608" w:hRule="atLeast"/>
          <w:jc w:val="center"/>
        </w:trPr>
        <w:tc>
          <w:tcPr>
            <w:tcW w:w="1560" w:type="dxa"/>
            <w:vMerge w:val="restart"/>
            <w:tcBorders>
              <w:top w:val="nil"/>
              <w:left w:val="single" w:color="auto" w:sz="4" w:space="0"/>
              <w:right w:val="single" w:color="auto" w:sz="4" w:space="0"/>
            </w:tcBorders>
            <w:noWrap/>
            <w:vAlign w:val="center"/>
          </w:tcPr>
          <w:p>
            <w:pPr>
              <w:widowControl/>
              <w:jc w:val="center"/>
              <w:rPr>
                <w:rFonts w:hint="eastAsia" w:ascii="宋体" w:hAnsi="宋体" w:cs="宋体"/>
                <w:kern w:val="0"/>
                <w:sz w:val="22"/>
              </w:rPr>
            </w:pPr>
            <w:r>
              <w:rPr>
                <w:rFonts w:hint="eastAsia" w:ascii="宋体" w:hAnsi="宋体" w:cs="宋体"/>
                <w:kern w:val="0"/>
                <w:sz w:val="22"/>
              </w:rPr>
              <w:t>服务质量</w:t>
            </w:r>
          </w:p>
        </w:tc>
        <w:tc>
          <w:tcPr>
            <w:tcW w:w="4680" w:type="dxa"/>
            <w:gridSpan w:val="3"/>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rPr>
            </w:pPr>
            <w:r>
              <w:rPr>
                <w:rFonts w:hint="eastAsia" w:ascii="宋体" w:hAnsi="宋体" w:cs="宋体"/>
                <w:kern w:val="0"/>
                <w:sz w:val="22"/>
              </w:rPr>
              <w:t>未按时安全服务计划内项目</w:t>
            </w:r>
          </w:p>
        </w:tc>
        <w:tc>
          <w:tcPr>
            <w:tcW w:w="20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rPr>
            </w:pPr>
            <w:r>
              <w:rPr>
                <w:rFonts w:hint="eastAsia" w:ascii="宋体" w:hAnsi="宋体" w:cs="宋体"/>
                <w:kern w:val="0"/>
                <w:sz w:val="22"/>
              </w:rPr>
              <w:t>1</w:t>
            </w:r>
            <w:r>
              <w:rPr>
                <w:rFonts w:ascii="宋体" w:hAnsi="宋体" w:cs="宋体"/>
                <w:kern w:val="0"/>
                <w:sz w:val="22"/>
              </w:rPr>
              <w:t>.5</w:t>
            </w:r>
            <w:r>
              <w:rPr>
                <w:rFonts w:hint="eastAsia" w:ascii="宋体" w:hAnsi="宋体" w:cs="宋体"/>
                <w:kern w:val="0"/>
                <w:sz w:val="22"/>
              </w:rPr>
              <w:t>分/次</w:t>
            </w:r>
          </w:p>
        </w:tc>
      </w:tr>
      <w:tr>
        <w:tblPrEx>
          <w:tblCellMar>
            <w:top w:w="0" w:type="dxa"/>
            <w:left w:w="108" w:type="dxa"/>
            <w:bottom w:w="0" w:type="dxa"/>
            <w:right w:w="108" w:type="dxa"/>
          </w:tblCellMar>
        </w:tblPrEx>
        <w:trPr>
          <w:trHeight w:val="556" w:hRule="atLeast"/>
          <w:jc w:val="center"/>
        </w:trPr>
        <w:tc>
          <w:tcPr>
            <w:tcW w:w="1560"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2"/>
              </w:rPr>
            </w:pPr>
          </w:p>
        </w:tc>
        <w:tc>
          <w:tcPr>
            <w:tcW w:w="4680" w:type="dxa"/>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rPr>
            </w:pPr>
            <w:r>
              <w:rPr>
                <w:rFonts w:hint="eastAsia" w:ascii="宋体" w:hAnsi="宋体" w:cs="宋体"/>
                <w:kern w:val="0"/>
                <w:sz w:val="22"/>
              </w:rPr>
              <w:t>未按时提交文档方案及报告</w:t>
            </w:r>
          </w:p>
        </w:tc>
        <w:tc>
          <w:tcPr>
            <w:tcW w:w="20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rPr>
            </w:pPr>
            <w:r>
              <w:rPr>
                <w:rFonts w:hint="eastAsia" w:ascii="宋体" w:hAnsi="宋体" w:cs="宋体"/>
                <w:kern w:val="0"/>
                <w:sz w:val="22"/>
              </w:rPr>
              <w:t>1分/次</w:t>
            </w:r>
          </w:p>
        </w:tc>
      </w:tr>
      <w:tr>
        <w:tblPrEx>
          <w:tblCellMar>
            <w:top w:w="0" w:type="dxa"/>
            <w:left w:w="108" w:type="dxa"/>
            <w:bottom w:w="0" w:type="dxa"/>
            <w:right w:w="108" w:type="dxa"/>
          </w:tblCellMar>
        </w:tblPrEx>
        <w:trPr>
          <w:trHeight w:val="735" w:hRule="atLeast"/>
          <w:jc w:val="center"/>
        </w:trPr>
        <w:tc>
          <w:tcPr>
            <w:tcW w:w="1560"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2"/>
              </w:rPr>
            </w:pPr>
          </w:p>
        </w:tc>
        <w:tc>
          <w:tcPr>
            <w:tcW w:w="4680" w:type="dxa"/>
            <w:gridSpan w:val="3"/>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2"/>
              </w:rPr>
            </w:pPr>
            <w:r>
              <w:rPr>
                <w:rFonts w:hint="eastAsia" w:ascii="宋体" w:hAnsi="宋体" w:cs="宋体"/>
                <w:kern w:val="0"/>
                <w:sz w:val="22"/>
              </w:rPr>
              <w:t>按月检查未能达到安全预警平台指示80分</w:t>
            </w:r>
          </w:p>
        </w:tc>
        <w:tc>
          <w:tcPr>
            <w:tcW w:w="204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2"/>
              </w:rPr>
            </w:pPr>
            <w:r>
              <w:rPr>
                <w:rFonts w:hint="eastAsia" w:ascii="宋体" w:hAnsi="宋体" w:cs="宋体"/>
                <w:kern w:val="0"/>
                <w:sz w:val="22"/>
              </w:rPr>
              <w:t>1分/次</w:t>
            </w:r>
          </w:p>
        </w:tc>
      </w:tr>
      <w:tr>
        <w:tblPrEx>
          <w:tblCellMar>
            <w:top w:w="0" w:type="dxa"/>
            <w:left w:w="108" w:type="dxa"/>
            <w:bottom w:w="0" w:type="dxa"/>
            <w:right w:w="108" w:type="dxa"/>
          </w:tblCellMar>
        </w:tblPrEx>
        <w:trPr>
          <w:trHeight w:val="1140" w:hRule="atLeast"/>
          <w:jc w:val="center"/>
        </w:trPr>
        <w:tc>
          <w:tcPr>
            <w:tcW w:w="1560"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4680"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jc w:val="left"/>
              <w:rPr>
                <w:rFonts w:hint="eastAsia" w:ascii="宋体" w:hAnsi="宋体" w:cs="宋体"/>
                <w:kern w:val="0"/>
                <w:sz w:val="22"/>
              </w:rPr>
            </w:pPr>
            <w:r>
              <w:rPr>
                <w:rFonts w:hint="eastAsia" w:ascii="宋体" w:hAnsi="宋体" w:cs="宋体"/>
                <w:kern w:val="0"/>
                <w:sz w:val="22"/>
              </w:rPr>
              <w:t>《佛山市卫生健康系统</w:t>
            </w:r>
            <w:r>
              <w:rPr>
                <w:rFonts w:ascii="宋体" w:hAnsi="宋体" w:cs="宋体"/>
                <w:kern w:val="0"/>
                <w:sz w:val="22"/>
              </w:rPr>
              <w:t>202</w:t>
            </w:r>
            <w:r>
              <w:rPr>
                <w:rFonts w:hint="eastAsia" w:ascii="宋体" w:hAnsi="宋体" w:cs="宋体"/>
                <w:kern w:val="0"/>
                <w:sz w:val="22"/>
              </w:rPr>
              <w:t>5年度网络安全工作责任制执行评估表》项目细项未协助落实</w:t>
            </w:r>
          </w:p>
        </w:tc>
        <w:tc>
          <w:tcPr>
            <w:tcW w:w="204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2"/>
              </w:rPr>
            </w:pPr>
            <w:r>
              <w:rPr>
                <w:rFonts w:hint="eastAsia" w:ascii="宋体" w:hAnsi="宋体" w:cs="宋体"/>
                <w:kern w:val="0"/>
                <w:sz w:val="22"/>
              </w:rPr>
              <w:t>1分/项</w:t>
            </w:r>
          </w:p>
        </w:tc>
      </w:tr>
      <w:tr>
        <w:tblPrEx>
          <w:tblCellMar>
            <w:top w:w="0" w:type="dxa"/>
            <w:left w:w="108" w:type="dxa"/>
            <w:bottom w:w="0" w:type="dxa"/>
            <w:right w:w="108" w:type="dxa"/>
          </w:tblCellMar>
        </w:tblPrEx>
        <w:trPr>
          <w:trHeight w:val="930" w:hRule="atLeast"/>
          <w:jc w:val="center"/>
        </w:trPr>
        <w:tc>
          <w:tcPr>
            <w:tcW w:w="1560" w:type="dxa"/>
            <w:tcBorders>
              <w:top w:val="single" w:color="auto" w:sz="4" w:space="0"/>
              <w:left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加分项</w:t>
            </w:r>
          </w:p>
        </w:tc>
        <w:tc>
          <w:tcPr>
            <w:tcW w:w="4680"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jc w:val="left"/>
              <w:rPr>
                <w:rFonts w:hint="eastAsia" w:ascii="宋体" w:hAnsi="宋体" w:cs="宋体"/>
                <w:color w:val="FF0000"/>
                <w:kern w:val="0"/>
                <w:sz w:val="22"/>
              </w:rPr>
            </w:pPr>
            <w:r>
              <w:rPr>
                <w:rFonts w:hint="eastAsia" w:ascii="宋体" w:hAnsi="宋体" w:eastAsia="宋体" w:cs="宋体"/>
                <w:kern w:val="0"/>
                <w:sz w:val="22"/>
              </w:rPr>
              <w:t>协助培训本院信息安全人员参与市级以上信息安全技能比赛取得名次第一到第三名，加分</w:t>
            </w:r>
            <w:r>
              <w:rPr>
                <w:rFonts w:hint="eastAsia" w:ascii="宋体" w:hAnsi="宋体" w:eastAsia="宋体" w:cs="宋体"/>
                <w:kern w:val="0"/>
                <w:sz w:val="22"/>
                <w:lang w:val="en-US" w:eastAsia="zh-CN"/>
              </w:rPr>
              <w:t>3</w:t>
            </w:r>
            <w:r>
              <w:rPr>
                <w:rFonts w:hint="eastAsia" w:ascii="宋体" w:hAnsi="宋体" w:eastAsia="宋体" w:cs="宋体"/>
                <w:kern w:val="0"/>
                <w:sz w:val="22"/>
              </w:rPr>
              <w:t>-</w:t>
            </w:r>
            <w:r>
              <w:rPr>
                <w:rFonts w:hint="eastAsia" w:ascii="宋体" w:hAnsi="宋体" w:eastAsia="宋体" w:cs="宋体"/>
                <w:kern w:val="0"/>
                <w:sz w:val="22"/>
                <w:lang w:val="en-US" w:eastAsia="zh-CN"/>
              </w:rPr>
              <w:t>1</w:t>
            </w:r>
            <w:r>
              <w:rPr>
                <w:rFonts w:hint="eastAsia" w:ascii="宋体" w:hAnsi="宋体" w:eastAsia="宋体" w:cs="宋体"/>
                <w:kern w:val="0"/>
                <w:sz w:val="22"/>
              </w:rPr>
              <w:t>分（按次最多加3分），省级依次翻倍。</w:t>
            </w:r>
          </w:p>
        </w:tc>
        <w:tc>
          <w:tcPr>
            <w:tcW w:w="204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FF0000"/>
                <w:kern w:val="0"/>
                <w:sz w:val="22"/>
              </w:rPr>
            </w:pPr>
            <w:r>
              <w:rPr>
                <w:rFonts w:hint="eastAsia" w:ascii="宋体" w:hAnsi="宋体" w:eastAsia="宋体" w:cs="宋体"/>
                <w:kern w:val="0"/>
                <w:sz w:val="22"/>
              </w:rPr>
              <w:t>+3分</w:t>
            </w:r>
          </w:p>
        </w:tc>
      </w:tr>
    </w:tbl>
    <w:p>
      <w:pPr>
        <w:spacing w:line="360" w:lineRule="auto"/>
        <w:ind w:left="1" w:firstLine="480" w:firstLineChars="200"/>
        <w:rPr>
          <w:rFonts w:ascii="宋体" w:hAnsi="宋体"/>
          <w:sz w:val="24"/>
          <w:szCs w:val="24"/>
        </w:rPr>
      </w:pPr>
    </w:p>
    <w:p>
      <w:pPr>
        <w:spacing w:line="360" w:lineRule="auto"/>
        <w:ind w:left="1" w:firstLine="480" w:firstLineChars="200"/>
        <w:rPr>
          <w:rFonts w:ascii="宋体" w:hAnsi="宋体"/>
          <w:sz w:val="24"/>
          <w:szCs w:val="24"/>
        </w:rPr>
      </w:pPr>
      <w:r>
        <w:rPr>
          <w:rFonts w:hint="eastAsia" w:ascii="宋体" w:hAnsi="宋体"/>
          <w:sz w:val="24"/>
          <w:szCs w:val="24"/>
        </w:rPr>
        <w:t>2、基于医院信息安全的维保是一个长期战略性目标，为保证项目稳定，服务商考核评分为9</w:t>
      </w:r>
      <w:r>
        <w:rPr>
          <w:rFonts w:ascii="宋体" w:hAnsi="宋体"/>
          <w:sz w:val="24"/>
          <w:szCs w:val="24"/>
        </w:rPr>
        <w:t>0</w:t>
      </w:r>
      <w:r>
        <w:rPr>
          <w:rFonts w:hint="eastAsia" w:ascii="宋体" w:hAnsi="宋体"/>
          <w:sz w:val="24"/>
          <w:szCs w:val="24"/>
        </w:rPr>
        <w:t>分及以上，可按合同继续执行下一年度维保。</w:t>
      </w:r>
    </w:p>
    <w:p>
      <w:pPr>
        <w:spacing w:line="360" w:lineRule="auto"/>
        <w:ind w:left="1" w:firstLine="480" w:firstLineChars="200"/>
        <w:rPr>
          <w:rFonts w:ascii="宋体" w:hAnsi="宋体"/>
          <w:sz w:val="24"/>
          <w:szCs w:val="24"/>
        </w:rPr>
      </w:pPr>
      <w:r>
        <w:rPr>
          <w:rFonts w:hint="eastAsia" w:ascii="宋体" w:hAnsi="宋体"/>
          <w:sz w:val="24"/>
          <w:szCs w:val="24"/>
        </w:rPr>
        <w:t>3、年度评分90分-70分，本院有权决定下一年度服务合作方向及评分，依据医院实际情况决定是否继续执行次年合同或合同终止重新招标。</w:t>
      </w:r>
    </w:p>
    <w:p>
      <w:pPr>
        <w:spacing w:line="360" w:lineRule="auto"/>
        <w:ind w:left="1"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、为保证服务质量，任意年度服务考核如服务商得分为70分及以下，则自动终止下一年度服务合作计划，并且重新招标。</w:t>
      </w:r>
    </w:p>
    <w:p>
      <w:pPr>
        <w:pStyle w:val="2"/>
        <w:numPr>
          <w:ilvl w:val="0"/>
          <w:numId w:val="2"/>
        </w:numPr>
        <w:jc w:val="left"/>
      </w:pPr>
      <w:r>
        <w:rPr>
          <w:rFonts w:hint="eastAsia"/>
        </w:rPr>
        <w:t>付款条件</w:t>
      </w:r>
    </w:p>
    <w:p>
      <w:pPr>
        <w:spacing w:line="360" w:lineRule="auto"/>
        <w:ind w:left="1" w:firstLine="480" w:firstLineChars="200"/>
        <w:rPr>
          <w:rFonts w:hint="eastAsia" w:ascii="宋体" w:hAnsi="宋体"/>
          <w:sz w:val="24"/>
          <w:szCs w:val="24"/>
        </w:rPr>
      </w:pPr>
      <w:r>
        <w:rPr>
          <w:rFonts w:hint="eastAsia" w:ascii="宋体" w:hAnsi="宋体"/>
          <w:sz w:val="24"/>
          <w:szCs w:val="24"/>
        </w:rPr>
        <w:t>第一年度考核评分为80分及以上，支付合同总价按年50%</w:t>
      </w:r>
      <w:r>
        <w:rPr>
          <w:rFonts w:hint="eastAsia" w:ascii="宋体" w:hAnsi="宋体"/>
          <w:sz w:val="24"/>
          <w:szCs w:val="24"/>
          <w:lang w:val="en-US" w:eastAsia="zh-CN"/>
        </w:rPr>
        <w:t>第一年度考核</w:t>
      </w:r>
      <w:r>
        <w:rPr>
          <w:rFonts w:hint="eastAsia" w:ascii="宋体" w:hAnsi="宋体"/>
          <w:sz w:val="24"/>
          <w:szCs w:val="24"/>
        </w:rPr>
        <w:t>款；如考核评分区间为70--80分则支付按年30%</w:t>
      </w:r>
      <w:r>
        <w:rPr>
          <w:rFonts w:hint="eastAsia" w:ascii="宋体" w:hAnsi="宋体"/>
          <w:sz w:val="24"/>
          <w:szCs w:val="24"/>
          <w:lang w:val="en-US" w:eastAsia="zh-CN"/>
        </w:rPr>
        <w:t>第一年度考核</w:t>
      </w:r>
      <w:r>
        <w:rPr>
          <w:rFonts w:hint="eastAsia" w:ascii="宋体" w:hAnsi="宋体"/>
          <w:sz w:val="24"/>
          <w:szCs w:val="24"/>
        </w:rPr>
        <w:t>款。70分以下支付按年20%</w:t>
      </w:r>
      <w:r>
        <w:rPr>
          <w:rFonts w:hint="eastAsia" w:ascii="宋体" w:hAnsi="宋体"/>
          <w:sz w:val="24"/>
          <w:szCs w:val="24"/>
          <w:lang w:val="en-US" w:eastAsia="zh-CN"/>
        </w:rPr>
        <w:t>第一年度考核</w:t>
      </w:r>
      <w:r>
        <w:rPr>
          <w:rFonts w:hint="eastAsia" w:ascii="宋体" w:hAnsi="宋体"/>
          <w:sz w:val="24"/>
          <w:szCs w:val="24"/>
        </w:rPr>
        <w:t>款。</w:t>
      </w:r>
    </w:p>
    <w:p>
      <w:pPr>
        <w:spacing w:line="360" w:lineRule="auto"/>
        <w:ind w:left="1" w:firstLine="480" w:firstLineChars="200"/>
        <w:rPr>
          <w:rFonts w:hint="eastAsia" w:ascii="宋体" w:hAnsi="宋体"/>
          <w:sz w:val="24"/>
          <w:szCs w:val="24"/>
        </w:rPr>
      </w:pPr>
      <w:bookmarkStart w:id="27" w:name="OLE_LINK1"/>
      <w:r>
        <w:rPr>
          <w:rFonts w:hint="eastAsia" w:ascii="宋体" w:hAnsi="宋体"/>
          <w:sz w:val="24"/>
          <w:szCs w:val="24"/>
        </w:rPr>
        <w:t>第二年度考核</w:t>
      </w:r>
      <w:bookmarkEnd w:id="27"/>
      <w:r>
        <w:rPr>
          <w:rFonts w:hint="eastAsia" w:ascii="宋体" w:hAnsi="宋体"/>
          <w:sz w:val="24"/>
          <w:szCs w:val="24"/>
        </w:rPr>
        <w:t>评分为80分及以上，支付合同总价按年50%第二年度考核款；如考核评分区间为70--80分则支付按年30%第二年度考核款。70分以下支付按年20%第二年度考核款。</w:t>
      </w:r>
    </w:p>
    <w:p>
      <w:pPr>
        <w:ind w:firstLine="562" w:firstLineChars="200"/>
        <w:jc w:val="left"/>
        <w:rPr>
          <w:rFonts w:ascii="宋体" w:hAnsi="宋体"/>
          <w:b/>
          <w:bCs/>
          <w:sz w:val="28"/>
          <w:szCs w:val="28"/>
        </w:rPr>
      </w:pPr>
      <w:r>
        <w:rPr>
          <w:rFonts w:hint="eastAsia" w:ascii="宋体" w:hAnsi="宋体"/>
          <w:b/>
          <w:bCs/>
          <w:sz w:val="28"/>
          <w:szCs w:val="28"/>
        </w:rPr>
        <w:t>项目价格</w:t>
      </w:r>
    </w:p>
    <w:p>
      <w:pPr>
        <w:jc w:val="left"/>
        <w:rPr>
          <w:rFonts w:hint="eastAsia" w:ascii="宋体" w:hAnsi="宋体"/>
          <w:sz w:val="24"/>
          <w:szCs w:val="24"/>
        </w:rPr>
      </w:pPr>
    </w:p>
    <w:tbl>
      <w:tblPr>
        <w:tblStyle w:val="3"/>
        <w:tblW w:w="7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760"/>
        <w:gridCol w:w="3013"/>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080" w:type="dxa"/>
            <w:shd w:val="clear" w:color="auto" w:fill="EEECE1"/>
            <w:noWrap w:val="0"/>
            <w:vAlign w:val="center"/>
          </w:tcPr>
          <w:p>
            <w:pPr>
              <w:jc w:val="center"/>
              <w:rPr>
                <w:rFonts w:ascii="宋体"/>
                <w:b/>
                <w:szCs w:val="21"/>
              </w:rPr>
            </w:pPr>
            <w:r>
              <w:rPr>
                <w:rFonts w:hint="eastAsia" w:ascii="宋体"/>
                <w:b/>
                <w:szCs w:val="21"/>
              </w:rPr>
              <w:t>采购内容</w:t>
            </w:r>
          </w:p>
        </w:tc>
        <w:tc>
          <w:tcPr>
            <w:tcW w:w="760" w:type="dxa"/>
            <w:shd w:val="clear" w:color="auto" w:fill="EEECE1"/>
            <w:noWrap w:val="0"/>
            <w:vAlign w:val="center"/>
          </w:tcPr>
          <w:p>
            <w:pPr>
              <w:jc w:val="center"/>
              <w:rPr>
                <w:rFonts w:ascii="宋体"/>
                <w:b/>
                <w:szCs w:val="21"/>
              </w:rPr>
            </w:pPr>
            <w:r>
              <w:rPr>
                <w:rFonts w:hint="eastAsia" w:ascii="宋体"/>
                <w:b/>
                <w:szCs w:val="21"/>
              </w:rPr>
              <w:t>数量</w:t>
            </w:r>
          </w:p>
        </w:tc>
        <w:tc>
          <w:tcPr>
            <w:tcW w:w="3013" w:type="dxa"/>
            <w:shd w:val="clear" w:color="auto" w:fill="EEECE1"/>
            <w:noWrap w:val="0"/>
            <w:vAlign w:val="center"/>
          </w:tcPr>
          <w:p>
            <w:pPr>
              <w:jc w:val="center"/>
              <w:rPr>
                <w:rFonts w:ascii="宋体"/>
                <w:b/>
                <w:szCs w:val="21"/>
              </w:rPr>
            </w:pPr>
            <w:r>
              <w:rPr>
                <w:rFonts w:hint="eastAsia" w:ascii="宋体"/>
                <w:b/>
                <w:szCs w:val="21"/>
              </w:rPr>
              <w:t>完成期</w:t>
            </w:r>
          </w:p>
        </w:tc>
        <w:tc>
          <w:tcPr>
            <w:tcW w:w="1855" w:type="dxa"/>
            <w:shd w:val="clear" w:color="auto" w:fill="EEECE1"/>
            <w:noWrap w:val="0"/>
            <w:vAlign w:val="center"/>
          </w:tcPr>
          <w:p>
            <w:pPr>
              <w:jc w:val="center"/>
              <w:rPr>
                <w:rFonts w:ascii="宋体"/>
                <w:b/>
                <w:szCs w:val="21"/>
              </w:rPr>
            </w:pPr>
            <w:r>
              <w:rPr>
                <w:rFonts w:hint="eastAsia" w:ascii="宋体"/>
                <w:b/>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080" w:type="dxa"/>
            <w:noWrap w:val="0"/>
            <w:vAlign w:val="center"/>
          </w:tcPr>
          <w:p>
            <w:pPr>
              <w:jc w:val="center"/>
              <w:rPr>
                <w:rFonts w:ascii="宋体"/>
                <w:bCs/>
                <w:szCs w:val="21"/>
              </w:rPr>
            </w:pPr>
            <w:r>
              <w:rPr>
                <w:rFonts w:hint="eastAsia" w:ascii="宋体"/>
                <w:bCs/>
                <w:szCs w:val="21"/>
              </w:rPr>
              <w:t>信息系统安全服务</w:t>
            </w:r>
          </w:p>
          <w:p>
            <w:pPr>
              <w:jc w:val="center"/>
              <w:rPr>
                <w:rFonts w:hint="eastAsia" w:ascii="宋体"/>
                <w:bCs/>
                <w:szCs w:val="21"/>
              </w:rPr>
            </w:pPr>
            <w:r>
              <w:rPr>
                <w:rFonts w:hint="eastAsia" w:ascii="宋体"/>
                <w:bCs/>
                <w:szCs w:val="21"/>
              </w:rPr>
              <w:t>（两年）</w:t>
            </w:r>
          </w:p>
        </w:tc>
        <w:tc>
          <w:tcPr>
            <w:tcW w:w="760" w:type="dxa"/>
            <w:noWrap w:val="0"/>
            <w:vAlign w:val="center"/>
          </w:tcPr>
          <w:p>
            <w:pPr>
              <w:jc w:val="center"/>
              <w:rPr>
                <w:rFonts w:ascii="宋体"/>
                <w:bCs/>
                <w:szCs w:val="21"/>
              </w:rPr>
            </w:pPr>
            <w:r>
              <w:rPr>
                <w:rFonts w:hint="eastAsia" w:ascii="宋体"/>
                <w:bCs/>
                <w:szCs w:val="21"/>
              </w:rPr>
              <w:t>一项</w:t>
            </w:r>
          </w:p>
        </w:tc>
        <w:tc>
          <w:tcPr>
            <w:tcW w:w="3013" w:type="dxa"/>
            <w:noWrap w:val="0"/>
            <w:vAlign w:val="center"/>
          </w:tcPr>
          <w:p>
            <w:pPr>
              <w:pStyle w:val="6"/>
              <w:spacing w:line="240" w:lineRule="auto"/>
              <w:ind w:hanging="67"/>
              <w:rPr>
                <w:spacing w:val="0"/>
                <w:kern w:val="2"/>
                <w:sz w:val="21"/>
                <w:szCs w:val="24"/>
              </w:rPr>
            </w:pPr>
            <w:r>
              <w:rPr>
                <w:rFonts w:hint="eastAsia" w:ascii="宋体" w:hAnsi="宋体"/>
                <w:spacing w:val="0"/>
                <w:kern w:val="2"/>
                <w:sz w:val="21"/>
                <w:szCs w:val="21"/>
              </w:rPr>
              <w:t>自合同签订之日起</w:t>
            </w:r>
            <w:r>
              <w:rPr>
                <w:rFonts w:hint="eastAsia" w:ascii="宋体" w:hAnsi="宋体"/>
                <w:spacing w:val="0"/>
                <w:kern w:val="2"/>
                <w:sz w:val="21"/>
                <w:szCs w:val="21"/>
                <w:u w:val="single"/>
              </w:rPr>
              <w:t>2年</w:t>
            </w:r>
            <w:r>
              <w:rPr>
                <w:rFonts w:hint="eastAsia" w:ascii="宋体" w:hAnsi="宋体"/>
                <w:spacing w:val="0"/>
                <w:kern w:val="2"/>
                <w:sz w:val="21"/>
                <w:szCs w:val="21"/>
              </w:rPr>
              <w:t>内</w:t>
            </w:r>
          </w:p>
        </w:tc>
        <w:tc>
          <w:tcPr>
            <w:tcW w:w="1855" w:type="dxa"/>
            <w:noWrap w:val="0"/>
            <w:vAlign w:val="center"/>
          </w:tcPr>
          <w:p>
            <w:pPr>
              <w:pStyle w:val="6"/>
              <w:spacing w:line="240" w:lineRule="auto"/>
              <w:ind w:firstLine="120"/>
              <w:rPr>
                <w:spacing w:val="0"/>
                <w:kern w:val="2"/>
                <w:sz w:val="21"/>
                <w:szCs w:val="24"/>
              </w:rPr>
            </w:pPr>
            <w:r>
              <w:rPr>
                <w:rFonts w:hint="eastAsia" w:ascii="宋体" w:hAnsi="宋体"/>
                <w:spacing w:val="0"/>
                <w:kern w:val="2"/>
                <w:sz w:val="21"/>
                <w:szCs w:val="21"/>
              </w:rPr>
              <w:t>依据审计及招标管理科组织的项目询价会议确定最高限价。</w:t>
            </w:r>
          </w:p>
        </w:tc>
      </w:tr>
    </w:tbl>
    <w:p>
      <w:pPr>
        <w:pStyle w:val="2"/>
        <w:numPr>
          <w:ilvl w:val="0"/>
          <w:numId w:val="2"/>
        </w:numPr>
        <w:jc w:val="left"/>
      </w:pPr>
      <w:r>
        <w:rPr>
          <w:rFonts w:hint="eastAsia"/>
        </w:rPr>
        <w:t>报价明细表</w:t>
      </w:r>
    </w:p>
    <w:p>
      <w:pPr>
        <w:rPr>
          <w:rFonts w:hint="eastAsia"/>
        </w:rPr>
      </w:pPr>
    </w:p>
    <w:tbl>
      <w:tblPr>
        <w:tblStyle w:val="3"/>
        <w:tblW w:w="7792" w:type="dxa"/>
        <w:jc w:val="center"/>
        <w:tblLayout w:type="autofit"/>
        <w:tblCellMar>
          <w:top w:w="0" w:type="dxa"/>
          <w:left w:w="108" w:type="dxa"/>
          <w:bottom w:w="0" w:type="dxa"/>
          <w:right w:w="108" w:type="dxa"/>
        </w:tblCellMar>
      </w:tblPr>
      <w:tblGrid>
        <w:gridCol w:w="1180"/>
        <w:gridCol w:w="2532"/>
        <w:gridCol w:w="1670"/>
        <w:gridCol w:w="2410"/>
      </w:tblGrid>
      <w:tr>
        <w:tblPrEx>
          <w:tblCellMar>
            <w:top w:w="0" w:type="dxa"/>
            <w:left w:w="108" w:type="dxa"/>
            <w:bottom w:w="0" w:type="dxa"/>
            <w:right w:w="108" w:type="dxa"/>
          </w:tblCellMar>
        </w:tblPrEx>
        <w:trPr>
          <w:trHeight w:val="270" w:hRule="atLeast"/>
          <w:jc w:val="center"/>
        </w:trPr>
        <w:tc>
          <w:tcPr>
            <w:tcW w:w="11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b/>
                <w:bCs/>
                <w:kern w:val="0"/>
                <w:sz w:val="22"/>
              </w:rPr>
            </w:pPr>
            <w:r>
              <w:rPr>
                <w:rFonts w:hint="eastAsia" w:ascii="宋体" w:hAnsi="宋体" w:cs="宋体"/>
                <w:b/>
                <w:bCs/>
                <w:kern w:val="0"/>
                <w:sz w:val="22"/>
              </w:rPr>
              <w:t>服务名称</w:t>
            </w:r>
          </w:p>
        </w:tc>
        <w:tc>
          <w:tcPr>
            <w:tcW w:w="253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b/>
                <w:bCs/>
                <w:kern w:val="0"/>
                <w:sz w:val="22"/>
              </w:rPr>
            </w:pPr>
            <w:r>
              <w:rPr>
                <w:rFonts w:hint="eastAsia" w:ascii="宋体" w:hAnsi="宋体" w:cs="宋体"/>
                <w:b/>
                <w:bCs/>
                <w:kern w:val="0"/>
                <w:sz w:val="22"/>
              </w:rPr>
              <w:t>服务内容</w:t>
            </w:r>
          </w:p>
        </w:tc>
        <w:tc>
          <w:tcPr>
            <w:tcW w:w="167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b/>
                <w:bCs/>
                <w:kern w:val="0"/>
                <w:sz w:val="22"/>
              </w:rPr>
            </w:pPr>
            <w:r>
              <w:rPr>
                <w:rFonts w:hint="eastAsia" w:ascii="宋体" w:hAnsi="宋体" w:cs="宋体"/>
                <w:b/>
                <w:bCs/>
                <w:kern w:val="0"/>
                <w:sz w:val="22"/>
              </w:rPr>
              <w:t>形式</w:t>
            </w:r>
          </w:p>
        </w:tc>
        <w:tc>
          <w:tcPr>
            <w:tcW w:w="241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b/>
                <w:bCs/>
                <w:kern w:val="0"/>
                <w:sz w:val="22"/>
              </w:rPr>
            </w:pPr>
            <w:r>
              <w:rPr>
                <w:rFonts w:hint="eastAsia" w:ascii="宋体" w:hAnsi="宋体" w:cs="宋体"/>
                <w:b/>
                <w:bCs/>
                <w:kern w:val="0"/>
                <w:sz w:val="22"/>
              </w:rPr>
              <w:t>报价</w:t>
            </w:r>
          </w:p>
        </w:tc>
      </w:tr>
      <w:tr>
        <w:tblPrEx>
          <w:tblCellMar>
            <w:top w:w="0" w:type="dxa"/>
            <w:left w:w="108" w:type="dxa"/>
            <w:bottom w:w="0" w:type="dxa"/>
            <w:right w:w="108" w:type="dxa"/>
          </w:tblCellMar>
        </w:tblPrEx>
        <w:trPr>
          <w:trHeight w:val="480" w:hRule="atLeast"/>
          <w:jc w:val="center"/>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等线" w:hAnsi="等线" w:eastAsia="等线" w:cs="宋体"/>
                <w:b/>
                <w:bCs/>
                <w:kern w:val="0"/>
                <w:sz w:val="22"/>
              </w:rPr>
            </w:pPr>
          </w:p>
          <w:p>
            <w:pPr>
              <w:widowControl/>
              <w:jc w:val="center"/>
              <w:rPr>
                <w:rFonts w:ascii="等线" w:hAnsi="等线" w:eastAsia="等线" w:cs="宋体"/>
                <w:b/>
                <w:bCs/>
                <w:kern w:val="0"/>
                <w:sz w:val="22"/>
              </w:rPr>
            </w:pPr>
          </w:p>
          <w:p>
            <w:pPr>
              <w:widowControl/>
              <w:jc w:val="center"/>
              <w:rPr>
                <w:rFonts w:ascii="等线" w:hAnsi="等线" w:eastAsia="等线" w:cs="宋体"/>
                <w:b/>
                <w:bCs/>
                <w:kern w:val="0"/>
                <w:sz w:val="22"/>
              </w:rPr>
            </w:pPr>
          </w:p>
          <w:p>
            <w:pPr>
              <w:widowControl/>
              <w:jc w:val="center"/>
              <w:rPr>
                <w:rFonts w:ascii="等线" w:hAnsi="等线" w:eastAsia="等线" w:cs="宋体"/>
                <w:b/>
                <w:bCs/>
                <w:kern w:val="0"/>
                <w:sz w:val="22"/>
              </w:rPr>
            </w:pPr>
          </w:p>
          <w:p>
            <w:pPr>
              <w:widowControl/>
              <w:jc w:val="center"/>
              <w:rPr>
                <w:rFonts w:hint="eastAsia" w:ascii="等线" w:hAnsi="等线" w:eastAsia="等线" w:cs="宋体"/>
                <w:b/>
                <w:bCs/>
                <w:kern w:val="0"/>
                <w:sz w:val="22"/>
              </w:rPr>
            </w:pPr>
            <w:r>
              <w:rPr>
                <w:rFonts w:hint="eastAsia" w:ascii="等线" w:hAnsi="等线" w:eastAsia="等线" w:cs="宋体"/>
                <w:b/>
                <w:bCs/>
                <w:kern w:val="0"/>
                <w:sz w:val="22"/>
              </w:rPr>
              <w:t>佛山市第一人民医院信息系统安全服务</w:t>
            </w:r>
          </w:p>
        </w:tc>
        <w:tc>
          <w:tcPr>
            <w:tcW w:w="2532"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驻点安全值守服务</w:t>
            </w:r>
          </w:p>
        </w:tc>
        <w:tc>
          <w:tcPr>
            <w:tcW w:w="167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现场</w:t>
            </w:r>
          </w:p>
        </w:tc>
        <w:tc>
          <w:tcPr>
            <w:tcW w:w="241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480"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b/>
                <w:bCs/>
                <w:kern w:val="0"/>
                <w:sz w:val="22"/>
              </w:rPr>
            </w:pPr>
          </w:p>
        </w:tc>
        <w:tc>
          <w:tcPr>
            <w:tcW w:w="2532"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等级保护安全整改服务</w:t>
            </w:r>
          </w:p>
        </w:tc>
        <w:tc>
          <w:tcPr>
            <w:tcW w:w="167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现场</w:t>
            </w:r>
          </w:p>
        </w:tc>
        <w:tc>
          <w:tcPr>
            <w:tcW w:w="241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80"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b/>
                <w:bCs/>
                <w:kern w:val="0"/>
                <w:sz w:val="22"/>
              </w:rPr>
            </w:pPr>
          </w:p>
        </w:tc>
        <w:tc>
          <w:tcPr>
            <w:tcW w:w="2532"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7X24小时应急保障服务</w:t>
            </w:r>
          </w:p>
        </w:tc>
        <w:tc>
          <w:tcPr>
            <w:tcW w:w="167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现场</w:t>
            </w:r>
          </w:p>
        </w:tc>
        <w:tc>
          <w:tcPr>
            <w:tcW w:w="241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80"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b/>
                <w:bCs/>
                <w:kern w:val="0"/>
                <w:sz w:val="22"/>
              </w:rPr>
            </w:pPr>
          </w:p>
        </w:tc>
        <w:tc>
          <w:tcPr>
            <w:tcW w:w="2532"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安全巡检服务</w:t>
            </w:r>
          </w:p>
        </w:tc>
        <w:tc>
          <w:tcPr>
            <w:tcW w:w="167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现场</w:t>
            </w:r>
          </w:p>
        </w:tc>
        <w:tc>
          <w:tcPr>
            <w:tcW w:w="241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80"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b/>
                <w:bCs/>
                <w:kern w:val="0"/>
                <w:sz w:val="22"/>
              </w:rPr>
            </w:pPr>
          </w:p>
        </w:tc>
        <w:tc>
          <w:tcPr>
            <w:tcW w:w="2532"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安全基线核查服务</w:t>
            </w:r>
          </w:p>
        </w:tc>
        <w:tc>
          <w:tcPr>
            <w:tcW w:w="167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现场</w:t>
            </w:r>
          </w:p>
        </w:tc>
        <w:tc>
          <w:tcPr>
            <w:tcW w:w="241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80"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b/>
                <w:bCs/>
                <w:kern w:val="0"/>
                <w:sz w:val="22"/>
              </w:rPr>
            </w:pPr>
          </w:p>
        </w:tc>
        <w:tc>
          <w:tcPr>
            <w:tcW w:w="2532"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漏洞扫描服务</w:t>
            </w:r>
          </w:p>
        </w:tc>
        <w:tc>
          <w:tcPr>
            <w:tcW w:w="167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现场</w:t>
            </w:r>
          </w:p>
        </w:tc>
        <w:tc>
          <w:tcPr>
            <w:tcW w:w="241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80"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b/>
                <w:bCs/>
                <w:kern w:val="0"/>
                <w:sz w:val="22"/>
              </w:rPr>
            </w:pPr>
          </w:p>
        </w:tc>
        <w:tc>
          <w:tcPr>
            <w:tcW w:w="2532"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系统安全性评估服务</w:t>
            </w:r>
          </w:p>
        </w:tc>
        <w:tc>
          <w:tcPr>
            <w:tcW w:w="167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现场</w:t>
            </w:r>
          </w:p>
        </w:tc>
        <w:tc>
          <w:tcPr>
            <w:tcW w:w="241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80"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b/>
                <w:bCs/>
                <w:kern w:val="0"/>
                <w:sz w:val="22"/>
              </w:rPr>
            </w:pPr>
          </w:p>
        </w:tc>
        <w:tc>
          <w:tcPr>
            <w:tcW w:w="2532"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全网病毒态势分析服务</w:t>
            </w:r>
          </w:p>
        </w:tc>
        <w:tc>
          <w:tcPr>
            <w:tcW w:w="167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现场</w:t>
            </w:r>
          </w:p>
        </w:tc>
        <w:tc>
          <w:tcPr>
            <w:tcW w:w="241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510"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b/>
                <w:bCs/>
                <w:kern w:val="0"/>
                <w:sz w:val="22"/>
              </w:rPr>
            </w:pPr>
          </w:p>
        </w:tc>
        <w:tc>
          <w:tcPr>
            <w:tcW w:w="2532"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cs="Calibri"/>
                <w:kern w:val="0"/>
                <w:sz w:val="20"/>
                <w:szCs w:val="20"/>
              </w:rPr>
            </w:pPr>
            <w:r>
              <w:rPr>
                <w:rFonts w:hint="eastAsia" w:cs="Calibri"/>
                <w:kern w:val="0"/>
                <w:sz w:val="20"/>
                <w:szCs w:val="20"/>
              </w:rPr>
              <w:t xml:space="preserve">安全迎检服务 </w:t>
            </w:r>
          </w:p>
        </w:tc>
        <w:tc>
          <w:tcPr>
            <w:tcW w:w="167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现场</w:t>
            </w:r>
          </w:p>
        </w:tc>
        <w:tc>
          <w:tcPr>
            <w:tcW w:w="241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80"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b/>
                <w:bCs/>
                <w:kern w:val="0"/>
                <w:sz w:val="22"/>
              </w:rPr>
            </w:pPr>
          </w:p>
        </w:tc>
        <w:tc>
          <w:tcPr>
            <w:tcW w:w="2532"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安全加固服务</w:t>
            </w:r>
          </w:p>
        </w:tc>
        <w:tc>
          <w:tcPr>
            <w:tcW w:w="167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现场</w:t>
            </w:r>
          </w:p>
        </w:tc>
        <w:tc>
          <w:tcPr>
            <w:tcW w:w="241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80"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b/>
                <w:bCs/>
                <w:kern w:val="0"/>
                <w:sz w:val="22"/>
              </w:rPr>
            </w:pPr>
          </w:p>
        </w:tc>
        <w:tc>
          <w:tcPr>
            <w:tcW w:w="2532"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安全教育与培训服务</w:t>
            </w:r>
          </w:p>
        </w:tc>
        <w:tc>
          <w:tcPr>
            <w:tcW w:w="167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现场</w:t>
            </w:r>
          </w:p>
        </w:tc>
        <w:tc>
          <w:tcPr>
            <w:tcW w:w="241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80"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b/>
                <w:bCs/>
                <w:kern w:val="0"/>
                <w:sz w:val="22"/>
              </w:rPr>
            </w:pPr>
          </w:p>
        </w:tc>
        <w:tc>
          <w:tcPr>
            <w:tcW w:w="2532"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应急演练服务</w:t>
            </w:r>
          </w:p>
        </w:tc>
        <w:tc>
          <w:tcPr>
            <w:tcW w:w="167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现场</w:t>
            </w:r>
          </w:p>
        </w:tc>
        <w:tc>
          <w:tcPr>
            <w:tcW w:w="241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80"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b/>
                <w:bCs/>
                <w:kern w:val="0"/>
                <w:sz w:val="22"/>
              </w:rPr>
            </w:pPr>
          </w:p>
        </w:tc>
        <w:tc>
          <w:tcPr>
            <w:tcW w:w="253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其它</w:t>
            </w:r>
          </w:p>
        </w:tc>
        <w:tc>
          <w:tcPr>
            <w:tcW w:w="1670" w:type="dxa"/>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 w:val="20"/>
                <w:szCs w:val="20"/>
              </w:rPr>
            </w:pPr>
          </w:p>
        </w:tc>
        <w:tc>
          <w:tcPr>
            <w:tcW w:w="241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95"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b/>
                <w:bCs/>
                <w:kern w:val="0"/>
                <w:sz w:val="22"/>
              </w:rPr>
            </w:pPr>
          </w:p>
        </w:tc>
        <w:tc>
          <w:tcPr>
            <w:tcW w:w="4202"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kern w:val="0"/>
                <w:sz w:val="20"/>
                <w:szCs w:val="20"/>
              </w:rPr>
            </w:pPr>
          </w:p>
        </w:tc>
        <w:tc>
          <w:tcPr>
            <w:tcW w:w="241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r>
    </w:tbl>
    <w:p>
      <w:pPr>
        <w:pStyle w:val="2"/>
        <w:numPr>
          <w:ilvl w:val="0"/>
          <w:numId w:val="2"/>
        </w:numPr>
        <w:jc w:val="left"/>
        <w:rPr>
          <w:rFonts w:hint="eastAsia"/>
        </w:rPr>
      </w:pPr>
      <w:r>
        <w:rPr>
          <w:rFonts w:hint="eastAsia"/>
        </w:rPr>
        <w:t>服务方案</w:t>
      </w:r>
    </w:p>
    <w:p>
      <w:pPr>
        <w:spacing w:line="480" w:lineRule="exact"/>
        <w:ind w:left="210" w:leftChars="100" w:firstLine="482" w:firstLineChars="200"/>
        <w:jc w:val="left"/>
        <w:outlineLvl w:val="1"/>
        <w:rPr>
          <w:rFonts w:ascii="等线" w:hAnsi="等线" w:cs="等线"/>
          <w:b/>
          <w:sz w:val="24"/>
          <w:szCs w:val="24"/>
        </w:rPr>
      </w:pPr>
      <w:r>
        <w:rPr>
          <w:rFonts w:hint="eastAsia" w:ascii="等线" w:hAnsi="等线" w:cs="等线"/>
          <w:b/>
          <w:sz w:val="24"/>
          <w:szCs w:val="24"/>
        </w:rPr>
        <w:t>9.1服务商需要提供详细服务方案，格式自拟。</w:t>
      </w:r>
    </w:p>
    <w:p>
      <w:pPr>
        <w:spacing w:line="480" w:lineRule="exact"/>
        <w:ind w:left="210" w:leftChars="100" w:firstLine="482" w:firstLineChars="200"/>
        <w:jc w:val="left"/>
        <w:outlineLvl w:val="1"/>
        <w:rPr>
          <w:rFonts w:ascii="等线" w:hAnsi="等线" w:cs="等线"/>
          <w:b/>
          <w:sz w:val="24"/>
          <w:szCs w:val="24"/>
        </w:rPr>
      </w:pPr>
      <w:r>
        <w:rPr>
          <w:rFonts w:hint="eastAsia" w:ascii="等线" w:hAnsi="等线" w:cs="等线"/>
          <w:b/>
          <w:sz w:val="24"/>
          <w:szCs w:val="24"/>
        </w:rPr>
        <w:t>9.2投标现场需讲解P</w:t>
      </w:r>
      <w:r>
        <w:rPr>
          <w:rFonts w:ascii="等线" w:hAnsi="等线" w:cs="等线"/>
          <w:b/>
          <w:sz w:val="24"/>
          <w:szCs w:val="24"/>
        </w:rPr>
        <w:t>PT</w:t>
      </w:r>
      <w:r>
        <w:rPr>
          <w:rFonts w:hint="eastAsia" w:ascii="等线" w:hAnsi="等线" w:cs="等线"/>
          <w:b/>
          <w:sz w:val="24"/>
          <w:szCs w:val="24"/>
        </w:rPr>
        <w:t>版本的服务方案，时长</w:t>
      </w:r>
      <w:r>
        <w:rPr>
          <w:rFonts w:hint="eastAsia" w:ascii="等线" w:hAnsi="等线" w:cs="等线"/>
          <w:b/>
          <w:sz w:val="24"/>
          <w:szCs w:val="24"/>
          <w:lang w:val="en-US" w:eastAsia="zh-CN"/>
        </w:rPr>
        <w:t>15</w:t>
      </w:r>
      <w:r>
        <w:rPr>
          <w:rFonts w:hint="eastAsia" w:ascii="等线" w:hAnsi="等线" w:cs="等线"/>
          <w:b/>
          <w:sz w:val="24"/>
          <w:szCs w:val="24"/>
        </w:rPr>
        <w:t>分钟内。</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E7D62"/>
    <w:multiLevelType w:val="multilevel"/>
    <w:tmpl w:val="18FE7D62"/>
    <w:lvl w:ilvl="0" w:tentative="0">
      <w:start w:val="1"/>
      <w:numFmt w:val="chineseCountingThousand"/>
      <w:pStyle w:val="2"/>
      <w:lvlText w:val="%1、"/>
      <w:lvlJc w:val="left"/>
      <w:pPr>
        <w:ind w:left="8642" w:hanging="420"/>
      </w:pPr>
      <w:rPr>
        <w:rFonts w:hint="default"/>
      </w:rPr>
    </w:lvl>
    <w:lvl w:ilvl="1" w:tentative="0">
      <w:start w:val="2"/>
      <w:numFmt w:val="decimal"/>
      <w:isLgl/>
      <w:lvlText w:val="%1.%2"/>
      <w:lvlJc w:val="left"/>
      <w:pPr>
        <w:ind w:left="-3946" w:hanging="600"/>
      </w:pPr>
      <w:rPr>
        <w:rFonts w:hint="default"/>
        <w:sz w:val="28"/>
      </w:rPr>
    </w:lvl>
    <w:lvl w:ilvl="2" w:tentative="0">
      <w:start w:val="1"/>
      <w:numFmt w:val="decimal"/>
      <w:isLgl/>
      <w:lvlText w:val="%1.%2.%3"/>
      <w:lvlJc w:val="left"/>
      <w:pPr>
        <w:ind w:left="-3406" w:hanging="720"/>
      </w:pPr>
      <w:rPr>
        <w:rFonts w:hint="default"/>
        <w:sz w:val="28"/>
      </w:rPr>
    </w:lvl>
    <w:lvl w:ilvl="3" w:tentative="0">
      <w:start w:val="1"/>
      <w:numFmt w:val="decimal"/>
      <w:isLgl/>
      <w:lvlText w:val="%1.%2.%3.%4"/>
      <w:lvlJc w:val="left"/>
      <w:pPr>
        <w:ind w:left="-2986" w:hanging="720"/>
      </w:pPr>
      <w:rPr>
        <w:rFonts w:hint="default"/>
        <w:sz w:val="28"/>
      </w:rPr>
    </w:lvl>
    <w:lvl w:ilvl="4" w:tentative="0">
      <w:start w:val="1"/>
      <w:numFmt w:val="decimal"/>
      <w:isLgl/>
      <w:lvlText w:val="%1.%2.%3.%4.%5"/>
      <w:lvlJc w:val="left"/>
      <w:pPr>
        <w:ind w:left="-2206" w:hanging="1080"/>
      </w:pPr>
      <w:rPr>
        <w:rFonts w:hint="default"/>
        <w:sz w:val="28"/>
      </w:rPr>
    </w:lvl>
    <w:lvl w:ilvl="5" w:tentative="0">
      <w:start w:val="1"/>
      <w:numFmt w:val="decimal"/>
      <w:isLgl/>
      <w:lvlText w:val="%1.%2.%3.%4.%5.%6"/>
      <w:lvlJc w:val="left"/>
      <w:pPr>
        <w:ind w:left="-1786" w:hanging="1080"/>
      </w:pPr>
      <w:rPr>
        <w:rFonts w:hint="default"/>
        <w:sz w:val="28"/>
      </w:rPr>
    </w:lvl>
    <w:lvl w:ilvl="6" w:tentative="0">
      <w:start w:val="1"/>
      <w:numFmt w:val="decimal"/>
      <w:isLgl/>
      <w:lvlText w:val="%1.%2.%3.%4.%5.%6.%7"/>
      <w:lvlJc w:val="left"/>
      <w:pPr>
        <w:ind w:left="-1366" w:hanging="1080"/>
      </w:pPr>
      <w:rPr>
        <w:rFonts w:hint="default"/>
        <w:sz w:val="28"/>
      </w:rPr>
    </w:lvl>
    <w:lvl w:ilvl="7" w:tentative="0">
      <w:start w:val="1"/>
      <w:numFmt w:val="decimal"/>
      <w:isLgl/>
      <w:lvlText w:val="%1.%2.%3.%4.%5.%6.%7.%8"/>
      <w:lvlJc w:val="left"/>
      <w:pPr>
        <w:ind w:left="-586" w:hanging="1440"/>
      </w:pPr>
      <w:rPr>
        <w:rFonts w:hint="default"/>
        <w:sz w:val="28"/>
      </w:rPr>
    </w:lvl>
    <w:lvl w:ilvl="8" w:tentative="0">
      <w:start w:val="1"/>
      <w:numFmt w:val="decimal"/>
      <w:isLgl/>
      <w:lvlText w:val="%1.%2.%3.%4.%5.%6.%7.%8.%9"/>
      <w:lvlJc w:val="left"/>
      <w:pPr>
        <w:ind w:left="-166" w:hanging="1440"/>
      </w:pPr>
      <w:rPr>
        <w:rFonts w:hint="default"/>
        <w:sz w:val="28"/>
      </w:rPr>
    </w:lvl>
  </w:abstractNum>
  <w:abstractNum w:abstractNumId="1">
    <w:nsid w:val="276452D9"/>
    <w:multiLevelType w:val="multilevel"/>
    <w:tmpl w:val="276452D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B0574C4"/>
    <w:multiLevelType w:val="multilevel"/>
    <w:tmpl w:val="3B0574C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4B7AE7"/>
    <w:multiLevelType w:val="multilevel"/>
    <w:tmpl w:val="604B7AE7"/>
    <w:lvl w:ilvl="0" w:tentative="0">
      <w:start w:val="1"/>
      <w:numFmt w:val="decimal"/>
      <w:lvlText w:val="%1"/>
      <w:lvlJc w:val="left"/>
      <w:pPr>
        <w:ind w:left="432" w:hanging="432"/>
      </w:pPr>
    </w:lvl>
    <w:lvl w:ilvl="1" w:tentative="0">
      <w:start w:val="1"/>
      <w:numFmt w:val="decimal"/>
      <w:lvlText w:val="4.%2"/>
      <w:lvlJc w:val="left"/>
      <w:pPr>
        <w:ind w:left="576" w:hanging="576"/>
      </w:pPr>
      <w:rPr>
        <w:rFonts w:hint="eastAsia"/>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672F0"/>
    <w:rsid w:val="428206C3"/>
    <w:rsid w:val="472B56CF"/>
    <w:rsid w:val="7C86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numPr>
        <w:ilvl w:val="0"/>
        <w:numId w:val="1"/>
      </w:numPr>
      <w:spacing w:before="120"/>
      <w:jc w:val="center"/>
      <w:outlineLvl w:val="0"/>
    </w:pPr>
    <w:rPr>
      <w:rFonts w:ascii="Times New Roman" w:hAnsi="Times New Roman" w:eastAsia="黑体"/>
      <w:kern w:val="44"/>
      <w:sz w:val="36"/>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列出段落1"/>
    <w:basedOn w:val="1"/>
    <w:qFormat/>
    <w:uiPriority w:val="34"/>
    <w:pPr>
      <w:ind w:firstLine="420" w:firstLineChars="200"/>
    </w:pPr>
  </w:style>
  <w:style w:type="paragraph" w:customStyle="1" w:styleId="6">
    <w:name w:val="图"/>
    <w:basedOn w:val="1"/>
    <w:qFormat/>
    <w:uiPriority w:val="0"/>
    <w:pPr>
      <w:keepNext/>
      <w:adjustRightInd w:val="0"/>
      <w:spacing w:before="60" w:after="60" w:line="300" w:lineRule="auto"/>
      <w:jc w:val="center"/>
      <w:textAlignment w:val="center"/>
    </w:pPr>
    <w:rPr>
      <w:snapToGrid/>
      <w:spacing w:val="2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2025-04-24T01:30:00Z</dcterms:created>
  <dc:creator>林晓怡</dc:creator>
  <cp:lastModifiedBy>林晓怡</cp:lastModifiedBy>
  <dcterms:modified xsi:type="dcterms:W3CDTF">2025-04-24T02:51:01Z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6276A71C37454637B176221783031377</vt:lpwstr>
  </property>
</Properties>
</file>