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441284-2025-00929</w:t>
      </w:r>
    </w:p>
    <w:p>
      <w:pPr>
        <w:pStyle w:val="null3"/>
        <w:jc w:val="center"/>
        <w:outlineLvl w:val="3"/>
      </w:pPr>
      <w:r>
        <w:rPr>
          <w:sz w:val="24"/>
          <w:b/>
        </w:rPr>
        <w:t>采购项目编号：</w:t>
      </w:r>
      <w:r>
        <w:rPr>
          <w:sz w:val="24"/>
          <w:b/>
        </w:rPr>
        <w:t>0809-2541SHG1B407</w:t>
      </w:r>
    </w:p>
    <w:p>
      <w:pPr>
        <w:pStyle w:val="null3"/>
        <w:jc w:val="center"/>
        <w:outlineLvl w:val="3"/>
      </w:pPr>
      <w:r>
        <w:rPr>
          <w:sz w:val="24"/>
          <w:b/>
        </w:rPr>
        <w:t>项目名称：</w:t>
      </w:r>
      <w:r>
        <w:rPr>
          <w:sz w:val="24"/>
          <w:b/>
        </w:rPr>
        <w:t>四会市2024年广东省农作物病虫疫情田间监测点建设项目</w:t>
      </w:r>
    </w:p>
    <w:p>
      <w:pPr>
        <w:pStyle w:val="null3"/>
        <w:jc w:val="center"/>
        <w:outlineLvl w:val="3"/>
      </w:pPr>
      <w:r>
        <w:rPr>
          <w:sz w:val="24"/>
          <w:b/>
        </w:rPr>
        <w:t>采购人：</w:t>
      </w:r>
      <w:r>
        <w:rPr>
          <w:sz w:val="24"/>
          <w:b/>
        </w:rPr>
        <w:t>四会市农业农村局</w:t>
      </w:r>
    </w:p>
    <w:p>
      <w:pPr>
        <w:pStyle w:val="null3"/>
        <w:jc w:val="center"/>
        <w:outlineLvl w:val="3"/>
      </w:pPr>
      <w:r>
        <w:rPr>
          <w:sz w:val="24"/>
          <w:b/>
        </w:rPr>
        <w:t>采购代理机构：</w:t>
      </w:r>
      <w:r>
        <w:rPr>
          <w:sz w:val="24"/>
          <w:b/>
        </w:rPr>
        <w:t>广东华伦招标有限公司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广东华伦招标有限公司</w:t>
      </w:r>
      <w:r>
        <w:rPr/>
        <w:t>受</w:t>
      </w:r>
      <w:r>
        <w:rPr/>
        <w:t>四会市农业农村局</w:t>
      </w:r>
      <w:r>
        <w:rPr/>
        <w:t>的委托，采用</w:t>
      </w:r>
      <w:r>
        <w:rPr/>
        <w:t>公开招标</w:t>
      </w:r>
      <w:r>
        <w:rPr/>
        <w:t>方式组织采购</w:t>
      </w:r>
      <w:r>
        <w:rPr/>
        <w:t>四会市2024年广东省农作物病虫疫情田间监测点建设项目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四会市2024年广东省农作物病虫疫情田间监测点建设项目</w:t>
      </w:r>
    </w:p>
    <w:p>
      <w:pPr>
        <w:pStyle w:val="null3"/>
        <w:ind w:firstLine="480"/>
      </w:pPr>
      <w:r>
        <w:rPr/>
        <w:t>采购计划编号：</w:t>
      </w:r>
      <w:r>
        <w:rPr/>
        <w:t>441284-2025-00929</w:t>
      </w:r>
    </w:p>
    <w:p>
      <w:pPr>
        <w:pStyle w:val="null3"/>
        <w:ind w:firstLine="480"/>
      </w:pPr>
      <w:r>
        <w:rPr/>
        <w:t>采购项目编号：</w:t>
      </w:r>
      <w:r>
        <w:rPr/>
        <w:t>0809-2541SHG1B407</w:t>
      </w:r>
    </w:p>
    <w:p>
      <w:pPr>
        <w:pStyle w:val="null3"/>
        <w:ind w:firstLine="480"/>
      </w:pPr>
      <w:r>
        <w:rPr/>
        <w:t>采购方式：</w:t>
      </w:r>
      <w:r>
        <w:rPr/>
        <w:t>公开招标</w:t>
      </w:r>
    </w:p>
    <w:p>
      <w:pPr>
        <w:pStyle w:val="null3"/>
        <w:ind w:firstLine="480"/>
      </w:pPr>
      <w:r>
        <w:rPr/>
        <w:t>预算金额：</w:t>
      </w:r>
      <w:r>
        <w:rPr/>
        <w:t>1,428,500.00</w:t>
      </w:r>
      <w:r>
        <w:rPr/>
        <w:t>元</w:t>
      </w:r>
    </w:p>
    <w:p>
      <w:pPr>
        <w:pStyle w:val="null3"/>
        <w:outlineLvl w:val="3"/>
      </w:pPr>
      <w:r>
        <w:rPr>
          <w:sz w:val="24"/>
          <w:b/>
        </w:rPr>
        <w:t>2.项目内容及需求情况（采购项目技术规格、参数及要求）</w:t>
      </w:r>
    </w:p>
    <w:p>
      <w:pPr>
        <w:pStyle w:val="null3"/>
      </w:pPr>
      <w:r>
        <w:rPr/>
        <w:t>采购包1(四会市2024年广东省农作物病虫疫情田间监测点建设项目):</w:t>
      </w:r>
    </w:p>
    <w:p>
      <w:pPr>
        <w:pStyle w:val="null3"/>
      </w:pPr>
      <w:r>
        <w:rPr/>
        <w:t>采购包预算金额：1,428,500.00元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环境与农业分析仪器</w:t>
            </w:r>
          </w:p>
        </w:tc>
        <w:tc>
          <w:tcPr>
            <w:tcW w:type="dxa" w:w="2052"/>
          </w:tcPr>
          <w:p>
            <w:pPr>
              <w:pStyle w:val="null3"/>
            </w:pPr>
            <w:r>
              <w:rPr/>
              <w:t>四会市2024年广东省农作物病虫疫情田间监测点建设项目</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1,428,500.00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合同履行期限：合同签订之日起60日内完成供货安装及调试并验收通过。</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供在中华人民共和国境内注册的法人或其他组织的营业执照或事业单位法人证书或社会团体法人登记证书复印件，如供应商为自然人的提供自然人身份证明复印件；如国家另有规定的，则从其规定。（如供应商为分支机构，须取得具有法人资格的总公司（总所）出具给分支机构的授权书，并提供总公司（总所）和分支机构的营业执照（执业许可证）扫描件；已由总公司（总所）授权的，总公司（总所）取得的相关资质证书对分支机构有效，法律法规或者行业另有规定的除外）</w:t>
      </w:r>
    </w:p>
    <w:p>
      <w:pPr>
        <w:pStyle w:val="null3"/>
      </w:pPr>
      <w:r>
        <w:rPr/>
        <w:t>2）有依法缴纳税收和社会保障资金的良好记录：供应商提供以下其中一项有效材料即可：1、填写完整并加盖公章的《附件1：资格条件承诺函》；2、提供投标截止日前6个月内任意1个月依法缴纳税收和社会保障资金的相关材料；如依法免税或不需要缴纳社会保障资金的，提供相应证明材料。</w:t>
      </w:r>
    </w:p>
    <w:p>
      <w:pPr>
        <w:pStyle w:val="null3"/>
      </w:pPr>
      <w:r>
        <w:rPr/>
        <w:t>3）具有良好的商业信誉和健全的财务会计制度：供应商提供以下其中一项有效材料即可：1、填写完整并加盖公章的《附件1：资格条件承诺函》；2、提供2023年度或2024年度财务状况报告或基本开户行出具的资信证明。</w:t>
      </w:r>
    </w:p>
    <w:p>
      <w:pPr>
        <w:pStyle w:val="null3"/>
      </w:pPr>
      <w:r>
        <w:rPr/>
        <w:t>4）履行合同所必需的设备和专业技术能力：供应商提供以下其中一项有效材料即可：1、填写完整并加盖公章的《附件1：资格条件承诺函》；2、按投标（响应）文件格式填报设备及专业技术能力情况。</w:t>
      </w:r>
    </w:p>
    <w:p>
      <w:pPr>
        <w:pStyle w:val="null3"/>
      </w:pPr>
      <w:r>
        <w:rPr/>
        <w:t>5）参加采购活动前3年内，在经营活动中没有重大违法记录：供应商提供以下其中一项有效材料即可：1、填写完整并加盖公章的《附件1：资格条件承诺函》；2、参照投标（报价）函相关承诺格式内容。备注：参加采购活动前3年内是指2022年3月起至投标文件递交截止时间止。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采购包1（四会市2024年广东省农作物病虫疫情田间监测点建设项目）：</w:t>
      </w:r>
      <w:r>
        <w:rPr/>
        <w:t>参与的供应商提供的产品全部由符合政策要求的中小企业制造</w:t>
      </w:r>
    </w:p>
    <w:p>
      <w:pPr>
        <w:pStyle w:val="null3"/>
        <w:outlineLvl w:val="3"/>
      </w:pPr>
      <w:r>
        <w:rPr>
          <w:sz w:val="24"/>
          <w:b/>
        </w:rPr>
        <w:t>3.本项目特定的资格要求：</w:t>
      </w:r>
    </w:p>
    <w:p>
      <w:pPr>
        <w:pStyle w:val="null3"/>
      </w:pPr>
      <w:r>
        <w:rPr/>
        <w:t>采购包1（四会市2024年广东省农作物病虫疫情田间监测点建设项目）：</w:t>
      </w:r>
    </w:p>
    <w:p>
      <w:pPr>
        <w:pStyle w:val="null3"/>
      </w:pPr>
      <w:r>
        <w:rPr/>
        <w:t>1)供应商未被列入“信用中国”网站(www.creditchina.gov.cn)“重大税收违法失信主体、政府采购严重违法失信行为记录名单”；未被列入中国执行信息公开网(http://zxgk.court.gov.cn) “失信被执行人名单；”不处于中国政府采购网(www.ccgp.gov.cn)“政府采购严重违法失信行为信息记录”中的禁止参加政府采购活动期间。（以资格审查人员于投标（响应）截止时间当天在上述网站查询结果为准，如查询结果显示“没有该企业的相关记录”，视为该供应商无上述不良信用记录；如相关失信记录已失效，供应商需提供相关证明资料）。</w:t>
      </w:r>
    </w:p>
    <w:p>
      <w:pPr>
        <w:pStyle w:val="null3"/>
      </w:pPr>
      <w:r>
        <w:rPr/>
        <w:t>2)单位负责人为同一人或者存在直接控股、 管理关系的不同供应商，不得同时参加本采购项目（或采购包）投标（响应）。为本项目提供整体设计、规范编制或者项目管理、监理、检测等服务的供应商，不得再参与本项目投标（响应）。投标函相关承诺要求内容。</w:t>
      </w:r>
    </w:p>
    <w:p>
      <w:pPr>
        <w:pStyle w:val="null3"/>
      </w:pPr>
      <w:r>
        <w:rPr/>
        <w:t>3)本项目不接受联合体参与投标。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中国财经报 ( http://www.cfen.com.cn/) ，中国采购与招标网 ( https://www.chinabidding.cn/) ，广东华伦招标有限公司网(http://www.gdhualun.com.cn/)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四会市农业农村局</w:t>
      </w:r>
    </w:p>
    <w:p>
      <w:pPr>
        <w:pStyle w:val="null3"/>
        <w:ind w:firstLine="480"/>
      </w:pPr>
      <w:r>
        <w:rPr/>
        <w:t xml:space="preserve"> 地址：</w:t>
      </w:r>
      <w:r>
        <w:rPr/>
        <w:t>四会市东城街道广场北路东</w:t>
      </w:r>
    </w:p>
    <w:p>
      <w:pPr>
        <w:pStyle w:val="null3"/>
        <w:ind w:firstLine="480"/>
      </w:pPr>
      <w:r>
        <w:rPr/>
        <w:t xml:space="preserve"> 联系方式：</w:t>
      </w:r>
      <w:r>
        <w:rPr/>
        <w:t>0785-3285400</w:t>
      </w:r>
    </w:p>
    <w:p>
      <w:pPr>
        <w:pStyle w:val="null3"/>
        <w:outlineLvl w:val="3"/>
      </w:pPr>
      <w:r>
        <w:rPr>
          <w:sz w:val="24"/>
          <w:b/>
        </w:rPr>
        <w:t xml:space="preserve"> 2.采购代理机构信息</w:t>
      </w:r>
    </w:p>
    <w:p>
      <w:pPr>
        <w:pStyle w:val="null3"/>
        <w:ind w:firstLine="480"/>
      </w:pPr>
      <w:r>
        <w:rPr/>
        <w:t xml:space="preserve"> 名称：</w:t>
      </w:r>
      <w:r>
        <w:rPr/>
        <w:t>广东华伦招标有限公司</w:t>
      </w:r>
    </w:p>
    <w:p>
      <w:pPr>
        <w:pStyle w:val="null3"/>
        <w:ind w:firstLine="480"/>
      </w:pPr>
      <w:r>
        <w:rPr/>
        <w:t xml:space="preserve"> 地址：</w:t>
      </w:r>
      <w:r>
        <w:rPr/>
        <w:t>广东省肇庆市端州区天宁北路75号广发银行大厦24楼</w:t>
      </w:r>
    </w:p>
    <w:p>
      <w:pPr>
        <w:pStyle w:val="null3"/>
        <w:ind w:firstLine="480"/>
      </w:pPr>
      <w:r>
        <w:rPr/>
        <w:t xml:space="preserve"> 联系方式：</w:t>
      </w:r>
      <w:r>
        <w:rPr/>
        <w:t>0758-2313165</w:t>
      </w:r>
    </w:p>
    <w:p>
      <w:pPr>
        <w:pStyle w:val="null3"/>
        <w:outlineLvl w:val="3"/>
      </w:pPr>
      <w:r>
        <w:rPr>
          <w:sz w:val="24"/>
          <w:b/>
        </w:rPr>
        <w:t xml:space="preserve"> 3.项目联系方式</w:t>
      </w:r>
    </w:p>
    <w:p>
      <w:pPr>
        <w:pStyle w:val="null3"/>
        <w:ind w:firstLine="480"/>
      </w:pPr>
      <w:r>
        <w:rPr/>
        <w:t xml:space="preserve"> 项目联系人：</w:t>
      </w:r>
      <w:r>
        <w:rPr/>
        <w:t>黎先生</w:t>
      </w:r>
    </w:p>
    <w:p>
      <w:pPr>
        <w:pStyle w:val="null3"/>
        <w:ind w:firstLine="480"/>
      </w:pPr>
      <w:r>
        <w:rPr/>
        <w:t xml:space="preserve"> 电话：</w:t>
      </w:r>
      <w:r>
        <w:rPr/>
        <w:t>0758-2313165</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广东华伦招标有限公司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color w:val="000000"/>
        </w:rPr>
        <w:t>四会市农业农村局</w:t>
      </w:r>
      <w:r>
        <w:rPr>
          <w:sz w:val="24"/>
          <w:color w:val="000000"/>
        </w:rPr>
        <w:t>现需采购</w:t>
      </w:r>
      <w:r>
        <w:rPr>
          <w:sz w:val="24"/>
          <w:color w:val="000000"/>
        </w:rPr>
        <w:t>四会市</w:t>
      </w:r>
      <w:r>
        <w:rPr>
          <w:sz w:val="24"/>
          <w:color w:val="000000"/>
        </w:rPr>
        <w:t>2024年广东省农作物病虫疫情田间监测点建设项目，要求符合资格条件的投标人提供本</w:t>
      </w:r>
      <w:r>
        <w:rPr>
          <w:sz w:val="24"/>
          <w:color w:val="000000"/>
        </w:rPr>
        <w:t>采购</w:t>
      </w:r>
      <w:r>
        <w:rPr>
          <w:sz w:val="24"/>
          <w:color w:val="000000"/>
        </w:rPr>
        <w:t>需求所要求的设备及相关服务。本项目</w:t>
      </w:r>
      <w:r>
        <w:rPr>
          <w:sz w:val="24"/>
          <w:color w:val="000000"/>
        </w:rPr>
        <w:t>为一个整体</w:t>
      </w:r>
      <w:r>
        <w:rPr>
          <w:sz w:val="24"/>
          <w:color w:val="000000"/>
        </w:rPr>
        <w:t>，投标人不得分拆</w:t>
      </w:r>
      <w:r>
        <w:rPr>
          <w:sz w:val="24"/>
          <w:color w:val="000000"/>
        </w:rPr>
        <w:t>投标</w:t>
      </w:r>
      <w:r>
        <w:rPr>
          <w:sz w:val="24"/>
          <w:color w:val="000000"/>
        </w:rPr>
        <w:t>，且要提供完整的技术</w:t>
      </w:r>
      <w:r>
        <w:rPr>
          <w:sz w:val="24"/>
          <w:color w:val="000000"/>
        </w:rPr>
        <w:t>和服务</w:t>
      </w:r>
      <w:r>
        <w:rPr>
          <w:sz w:val="24"/>
          <w:color w:val="000000"/>
        </w:rPr>
        <w:t>资料</w:t>
      </w:r>
      <w:r>
        <w:rPr>
          <w:sz w:val="24"/>
          <w:color w:val="000000"/>
        </w:rPr>
        <w:t>。</w:t>
      </w:r>
    </w:p>
    <w:p>
      <w:pPr>
        <w:pStyle w:val="null3"/>
        <w:ind w:firstLine="480"/>
        <w:jc w:val="both"/>
      </w:pPr>
      <w:r>
        <w:rPr>
          <w:sz w:val="24"/>
          <w:color w:val="000000"/>
        </w:rPr>
        <w:t>1.</w:t>
      </w:r>
      <w:r>
        <w:rPr>
          <w:sz w:val="24"/>
          <w:color w:val="000000"/>
        </w:rPr>
        <w:t>需要落实的政府采购政策：《政府采购促进中小企业发展管理办法》的通知（财库</w:t>
      </w:r>
      <w:r>
        <w:rPr>
          <w:sz w:val="24"/>
          <w:color w:val="000000"/>
        </w:rPr>
        <w:t>[2020]46号）、《关于政府采购支持监狱企业发展有关问题的通知》（财库〔2014〕68号）、《关于促进残疾人就业政府采购政策的通知》（财库〔2017〕141号）、《关于环境标志产品政府采购实施的意见》（财库[2006]90号）、《节能产品政府采购实施意见》（财库［2004］185号）、《关于调整优化节能产品、环境标志产品政府采购执行机制的通知》（财库〔2019〕9号）、《关于印发节能产品政府采购品目清单的通知》（财库〔2019〕19号）、《关于印发环境标志产品政府采购品目清单的通知》（财库〔2019〕18号）等</w:t>
      </w:r>
      <w:r>
        <w:rPr>
          <w:sz w:val="24"/>
          <w:color w:val="000000"/>
        </w:rPr>
        <w:t>（如国家另有规定，则适用其规定）</w:t>
      </w:r>
      <w:r>
        <w:rPr>
          <w:sz w:val="24"/>
          <w:color w:val="000000"/>
        </w:rPr>
        <w:t>。</w:t>
      </w:r>
    </w:p>
    <w:p>
      <w:pPr>
        <w:pStyle w:val="null3"/>
        <w:ind w:firstLine="480"/>
        <w:jc w:val="both"/>
      </w:pPr>
      <w:r>
        <w:rPr>
          <w:sz w:val="24"/>
          <w:color w:val="000000"/>
        </w:rPr>
        <w:t>2</w:t>
      </w:r>
      <w:r>
        <w:rPr>
          <w:sz w:val="24"/>
          <w:color w:val="000000"/>
        </w:rPr>
        <w:t>.</w:t>
      </w:r>
      <w:r>
        <w:rPr>
          <w:sz w:val="24"/>
          <w:color w:val="000000"/>
        </w:rPr>
        <w:t>根据《关于印发中小企业划型标准规定的通知》（工信部联企业〔</w:t>
      </w:r>
      <w:r>
        <w:rPr>
          <w:sz w:val="24"/>
          <w:color w:val="000000"/>
        </w:rPr>
        <w:t>2011〕300号）规定，本项目对应的中小企业划分标准所属行业为：农、林、牧、渔业。</w:t>
      </w:r>
      <w:r>
        <w:rPr>
          <w:sz w:val="24"/>
          <w:color w:val="000000"/>
        </w:rPr>
        <w:t>本采购包专门面向中小企业采购：参与的供应商提供的</w:t>
      </w:r>
      <w:r>
        <w:rPr>
          <w:sz w:val="24"/>
          <w:color w:val="000000"/>
        </w:rPr>
        <w:t>产品</w:t>
      </w:r>
      <w:r>
        <w:rPr>
          <w:sz w:val="24"/>
          <w:color w:val="000000"/>
        </w:rPr>
        <w:t>全部由符合政策要求的中小企业制造。</w:t>
      </w:r>
    </w:p>
    <w:p>
      <w:pPr>
        <w:pStyle w:val="null3"/>
        <w:ind w:firstLine="480"/>
        <w:jc w:val="both"/>
      </w:pPr>
      <w:r>
        <w:rPr>
          <w:sz w:val="24"/>
          <w:color w:val="000000"/>
        </w:rPr>
        <w:t>3</w:t>
      </w:r>
      <w:r>
        <w:rPr>
          <w:sz w:val="24"/>
          <w:color w:val="000000"/>
        </w:rPr>
        <w:t>.本</w:t>
      </w:r>
      <w:r>
        <w:rPr>
          <w:sz w:val="24"/>
          <w:color w:val="000000"/>
        </w:rPr>
        <w:t>采购需求</w:t>
      </w:r>
      <w:r>
        <w:rPr>
          <w:sz w:val="24"/>
          <w:color w:val="000000"/>
        </w:rPr>
        <w:t>中凡标记</w:t>
      </w:r>
      <w:r>
        <w:rPr>
          <w:sz w:val="24"/>
          <w:color w:val="000000"/>
        </w:rPr>
        <w:t>“★”号的条款（如有）为必须实质性响应的要求，供应商任何负偏离（不满足要求）或不响应均导致其投标（响应）无效。凡标记“▲”号的条款（如有）为重要的要求，供应商任何负偏离（不满足要求），可能对其评审产生重大的影响，</w:t>
      </w:r>
      <w:r>
        <w:rPr>
          <w:sz w:val="24"/>
          <w:color w:val="000000"/>
        </w:rPr>
        <w:t>但不会导致</w:t>
      </w:r>
      <w:r>
        <w:rPr>
          <w:sz w:val="24"/>
          <w:color w:val="000000"/>
        </w:rPr>
        <w:t>投标（响应）无效。</w:t>
      </w:r>
    </w:p>
    <w:p>
      <w:pPr>
        <w:pStyle w:val="null3"/>
        <w:ind w:firstLine="480"/>
        <w:jc w:val="both"/>
      </w:pPr>
      <w:r>
        <w:rPr>
          <w:sz w:val="24"/>
          <w:color w:val="000000"/>
        </w:rPr>
        <w:t>4</w:t>
      </w:r>
      <w:r>
        <w:rPr>
          <w:sz w:val="24"/>
          <w:color w:val="000000"/>
        </w:rPr>
        <w:t>.本项目全部货物采购本国产品。</w:t>
      </w:r>
    </w:p>
    <w:p>
      <w:pPr>
        <w:pStyle w:val="null3"/>
        <w:ind w:firstLine="480"/>
        <w:jc w:val="both"/>
      </w:pPr>
      <w:r>
        <w:rPr>
          <w:sz w:val="24"/>
          <w:color w:val="000000"/>
        </w:rPr>
        <w:t>5</w:t>
      </w:r>
      <w:r>
        <w:rPr>
          <w:sz w:val="24"/>
          <w:color w:val="000000"/>
        </w:rPr>
        <w:t>.本项目采购需求中所描述的技术参数为基本要求，投标人可根据产品的实际情况，选用技术参数优于或等于采购需求要求的产品进行投标，并列明详细的技术参数、品牌、型号及产地等。投标人在技术方案中应列出产品参数的具体数值。如果投标人只注明“符合”或“满足”，将被视为“不符合”，从而可能导致严重影响评分结果</w:t>
      </w:r>
      <w:r>
        <w:rPr>
          <w:sz w:val="24"/>
          <w:color w:val="000000"/>
        </w:rPr>
        <w:t>。</w:t>
      </w:r>
    </w:p>
    <w:p>
      <w:pPr>
        <w:pStyle w:val="null3"/>
        <w:ind w:firstLine="480"/>
        <w:jc w:val="both"/>
      </w:pPr>
      <w:r>
        <w:rPr>
          <w:sz w:val="24"/>
          <w:color w:val="000000"/>
        </w:rPr>
        <w:t>6</w:t>
      </w:r>
      <w:r>
        <w:rPr>
          <w:sz w:val="24"/>
          <w:color w:val="000000"/>
        </w:rPr>
        <w:t>.采</w:t>
      </w:r>
      <w:r>
        <w:rPr>
          <w:sz w:val="24"/>
          <w:color w:val="000000"/>
        </w:rPr>
        <w:t>购需求一览表</w:t>
      </w:r>
    </w:p>
    <w:tbl>
      <w:tblPr>
        <w:tblW w:w="0" w:type="auto"/>
        <w:tblBorders>
          <w:top w:val="none" w:color="000000" w:sz="4"/>
          <w:left w:val="none" w:color="000000" w:sz="4"/>
          <w:bottom w:val="none" w:color="000000" w:sz="4"/>
          <w:right w:val="none" w:color="000000" w:sz="4"/>
          <w:insideH w:val="none"/>
          <w:insideV w:val="none"/>
        </w:tblBorders>
      </w:tblPr>
      <w:tblGrid>
        <w:gridCol w:w="515"/>
        <w:gridCol w:w="1370"/>
        <w:gridCol w:w="3304"/>
        <w:gridCol w:w="1357"/>
        <w:gridCol w:w="1754"/>
      </w:tblGrid>
      <w:tr>
        <w:tc>
          <w:tcPr>
            <w:tcW w:type="dxa" w:w="5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序号</w:t>
            </w:r>
          </w:p>
        </w:tc>
        <w:tc>
          <w:tcPr>
            <w:tcW w:type="dxa" w:w="13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核心产品</w:t>
            </w:r>
          </w:p>
          <w:p>
            <w:pPr>
              <w:pStyle w:val="null3"/>
              <w:jc w:val="center"/>
            </w:pPr>
            <w:r>
              <w:rPr>
                <w:sz w:val="24"/>
              </w:rPr>
              <w:t>（</w:t>
            </w:r>
            <w:r>
              <w:rPr>
                <w:sz w:val="24"/>
              </w:rPr>
              <w:t>“△”）</w:t>
            </w:r>
          </w:p>
        </w:tc>
        <w:tc>
          <w:tcPr>
            <w:tcW w:type="dxa" w:w="33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建设内容</w:t>
            </w:r>
          </w:p>
        </w:tc>
        <w:tc>
          <w:tcPr>
            <w:tcW w:type="dxa" w:w="13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数量</w:t>
            </w:r>
          </w:p>
          <w:p>
            <w:pPr>
              <w:pStyle w:val="null3"/>
              <w:jc w:val="center"/>
            </w:pPr>
            <w:r>
              <w:rPr>
                <w:sz w:val="24"/>
              </w:rPr>
              <w:t>（台</w:t>
            </w:r>
            <w:r>
              <w:rPr>
                <w:sz w:val="24"/>
              </w:rPr>
              <w:t>/套/个）</w:t>
            </w:r>
          </w:p>
        </w:tc>
        <w:tc>
          <w:tcPr>
            <w:tcW w:type="dxa" w:w="17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所属行业</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县级病虫疫情信息处理系统</w:t>
            </w:r>
          </w:p>
        </w:tc>
        <w:tc>
          <w:tcPr>
            <w:tcW w:type="dxa" w:w="1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农、林、牧、渔业</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二</w:t>
            </w:r>
          </w:p>
        </w:tc>
        <w:tc>
          <w:tcPr>
            <w:tcW w:type="dxa" w:w="467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重点监测点</w:t>
            </w:r>
          </w:p>
        </w:tc>
        <w:tc>
          <w:tcPr>
            <w:tcW w:type="dxa" w:w="1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监测坪</w:t>
            </w:r>
          </w:p>
        </w:tc>
        <w:tc>
          <w:tcPr>
            <w:tcW w:type="dxa" w:w="1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7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农、林、牧、渔业</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农作物病虫疫情物联网基站</w:t>
            </w:r>
          </w:p>
        </w:tc>
        <w:tc>
          <w:tcPr>
            <w:tcW w:type="dxa" w:w="1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农、林、牧、渔业</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w:t>
            </w:r>
          </w:p>
        </w:tc>
        <w:tc>
          <w:tcPr>
            <w:tcW w:type="dxa" w:w="3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智慧农业监测系统</w:t>
            </w:r>
          </w:p>
        </w:tc>
        <w:tc>
          <w:tcPr>
            <w:tcW w:type="dxa" w:w="1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农、林、牧、渔业</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害虫性诱电子测报设备</w:t>
            </w:r>
          </w:p>
        </w:tc>
        <w:tc>
          <w:tcPr>
            <w:tcW w:type="dxa" w:w="1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1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农、林、牧、渔业</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昆虫色板诱测系统</w:t>
            </w:r>
          </w:p>
        </w:tc>
        <w:tc>
          <w:tcPr>
            <w:tcW w:type="dxa" w:w="1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农、林、牧、渔业</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小虫体智能测报系统</w:t>
            </w:r>
          </w:p>
        </w:tc>
        <w:tc>
          <w:tcPr>
            <w:tcW w:type="dxa" w:w="1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农、林、牧、渔业</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物联网显示设备（大屏）</w:t>
            </w:r>
          </w:p>
        </w:tc>
        <w:tc>
          <w:tcPr>
            <w:tcW w:type="dxa" w:w="1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农、林、牧、渔业</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便携式智能测报仪（</w:t>
            </w:r>
            <w:r>
              <w:rPr>
                <w:sz w:val="24"/>
              </w:rPr>
              <w:t>AR眼镜）</w:t>
            </w:r>
          </w:p>
        </w:tc>
        <w:tc>
          <w:tcPr>
            <w:tcW w:type="dxa" w:w="1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农、林、牧、渔业</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病虫调查工具箱</w:t>
            </w:r>
          </w:p>
        </w:tc>
        <w:tc>
          <w:tcPr>
            <w:tcW w:type="dxa" w:w="1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农、林、牧、渔业</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三</w:t>
            </w:r>
          </w:p>
        </w:tc>
        <w:tc>
          <w:tcPr>
            <w:tcW w:type="dxa" w:w="467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一般监测点</w:t>
            </w:r>
          </w:p>
        </w:tc>
        <w:tc>
          <w:tcPr>
            <w:tcW w:type="dxa" w:w="1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1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简易监测坪</w:t>
            </w:r>
          </w:p>
        </w:tc>
        <w:tc>
          <w:tcPr>
            <w:tcW w:type="dxa" w:w="1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17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农、林、牧、渔业</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w:t>
            </w:r>
          </w:p>
        </w:tc>
        <w:tc>
          <w:tcPr>
            <w:tcW w:type="dxa" w:w="3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智能虫情测报灯</w:t>
            </w:r>
          </w:p>
        </w:tc>
        <w:tc>
          <w:tcPr>
            <w:tcW w:type="dxa" w:w="1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1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农、林、牧、渔业</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害虫性诱电子测报设备</w:t>
            </w:r>
          </w:p>
        </w:tc>
        <w:tc>
          <w:tcPr>
            <w:tcW w:type="dxa" w:w="1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1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农、林、牧、渔业</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远程实时监控系统</w:t>
            </w:r>
          </w:p>
        </w:tc>
        <w:tc>
          <w:tcPr>
            <w:tcW w:type="dxa" w:w="1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1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农、林、牧、渔业</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物联网显示设备（小屏）</w:t>
            </w:r>
          </w:p>
        </w:tc>
        <w:tc>
          <w:tcPr>
            <w:tcW w:type="dxa" w:w="1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1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农、林、牧、渔业</w:t>
            </w:r>
          </w:p>
        </w:tc>
      </w:tr>
    </w:tbl>
    <w:p>
      <w:pPr>
        <w:pStyle w:val="null3"/>
        <w:jc w:val="both"/>
      </w:pPr>
      <w:r>
        <w:rPr>
          <w:sz w:val="24"/>
        </w:rPr>
        <w:t>注：</w:t>
      </w:r>
      <w:r>
        <w:rPr>
          <w:sz w:val="24"/>
        </w:rPr>
        <w:t>若存在多项核心产品，当不同供应商提供的任意一项核心产品的品牌相同，则视同其是所响应核心产品品牌相同供应商。</w:t>
      </w:r>
    </w:p>
    <w:p>
      <w:pPr>
        <w:pStyle w:val="null3"/>
        <w:jc w:val="left"/>
      </w:pPr>
      <w:r>
        <w:rPr>
          <w:sz w:val="24"/>
        </w:rPr>
        <w:t>7.</w:t>
      </w:r>
      <w:r>
        <w:rPr>
          <w:sz w:val="24"/>
        </w:rPr>
        <w:t>主要技术要求</w:t>
      </w:r>
    </w:p>
    <w:p>
      <w:pPr>
        <w:pStyle w:val="null3"/>
        <w:ind w:firstLine="480"/>
        <w:jc w:val="both"/>
      </w:pPr>
      <w:r>
        <w:rPr>
          <w:sz w:val="24"/>
        </w:rPr>
        <w:t>7.1 目标任务</w:t>
      </w:r>
    </w:p>
    <w:p>
      <w:pPr>
        <w:pStyle w:val="null3"/>
        <w:ind w:firstLine="480"/>
        <w:jc w:val="left"/>
      </w:pPr>
      <w:r>
        <w:rPr>
          <w:sz w:val="24"/>
        </w:rPr>
        <w:t>按照</w:t>
      </w:r>
      <w:r>
        <w:rPr>
          <w:sz w:val="24"/>
        </w:rPr>
        <w:t>2024年省级保障粮食安全生产资金（第三批）绩效目标要求，我市需要建设4个田间监测点，其中重点田间监测点1个、一般田间监测点3个，县级病虫疫情信息处理系统1套，田间监测点须接入省病虫疫情信息系统，年发布病虫情报不少于8期，农作物病虫预报准确率在92%以上，为科学防控和农药减量增效提供技术支撑。</w:t>
      </w:r>
    </w:p>
    <w:p>
      <w:pPr>
        <w:pStyle w:val="null3"/>
        <w:ind w:firstLine="480"/>
        <w:jc w:val="both"/>
      </w:pPr>
      <w:r>
        <w:rPr>
          <w:sz w:val="24"/>
        </w:rPr>
        <w:t>7.2 项目建设内容</w:t>
      </w:r>
    </w:p>
    <w:p>
      <w:pPr>
        <w:pStyle w:val="null3"/>
        <w:ind w:firstLine="480"/>
        <w:jc w:val="left"/>
      </w:pPr>
      <w:r>
        <w:rPr>
          <w:sz w:val="24"/>
        </w:rPr>
        <w:t>项目在我市的粮食作物主产区实施，并结合历年水稻病虫害发生情况，布局建设一批农作物病虫疫情田间监测点。建设田间监测点</w:t>
      </w:r>
      <w:r>
        <w:rPr>
          <w:sz w:val="24"/>
        </w:rPr>
        <w:t>4个，其中，重点田间监测点1个，拟定四会市黄田镇万洞村，一般田间监测点3个，拟定四会市下茆镇高崀村、四会市威整镇西坑村、四会市罗源镇罗源村，按照“聚点成网”“互联网+”的总体要求，加强田间自动化、智能化监测点和信息化平台建设，完善全省农作物病虫疫情监测体系，提升重大病虫疫情监测预警能力。具体建设内容如下：</w:t>
      </w:r>
    </w:p>
    <w:p>
      <w:pPr>
        <w:pStyle w:val="null3"/>
        <w:jc w:val="left"/>
      </w:pPr>
      <w:r>
        <w:rPr>
          <w:sz w:val="24"/>
        </w:rPr>
        <w:t>（一）县级病虫疫情信息处理系统</w:t>
      </w:r>
    </w:p>
    <w:p>
      <w:pPr>
        <w:pStyle w:val="null3"/>
        <w:ind w:firstLine="480"/>
        <w:jc w:val="left"/>
      </w:pPr>
      <w:r>
        <w:rPr>
          <w:sz w:val="24"/>
        </w:rPr>
        <w:t>建设四会市病虫疫情信息处理系统</w:t>
      </w:r>
      <w:r>
        <w:rPr>
          <w:sz w:val="24"/>
        </w:rPr>
        <w:t>1套，对4个田间监测点的物联网设备数据统一管理，分析处理，图形化展示；实现与省级、国家级平台的数据对接。通过病虫疫情信息处理系统，统一管理调度四会市田间监测点。</w:t>
      </w:r>
    </w:p>
    <w:p>
      <w:pPr>
        <w:pStyle w:val="null3"/>
        <w:ind w:firstLine="480"/>
        <w:jc w:val="left"/>
      </w:pPr>
      <w:r>
        <w:rPr>
          <w:sz w:val="24"/>
        </w:rPr>
        <w:t>配套硬件包括：数据展示与交互终端、高性能数据处理终端、便携式数据查看与接收移动终端等数据管理设备。</w:t>
      </w:r>
    </w:p>
    <w:p>
      <w:pPr>
        <w:pStyle w:val="null3"/>
        <w:jc w:val="left"/>
      </w:pPr>
      <w:r>
        <w:rPr>
          <w:sz w:val="24"/>
        </w:rPr>
        <w:t>（二）重点田间监测点</w:t>
      </w:r>
    </w:p>
    <w:p>
      <w:pPr>
        <w:pStyle w:val="null3"/>
        <w:jc w:val="left"/>
      </w:pPr>
      <w:r>
        <w:rPr>
          <w:sz w:val="24"/>
        </w:rPr>
        <w:t>1）重点田间监测点监测坪建设</w:t>
      </w:r>
    </w:p>
    <w:p>
      <w:pPr>
        <w:pStyle w:val="null3"/>
        <w:ind w:firstLine="480"/>
        <w:jc w:val="left"/>
      </w:pPr>
      <w:r>
        <w:rPr>
          <w:sz w:val="24"/>
        </w:rPr>
        <w:t>监测坪建设规格</w:t>
      </w:r>
      <w:r>
        <w:rPr>
          <w:sz w:val="24"/>
        </w:rPr>
        <w:t>6m×6m，含平整土地、铺设地沟、架设电线、通讯网线、防雷建设、绿化及铺设田埂道路、排灌渠道、围栏等。需通电通网，配套建设电力设施，包括但不限于电缆、配电箱、交换箱、电表、电箱等设备及相应网络设施，满足相关仪器及系统联网要求。</w:t>
      </w:r>
    </w:p>
    <w:p>
      <w:pPr>
        <w:pStyle w:val="null3"/>
        <w:jc w:val="left"/>
      </w:pPr>
      <w:r>
        <w:rPr>
          <w:sz w:val="24"/>
        </w:rPr>
        <w:t>2）重点田间监测点监测设备</w:t>
      </w:r>
    </w:p>
    <w:p>
      <w:pPr>
        <w:pStyle w:val="null3"/>
        <w:ind w:firstLine="480"/>
        <w:jc w:val="left"/>
      </w:pPr>
      <w:r>
        <w:rPr>
          <w:sz w:val="24"/>
        </w:rPr>
        <w:t>重点田间监测点配置农作物病虫疫情物联网基站、智慧农业监测系统、害虫性诱电子测报设备、昆虫色板诱测系统、小虫体智能测报系统、物联网显示设备、便携式智能测报仪、病虫调查工具箱。</w:t>
      </w:r>
    </w:p>
    <w:p>
      <w:pPr>
        <w:pStyle w:val="null3"/>
        <w:jc w:val="left"/>
      </w:pPr>
      <w:r>
        <w:rPr>
          <w:sz w:val="24"/>
        </w:rPr>
        <w:t>（三）一般田间监测点</w:t>
      </w:r>
    </w:p>
    <w:p>
      <w:pPr>
        <w:pStyle w:val="null3"/>
        <w:jc w:val="left"/>
      </w:pPr>
      <w:r>
        <w:rPr>
          <w:sz w:val="24"/>
        </w:rPr>
        <w:t>1）一般田间监测点简易监测坪建设</w:t>
      </w:r>
    </w:p>
    <w:p>
      <w:pPr>
        <w:pStyle w:val="null3"/>
        <w:ind w:firstLine="480"/>
        <w:jc w:val="left"/>
      </w:pPr>
      <w:r>
        <w:rPr>
          <w:sz w:val="24"/>
        </w:rPr>
        <w:t>简易监测坪建设规格</w:t>
      </w:r>
      <w:r>
        <w:rPr>
          <w:sz w:val="24"/>
        </w:rPr>
        <w:t>4m×4m，建设内容包括平整土地、绿化及铺设田埂道路、排灌渠道、围栏等。</w:t>
      </w:r>
    </w:p>
    <w:p>
      <w:pPr>
        <w:pStyle w:val="null3"/>
        <w:jc w:val="left"/>
      </w:pPr>
      <w:r>
        <w:rPr>
          <w:sz w:val="24"/>
        </w:rPr>
        <w:t>2）一般田间监测点监测设备</w:t>
      </w:r>
    </w:p>
    <w:p>
      <w:pPr>
        <w:pStyle w:val="null3"/>
        <w:ind w:firstLine="456"/>
        <w:jc w:val="both"/>
      </w:pPr>
      <w:r>
        <w:rPr>
          <w:sz w:val="24"/>
        </w:rPr>
        <w:t>一般田间监测点配置智能虫情测报灯、害虫性诱电子测报设备、远程实时监控系统、物联网显示设备（小屏）。</w:t>
      </w:r>
    </w:p>
    <w:p>
      <w:pPr>
        <w:pStyle w:val="null3"/>
        <w:ind w:firstLine="480"/>
        <w:jc w:val="both"/>
      </w:pPr>
      <w:r>
        <w:rPr>
          <w:sz w:val="24"/>
        </w:rPr>
        <w:t>7.3 详细技术参数及要求</w:t>
      </w:r>
    </w:p>
    <w:tbl>
      <w:tblPr>
        <w:tblW w:w="0" w:type="auto"/>
        <w:tblBorders>
          <w:top w:val="none" w:color="000000" w:sz="4"/>
          <w:left w:val="none" w:color="000000" w:sz="4"/>
          <w:bottom w:val="none" w:color="000000" w:sz="4"/>
          <w:right w:val="none" w:color="000000" w:sz="4"/>
          <w:insideH w:val="none"/>
          <w:insideV w:val="none"/>
        </w:tblBorders>
      </w:tblPr>
      <w:tblGrid>
        <w:gridCol w:w="555"/>
        <w:gridCol w:w="1479"/>
        <w:gridCol w:w="1402"/>
        <w:gridCol w:w="4868"/>
      </w:tblGrid>
      <w:tr>
        <w:tc>
          <w:tcPr>
            <w:tcW w:type="dxa" w:w="5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序号</w:t>
            </w:r>
          </w:p>
        </w:tc>
        <w:tc>
          <w:tcPr>
            <w:tcW w:type="dxa" w:w="14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建设内容</w:t>
            </w:r>
          </w:p>
        </w:tc>
        <w:tc>
          <w:tcPr>
            <w:tcW w:type="dxa" w:w="14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数量</w:t>
            </w:r>
          </w:p>
          <w:p>
            <w:pPr>
              <w:pStyle w:val="null3"/>
              <w:jc w:val="center"/>
            </w:pPr>
            <w:r>
              <w:rPr>
                <w:sz w:val="24"/>
              </w:rPr>
              <w:t>（台</w:t>
            </w:r>
            <w:r>
              <w:rPr>
                <w:sz w:val="24"/>
              </w:rPr>
              <w:t>/套/个）</w:t>
            </w:r>
          </w:p>
        </w:tc>
        <w:tc>
          <w:tcPr>
            <w:tcW w:type="dxa" w:w="48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功能参数要求</w:t>
            </w:r>
          </w:p>
        </w:tc>
      </w:tr>
      <w:tr>
        <w:tc>
          <w:tcPr>
            <w:tcW w:type="dxa" w:w="5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w:t>
            </w:r>
          </w:p>
        </w:tc>
        <w:tc>
          <w:tcPr>
            <w:tcW w:type="dxa" w:w="147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县级病虫疫情信息处理系统</w:t>
            </w:r>
          </w:p>
        </w:tc>
        <w:tc>
          <w:tcPr>
            <w:tcW w:type="dxa" w:w="140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4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1、功能模块：信息采集系统、信息演示系统、信息分析系统及预警发布系统等。需配备演示大屏、数据分析设备、移动终端硬件等数据管理设备。通过县级病虫疫情信息处理系统，统一管理调度项目县辖区田间监测点，采集和分析站点的监测数据，能够与田间监测点的病虫疫情物联网监测设备数据进行对接，实现主要的病虫疫情物联网监测设备的实时接入，实现田间监测点与省级病虫信息系统的对接。</w:t>
            </w:r>
          </w:p>
        </w:tc>
      </w:tr>
      <w:tr>
        <w:tc>
          <w:tcPr>
            <w:tcW w:type="dxa" w:w="555"/>
            <w:vMerge/>
            <w:tcBorders>
              <w:top w:val="none" w:color="000000" w:sz="4"/>
              <w:left w:val="single" w:color="000000" w:sz="4"/>
              <w:bottom w:val="single" w:color="000000" w:sz="4"/>
              <w:right w:val="single" w:color="000000" w:sz="4"/>
            </w:tcBorders>
          </w:tcPr>
          <w:p/>
        </w:tc>
        <w:tc>
          <w:tcPr>
            <w:tcW w:type="dxa" w:w="1479"/>
            <w:vMerge/>
            <w:tcBorders>
              <w:top w:val="none" w:color="000000" w:sz="4"/>
              <w:left w:val="single" w:color="000000" w:sz="4"/>
              <w:bottom w:val="single" w:color="000000" w:sz="4"/>
              <w:right w:val="single" w:color="000000" w:sz="4"/>
            </w:tcBorders>
          </w:tcPr>
          <w:p/>
        </w:tc>
        <w:tc>
          <w:tcPr>
            <w:tcW w:type="dxa" w:w="1402"/>
            <w:vMerge/>
            <w:tcBorders>
              <w:top w:val="none" w:color="000000" w:sz="4"/>
              <w:left w:val="single" w:color="000000" w:sz="4"/>
              <w:bottom w:val="single" w:color="000000" w:sz="4"/>
              <w:right w:val="single" w:color="000000" w:sz="4"/>
            </w:tcBorders>
          </w:tcPr>
          <w:p/>
        </w:tc>
        <w:tc>
          <w:tcPr>
            <w:tcW w:type="dxa" w:w="4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(1)演示大屏:</w:t>
            </w:r>
          </w:p>
          <w:p>
            <w:pPr>
              <w:pStyle w:val="null3"/>
              <w:jc w:val="both"/>
            </w:pPr>
            <w:r>
              <w:rPr>
                <w:sz w:val="24"/>
              </w:rPr>
              <w:t>1)98英寸（16：9）；</w:t>
            </w:r>
            <w:r>
              <w:br/>
            </w:r>
            <w:r>
              <w:rPr>
                <w:sz w:val="24"/>
              </w:rPr>
              <w:t>2)物理分辨率：3840×2160；</w:t>
            </w:r>
            <w:r>
              <w:br/>
            </w:r>
            <w:r>
              <w:rPr>
                <w:sz w:val="24"/>
              </w:rPr>
              <w:t>3)显示色彩：10Bit,1.07B刷新率；</w:t>
            </w:r>
          </w:p>
          <w:p>
            <w:pPr>
              <w:pStyle w:val="null3"/>
              <w:jc w:val="both"/>
            </w:pPr>
            <w:r>
              <w:rPr>
                <w:sz w:val="24"/>
              </w:rPr>
              <w:t>4)亮度：400cd/m2；</w:t>
            </w:r>
            <w:r>
              <w:br/>
            </w:r>
            <w:r>
              <w:rPr>
                <w:sz w:val="24"/>
              </w:rPr>
              <w:t>5)对比度：5000：1；</w:t>
            </w:r>
            <w:r>
              <w:br/>
            </w:r>
            <w:r>
              <w:rPr>
                <w:sz w:val="24"/>
              </w:rPr>
              <w:t>6)背光灯寿命：50000小时；</w:t>
            </w:r>
            <w:r>
              <w:br/>
            </w:r>
            <w:r>
              <w:rPr>
                <w:sz w:val="24"/>
              </w:rPr>
              <w:t>7)触摸功能：支持20点电脑触摸操作；</w:t>
            </w:r>
          </w:p>
          <w:p>
            <w:pPr>
              <w:pStyle w:val="null3"/>
              <w:jc w:val="both"/>
            </w:pPr>
            <w:r>
              <w:rPr>
                <w:sz w:val="24"/>
              </w:rPr>
              <w:t>8)支持图像放大、缩小、旋转；</w:t>
            </w:r>
          </w:p>
          <w:p>
            <w:pPr>
              <w:pStyle w:val="null3"/>
              <w:jc w:val="both"/>
            </w:pPr>
            <w:r>
              <w:rPr>
                <w:sz w:val="24"/>
              </w:rPr>
              <w:t>9)安装方式：移动支架/壁挂。</w:t>
            </w:r>
          </w:p>
        </w:tc>
      </w:tr>
      <w:tr>
        <w:tc>
          <w:tcPr>
            <w:tcW w:type="dxa" w:w="555"/>
            <w:vMerge/>
            <w:tcBorders>
              <w:top w:val="none" w:color="000000" w:sz="4"/>
              <w:left w:val="single" w:color="000000" w:sz="4"/>
              <w:bottom w:val="single" w:color="000000" w:sz="4"/>
              <w:right w:val="single" w:color="000000" w:sz="4"/>
            </w:tcBorders>
          </w:tcPr>
          <w:p/>
        </w:tc>
        <w:tc>
          <w:tcPr>
            <w:tcW w:type="dxa" w:w="1479"/>
            <w:vMerge/>
            <w:tcBorders>
              <w:top w:val="none" w:color="000000" w:sz="4"/>
              <w:left w:val="single" w:color="000000" w:sz="4"/>
              <w:bottom w:val="single" w:color="000000" w:sz="4"/>
              <w:right w:val="single" w:color="000000" w:sz="4"/>
            </w:tcBorders>
          </w:tcPr>
          <w:p/>
        </w:tc>
        <w:tc>
          <w:tcPr>
            <w:tcW w:type="dxa" w:w="1402"/>
            <w:vMerge/>
            <w:tcBorders>
              <w:top w:val="none" w:color="000000" w:sz="4"/>
              <w:left w:val="single" w:color="000000" w:sz="4"/>
              <w:bottom w:val="single" w:color="000000" w:sz="4"/>
              <w:right w:val="single" w:color="000000" w:sz="4"/>
            </w:tcBorders>
          </w:tcPr>
          <w:p/>
        </w:tc>
        <w:tc>
          <w:tcPr>
            <w:tcW w:type="dxa" w:w="4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w:t>
            </w:r>
            <w:r>
              <w:rPr>
                <w:sz w:val="24"/>
              </w:rPr>
              <w:t>2）数据分析设备：</w:t>
            </w:r>
          </w:p>
          <w:p>
            <w:pPr>
              <w:pStyle w:val="null3"/>
              <w:jc w:val="both"/>
            </w:pPr>
            <w:r>
              <w:rPr>
                <w:sz w:val="24"/>
              </w:rPr>
              <w:t>1)十代处理器 16G运行内存，固态硬盘：1000G或以上，2G或以上显卡，23.8寸或以上液晶；</w:t>
            </w:r>
          </w:p>
          <w:p>
            <w:pPr>
              <w:pStyle w:val="null3"/>
              <w:jc w:val="both"/>
            </w:pPr>
            <w:r>
              <w:rPr>
                <w:sz w:val="24"/>
              </w:rPr>
              <w:t>2)用于数据的自动化与智能化管理调控。</w:t>
            </w:r>
          </w:p>
        </w:tc>
      </w:tr>
      <w:tr>
        <w:tc>
          <w:tcPr>
            <w:tcW w:type="dxa" w:w="555"/>
            <w:vMerge/>
            <w:tcBorders>
              <w:top w:val="none" w:color="000000" w:sz="4"/>
              <w:left w:val="single" w:color="000000" w:sz="4"/>
              <w:bottom w:val="single" w:color="000000" w:sz="4"/>
              <w:right w:val="single" w:color="000000" w:sz="4"/>
            </w:tcBorders>
          </w:tcPr>
          <w:p/>
        </w:tc>
        <w:tc>
          <w:tcPr>
            <w:tcW w:type="dxa" w:w="1479"/>
            <w:vMerge/>
            <w:tcBorders>
              <w:top w:val="none" w:color="000000" w:sz="4"/>
              <w:left w:val="single" w:color="000000" w:sz="4"/>
              <w:bottom w:val="single" w:color="000000" w:sz="4"/>
              <w:right w:val="single" w:color="000000" w:sz="4"/>
            </w:tcBorders>
          </w:tcPr>
          <w:p/>
        </w:tc>
        <w:tc>
          <w:tcPr>
            <w:tcW w:type="dxa" w:w="1402"/>
            <w:vMerge/>
            <w:tcBorders>
              <w:top w:val="none" w:color="000000" w:sz="4"/>
              <w:left w:val="single" w:color="000000" w:sz="4"/>
              <w:bottom w:val="single" w:color="000000" w:sz="4"/>
              <w:right w:val="single" w:color="000000" w:sz="4"/>
            </w:tcBorders>
          </w:tcPr>
          <w:p/>
        </w:tc>
        <w:tc>
          <w:tcPr>
            <w:tcW w:type="dxa" w:w="4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w:t>
            </w:r>
            <w:r>
              <w:rPr>
                <w:sz w:val="24"/>
              </w:rPr>
              <w:t>3）移动监测设备：</w:t>
            </w:r>
          </w:p>
          <w:p>
            <w:pPr>
              <w:pStyle w:val="null3"/>
              <w:jc w:val="both"/>
            </w:pPr>
            <w:r>
              <w:rPr>
                <w:sz w:val="24"/>
              </w:rPr>
              <w:t>1)十代及以上处理器/16G运行内存/固态硬盘1000G/指纹/14寸或以上高分屏；</w:t>
            </w:r>
          </w:p>
          <w:p>
            <w:pPr>
              <w:pStyle w:val="null3"/>
              <w:jc w:val="both"/>
            </w:pPr>
            <w:r>
              <w:rPr>
                <w:sz w:val="24"/>
              </w:rPr>
              <w:t>2)用于随时随地进行数据访问与接收操作。</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二</w:t>
            </w:r>
          </w:p>
        </w:tc>
        <w:tc>
          <w:tcPr>
            <w:tcW w:type="dxa" w:w="1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重点监测点</w:t>
            </w:r>
          </w:p>
        </w:tc>
        <w:tc>
          <w:tcPr>
            <w:tcW w:type="dxa" w:w="1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4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监测坪</w:t>
            </w:r>
          </w:p>
        </w:tc>
        <w:tc>
          <w:tcPr>
            <w:tcW w:type="dxa" w:w="1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4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w:t>
            </w:r>
            <w:r>
              <w:rPr>
                <w:sz w:val="24"/>
              </w:rPr>
              <w:t>1）单个建设规格约6m×6m，含平整土地、铺设地沟、架设电线、通讯网线、防雷建设、绿化及铺设田埂道路、排灌渠道、围栏等。</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1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农作物病虫疫情物联网基站</w:t>
            </w:r>
          </w:p>
        </w:tc>
        <w:tc>
          <w:tcPr>
            <w:tcW w:type="dxa" w:w="1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4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通过网线或无线接入各田间监测点病虫物联网设备，</w:t>
            </w:r>
            <w:r>
              <w:rPr>
                <w:sz w:val="24"/>
              </w:rPr>
              <w:t>实时</w:t>
            </w:r>
            <w:r>
              <w:rPr>
                <w:sz w:val="24"/>
              </w:rPr>
              <w:t>汇总存储监测设备采集的</w:t>
            </w:r>
            <w:r>
              <w:rPr>
                <w:sz w:val="24"/>
              </w:rPr>
              <w:t>信息数据</w:t>
            </w:r>
            <w:r>
              <w:rPr>
                <w:sz w:val="24"/>
              </w:rPr>
              <w:t>，具备自动采集数据，运算分析，识别判定，监测数据实时可自动上传至县级病虫信息处理系统。主要包括智能虫情信息采集系统、小气候信息采集系统、生态远程实时监测系统、害虫多功能性诱测报系统等功能组成。</w:t>
            </w:r>
          </w:p>
          <w:p>
            <w:pPr>
              <w:pStyle w:val="null3"/>
              <w:jc w:val="both"/>
            </w:pPr>
            <w:r>
              <w:rPr>
                <w:sz w:val="21"/>
              </w:rPr>
              <w:t>▲</w:t>
            </w:r>
            <w:r>
              <w:rPr>
                <w:sz w:val="24"/>
              </w:rPr>
              <w:t>（</w:t>
            </w:r>
            <w:r>
              <w:rPr>
                <w:sz w:val="24"/>
              </w:rPr>
              <w:t>1）物联网基站兼容性强，无流量、通过无线传输将全天候实时采集信息数据发送到中心站自动上传数据库，根据实时数据及历史大数据，系统分析对比运算，自动进入模型，智能控制范围内任何区域的四情（苗情、墒情、病虫情、灾情）监测、预警，预报达到标准化、网络化、可视化、模型化、智能化。（需提供产品取得农作物病虫害实时监控预警测报系统平台计算机软件著作权证书）</w:t>
            </w:r>
          </w:p>
          <w:p>
            <w:pPr>
              <w:pStyle w:val="null3"/>
              <w:jc w:val="both"/>
            </w:pPr>
            <w:r>
              <w:rPr>
                <w:sz w:val="24"/>
              </w:rPr>
              <w:t>（</w:t>
            </w:r>
            <w:r>
              <w:rPr>
                <w:sz w:val="24"/>
              </w:rPr>
              <w:t>2）用户可以通过移动端和PC端随时随地登录自己专属的网络客户端，访问田间的实时数据并进行系统管理。</w:t>
            </w:r>
          </w:p>
          <w:p>
            <w:pPr>
              <w:pStyle w:val="null3"/>
              <w:jc w:val="both"/>
            </w:pPr>
            <w:r>
              <w:rPr>
                <w:sz w:val="24"/>
              </w:rPr>
              <w:t>（</w:t>
            </w:r>
            <w:r>
              <w:rPr>
                <w:sz w:val="24"/>
              </w:rPr>
              <w:t>3）结合系统预警模型，对作物实时远程监测与诊断，并获得智能化、自动化的解决方案，实现作物生长动态监测和人工远程管理，保证农作物在适宜的环境条件下生长，提高农业生产力。</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1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智慧农业监测</w:t>
            </w:r>
          </w:p>
          <w:p>
            <w:pPr>
              <w:pStyle w:val="null3"/>
              <w:jc w:val="center"/>
            </w:pPr>
            <w:r>
              <w:rPr>
                <w:sz w:val="24"/>
              </w:rPr>
              <w:t>系统</w:t>
            </w:r>
          </w:p>
        </w:tc>
        <w:tc>
          <w:tcPr>
            <w:tcW w:type="dxa" w:w="1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4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利用</w:t>
            </w:r>
            <w:r>
              <w:rPr>
                <w:sz w:val="24"/>
              </w:rPr>
              <w:t>5G技术、物联网技术、AI技术等现代化技术，实现农业病虫情、苗情、墒情、小气候一体化的实时监测，构建农业生产防灾减灾、病虫情防控、施肥灌溉等业务的闭环优化体系，提供农作物生产全过程四情监测预警到综合处置的一体化解决方案。可实现农作物病虫智能识别、统计计数、气象监测、苗期监测、分析预警等功能，种植户可以足不出户实时掌握田间农作物四情综合数据，为现代农业提供精准四情测报和防控指导。</w:t>
            </w:r>
          </w:p>
          <w:p>
            <w:pPr>
              <w:pStyle w:val="null3"/>
              <w:jc w:val="both"/>
            </w:pPr>
            <w:r>
              <w:rPr>
                <w:sz w:val="24"/>
              </w:rPr>
              <w:t>(1)执行国家标准GB/T24689.1-2009、NY/T 4182-2022；</w:t>
            </w:r>
          </w:p>
          <w:p>
            <w:pPr>
              <w:pStyle w:val="null3"/>
              <w:jc w:val="both"/>
            </w:pPr>
            <w:r>
              <w:rPr>
                <w:sz w:val="24"/>
              </w:rPr>
              <w:t>(2)工作电压：AC220V或DC24V电源逆变AC220V；</w:t>
            </w:r>
          </w:p>
          <w:p>
            <w:pPr>
              <w:pStyle w:val="null3"/>
              <w:jc w:val="both"/>
            </w:pPr>
            <w:r>
              <w:rPr>
                <w:sz w:val="24"/>
              </w:rPr>
              <w:t>(3)诱集光源：黑光灯、紫外灯、LED诱虫灯管（满足其一），≤20W，波长320~680nm；灯管启动时间：≤ 5S；</w:t>
            </w:r>
          </w:p>
          <w:p>
            <w:pPr>
              <w:pStyle w:val="null3"/>
              <w:jc w:val="both"/>
            </w:pPr>
            <w:r>
              <w:rPr>
                <w:sz w:val="24"/>
              </w:rPr>
              <w:t>(4)蓄电池：12V100Ah*4块；太阳能板：18V70W*8块；</w:t>
            </w:r>
          </w:p>
          <w:p>
            <w:pPr>
              <w:pStyle w:val="null3"/>
              <w:jc w:val="both"/>
            </w:pPr>
            <w:r>
              <w:rPr>
                <w:sz w:val="24"/>
              </w:rPr>
              <w:t>功率：</w:t>
            </w:r>
            <w:r>
              <w:rPr>
                <w:sz w:val="24"/>
              </w:rPr>
              <w:t>≥200W，待机≤5W；绝缘电阻：≥2.5MΩ；网路：有线光纤/无线网桥/4G路由器；</w:t>
            </w:r>
          </w:p>
          <w:p>
            <w:pPr>
              <w:pStyle w:val="null3"/>
              <w:jc w:val="both"/>
            </w:pPr>
            <w:r>
              <w:rPr>
                <w:sz w:val="24"/>
              </w:rPr>
              <w:t>(5)撞击屏：三块撞击屏互成≥120°夹角；</w:t>
            </w:r>
          </w:p>
          <w:p>
            <w:pPr>
              <w:pStyle w:val="null3"/>
              <w:jc w:val="both"/>
            </w:pPr>
            <w:r>
              <w:rPr>
                <w:sz w:val="24"/>
              </w:rPr>
              <w:t>(6)工作环境：温度0~70℃；湿度≤95%；处理仓温度：85℃-90℃，（温控可调）；</w:t>
            </w:r>
          </w:p>
          <w:p>
            <w:pPr>
              <w:pStyle w:val="null3"/>
              <w:jc w:val="both"/>
            </w:pPr>
            <w:r>
              <w:rPr>
                <w:sz w:val="24"/>
              </w:rPr>
              <w:t>（</w:t>
            </w:r>
            <w:r>
              <w:rPr>
                <w:sz w:val="24"/>
              </w:rPr>
              <w:t>7）远红外虫体致死率不小于98%，虫体完整率不小于95%；</w:t>
            </w:r>
          </w:p>
          <w:p>
            <w:pPr>
              <w:pStyle w:val="null3"/>
              <w:jc w:val="both"/>
            </w:pPr>
            <w:r>
              <w:rPr>
                <w:sz w:val="24"/>
              </w:rPr>
              <w:t>（</w:t>
            </w:r>
            <w:r>
              <w:rPr>
                <w:sz w:val="24"/>
              </w:rPr>
              <w:t>8）具有害虫自动平铺和清扫功能，保证虫体不堆积； 并具有自动清洗功能，保障底板清洁，可按需设置清洗时间；</w:t>
            </w:r>
          </w:p>
          <w:p>
            <w:pPr>
              <w:pStyle w:val="null3"/>
              <w:jc w:val="both"/>
            </w:pPr>
            <w:r>
              <w:rPr>
                <w:sz w:val="24"/>
              </w:rPr>
              <w:t>（</w:t>
            </w:r>
            <w:r>
              <w:rPr>
                <w:sz w:val="24"/>
              </w:rPr>
              <w:t>9）显示屏≥7寸，搭载有操作系统，可视化操作管理设备；系统控制：可在设备终端触摸屏、PC 端、APP端、微信小程序对设备进行控制操作，可以远程查看和控制：灯管开关、清扫、工作模式、拍照间隔、联网信息、远程启动/重启、设备定位等设备的运行状态；</w:t>
            </w:r>
          </w:p>
          <w:p>
            <w:pPr>
              <w:pStyle w:val="null3"/>
              <w:jc w:val="both"/>
            </w:pPr>
            <w:r>
              <w:rPr>
                <w:sz w:val="24"/>
              </w:rPr>
              <w:t>(10)害虫拍照和统计：设备具备定时自动拍照功能；相机像素≥2000万，照片像素≥5472*3648pix；具有昆虫识别功能，可识别一、二类农作物病虫害名录中及常见农作物主要趋光性害虫150余种，一类、二类害虫识别准确率不小于95%，常见害虫识别率不小于85%；系统对上传的信息进行统计分析，通过列表、图片、图表等显示。</w:t>
            </w:r>
          </w:p>
          <w:p>
            <w:pPr>
              <w:pStyle w:val="null3"/>
              <w:jc w:val="both"/>
            </w:pPr>
            <w:r>
              <w:rPr>
                <w:sz w:val="24"/>
              </w:rPr>
              <w:t>(11)显示功能：操作方式多样。可通过网页版和小程序实时数据查看，可查看设备位置、工作环境、气象数据、虫体图像、种类及发生趋势图和发送预警信息；</w:t>
            </w:r>
          </w:p>
          <w:p>
            <w:pPr>
              <w:pStyle w:val="null3"/>
              <w:jc w:val="both"/>
            </w:pPr>
            <w:r>
              <w:rPr>
                <w:sz w:val="24"/>
              </w:rPr>
              <w:t>(12)苗情监测：可随时随地查看实时监测情况和管理设备；远程实时控制监控角度、变倍、变焦等；白天可视距离≥500m，当监测半径为20m时可清晰分辨10mm×10mm的物体；夜视距离≥50m，当监测半径为8m时可清晰分辨10mm×10mm的物体；云台水平转角和摄像装置相对于云台的水平自转角均不小于360°，垂直转角不小于 90°。水平方向移动距离不小于 3m，垂直方向移动距离不小于1.5m；当监测半径为8m时可清晰分辨10mm×10mm的物体。</w:t>
            </w:r>
          </w:p>
          <w:p>
            <w:pPr>
              <w:pStyle w:val="null3"/>
              <w:jc w:val="both"/>
            </w:pPr>
            <w:r>
              <w:rPr>
                <w:sz w:val="24"/>
              </w:rPr>
              <w:t>（</w:t>
            </w:r>
            <w:r>
              <w:rPr>
                <w:sz w:val="24"/>
              </w:rPr>
              <w:t>13）气象因子信息数据自动采集、上传，与物联网平台结合使用可自动分析相关数据，与病、虫物联网设备结合使用，可产生所需病、虫的专用数据模型。可监测风向、风速、温度、湿度、气压等常规气象要素；</w:t>
            </w:r>
          </w:p>
          <w:p>
            <w:pPr>
              <w:pStyle w:val="null3"/>
              <w:jc w:val="both"/>
            </w:pPr>
            <w:r>
              <w:rPr>
                <w:sz w:val="24"/>
              </w:rPr>
              <w:t>1）空气温度测量范围：-40~60℃，分辨率 0.1℃，允差±0.3℃；空气湿度测量范围：0-100%RH，分辨率1%RH，允差±2 %RH；</w:t>
            </w:r>
          </w:p>
          <w:p>
            <w:pPr>
              <w:pStyle w:val="null3"/>
              <w:jc w:val="both"/>
            </w:pPr>
            <w:r>
              <w:rPr>
                <w:sz w:val="24"/>
              </w:rPr>
              <w:t>2）光照强度测量范围：0-65535 lx，允差±10 lx；</w:t>
            </w:r>
          </w:p>
          <w:p>
            <w:pPr>
              <w:pStyle w:val="null3"/>
              <w:jc w:val="both"/>
            </w:pPr>
            <w:r>
              <w:rPr>
                <w:sz w:val="24"/>
              </w:rPr>
              <w:t>3）土壤温度测量范围：-40-80℃，允差±0.5℃；土壤水分测量范围：0-100%RH，允差±3 %；</w:t>
            </w:r>
          </w:p>
          <w:p>
            <w:pPr>
              <w:pStyle w:val="null3"/>
              <w:jc w:val="both"/>
            </w:pPr>
            <w:r>
              <w:rPr>
                <w:sz w:val="24"/>
              </w:rPr>
              <w:t>4）降雨量测量范围：0-4mm/min，允差0-4mm/min；</w:t>
            </w:r>
          </w:p>
          <w:p>
            <w:pPr>
              <w:pStyle w:val="null3"/>
              <w:jc w:val="both"/>
            </w:pPr>
            <w:r>
              <w:rPr>
                <w:sz w:val="24"/>
              </w:rPr>
              <w:t>5）风速测量范围：0-60m/s，允差± 2 %；东、东南、南、西南、西、西北、北、东北八个方向的风向。</w:t>
            </w:r>
          </w:p>
          <w:p>
            <w:pPr>
              <w:pStyle w:val="null3"/>
              <w:jc w:val="both"/>
            </w:pPr>
            <w:r>
              <w:rPr>
                <w:sz w:val="24"/>
              </w:rPr>
              <w:t>（</w:t>
            </w:r>
            <w:r>
              <w:rPr>
                <w:sz w:val="24"/>
              </w:rPr>
              <w:t>14）设备软件控制器：具有物联网的害虫多功能监测功能，电脑端管理系统和手机端管理系统，能有效采集、存储处理光控、雨控传感器信息，并能控制计时、诱集光源、红外处理、排水、分时等功能工作；</w:t>
            </w:r>
          </w:p>
          <w:p>
            <w:pPr>
              <w:pStyle w:val="null3"/>
              <w:jc w:val="both"/>
            </w:pPr>
            <w:r>
              <w:rPr>
                <w:sz w:val="24"/>
              </w:rPr>
              <w:t>（</w:t>
            </w:r>
            <w:r>
              <w:rPr>
                <w:sz w:val="24"/>
              </w:rPr>
              <w:t>15）可实现国家、省、市县三级网络信息处理、储存、传输，必须能够接入省病虫疫情信息系统；电脑客户端、手机都可实时数据。</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1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害虫性诱电子</w:t>
            </w:r>
          </w:p>
          <w:p>
            <w:pPr>
              <w:pStyle w:val="null3"/>
              <w:jc w:val="center"/>
            </w:pPr>
            <w:r>
              <w:rPr>
                <w:sz w:val="24"/>
              </w:rPr>
              <w:t>测报设备</w:t>
            </w:r>
          </w:p>
        </w:tc>
        <w:tc>
          <w:tcPr>
            <w:tcW w:type="dxa" w:w="1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4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4"/>
              </w:rPr>
              <w:t>（</w:t>
            </w:r>
            <w:r>
              <w:rPr>
                <w:sz w:val="24"/>
              </w:rPr>
              <w:t>1）害虫性诱电子测报设备是依托性诱技术对靶标害虫诱捕的专一性，结合光电感应技术、现代物联网技术，研究开发的一套集诱捕、计数、数据传输与分析的现代化农林业害虫性诱测报系统 （需提供产品取得害虫性诱测报系统计算机软件著作权证书）；</w:t>
            </w:r>
          </w:p>
          <w:p>
            <w:pPr>
              <w:pStyle w:val="null3"/>
              <w:jc w:val="both"/>
            </w:pPr>
            <w:r>
              <w:rPr>
                <w:sz w:val="24"/>
              </w:rPr>
              <w:t>（</w:t>
            </w:r>
            <w:r>
              <w:rPr>
                <w:sz w:val="24"/>
              </w:rPr>
              <w:t>2）电池:锂电池标准容量不低于12V16Ah；太阳能板：单晶≥18V50W；</w:t>
            </w:r>
          </w:p>
          <w:p>
            <w:pPr>
              <w:pStyle w:val="null3"/>
              <w:jc w:val="both"/>
            </w:pPr>
            <w:r>
              <w:rPr>
                <w:sz w:val="24"/>
              </w:rPr>
              <w:t>（</w:t>
            </w:r>
            <w:r>
              <w:rPr>
                <w:sz w:val="24"/>
              </w:rPr>
              <w:t>3）摄像头像素：≥200W像素，图片大小≥1920*1080；3.6mm 高清镜头；</w:t>
            </w:r>
          </w:p>
          <w:p>
            <w:pPr>
              <w:pStyle w:val="null3"/>
              <w:jc w:val="both"/>
            </w:pPr>
            <w:r>
              <w:rPr>
                <w:sz w:val="24"/>
              </w:rPr>
              <w:t>（</w:t>
            </w:r>
            <w:r>
              <w:rPr>
                <w:sz w:val="24"/>
              </w:rPr>
              <w:t>4）网络模式：4G全网通，支持Nano Sim卡；</w:t>
            </w:r>
          </w:p>
          <w:p>
            <w:pPr>
              <w:pStyle w:val="null3"/>
              <w:jc w:val="both"/>
            </w:pPr>
            <w:r>
              <w:rPr>
                <w:sz w:val="24"/>
              </w:rPr>
              <w:t>（</w:t>
            </w:r>
            <w:r>
              <w:rPr>
                <w:sz w:val="24"/>
              </w:rPr>
              <w:t>5）害虫自动计数技术，技术原理采用红外感应及摄像头智能识别技术双重计数功能，实现即时传输：草地贪夜蛾、实蝇、小菜蛾、斜纹夜蛾、甜菜夜蛾、稻纵卷叶螟、二化螟、三化螟等各类害虫多参数精准采集，精准化测报；</w:t>
            </w:r>
          </w:p>
          <w:p>
            <w:pPr>
              <w:pStyle w:val="null3"/>
              <w:jc w:val="both"/>
            </w:pPr>
            <w:r>
              <w:rPr>
                <w:sz w:val="21"/>
              </w:rPr>
              <w:t>▲</w:t>
            </w:r>
            <w:r>
              <w:rPr>
                <w:sz w:val="24"/>
              </w:rPr>
              <w:t>（</w:t>
            </w:r>
            <w:r>
              <w:rPr>
                <w:sz w:val="24"/>
              </w:rPr>
              <w:t>6）自动拍照：物联网害虫监测管理系统内置≥200W照相机，可实现自动拍照，实时采集害虫照片（需提供产品取得物联网害虫监测管理系统计算机软件著作权证书）；</w:t>
            </w:r>
          </w:p>
          <w:p>
            <w:pPr>
              <w:pStyle w:val="null3"/>
              <w:jc w:val="both"/>
            </w:pPr>
            <w:r>
              <w:rPr>
                <w:sz w:val="24"/>
              </w:rPr>
              <w:t>（</w:t>
            </w:r>
            <w:r>
              <w:rPr>
                <w:sz w:val="24"/>
              </w:rPr>
              <w:t>7）自动化分析数据，自主化选择数据；无线数据即时传输技术：可安装于任何有手机信号的区域即可，采用2G/3G/4G及短信传输等自动切换功能，确保数据在各种环境中能准确无误上报；</w:t>
            </w:r>
          </w:p>
          <w:p>
            <w:pPr>
              <w:pStyle w:val="null3"/>
              <w:jc w:val="both"/>
            </w:pPr>
            <w:r>
              <w:rPr>
                <w:sz w:val="24"/>
              </w:rPr>
              <w:t>（</w:t>
            </w:r>
            <w:r>
              <w:rPr>
                <w:sz w:val="24"/>
              </w:rPr>
              <w:t>8）多系统支持，满足各级测报专业人员需求；诱芯更换定时提醒，害虫预警实时推送；图形界面操作，参数设置灵活；实时数据显示功能：在用户指定的任何地方安装显示屏，可实时显示监测区域气候信息、不同害虫年（月、日）变化动态，任林工作时间可对全省、全市、全县、全区域各种动态一目了然，实现可在电脑网站及手机端查询各地虫情动态变化；</w:t>
            </w:r>
          </w:p>
          <w:p>
            <w:pPr>
              <w:pStyle w:val="null3"/>
              <w:jc w:val="both"/>
            </w:pPr>
            <w:r>
              <w:rPr>
                <w:sz w:val="24"/>
              </w:rPr>
              <w:t>（</w:t>
            </w:r>
            <w:r>
              <w:rPr>
                <w:sz w:val="24"/>
              </w:rPr>
              <w:t>9）虫体完善保存：采用风干技术，确保每一只害虫进入到诱捕器风干并保持虫体干燥完整，提高植保部门对害虫鉴定的便捷性；</w:t>
            </w:r>
          </w:p>
          <w:p>
            <w:pPr>
              <w:pStyle w:val="null3"/>
              <w:jc w:val="both"/>
            </w:pPr>
            <w:r>
              <w:rPr>
                <w:sz w:val="21"/>
              </w:rPr>
              <w:t>▲</w:t>
            </w:r>
            <w:r>
              <w:rPr>
                <w:sz w:val="24"/>
              </w:rPr>
              <w:t>（</w:t>
            </w:r>
            <w:r>
              <w:rPr>
                <w:sz w:val="24"/>
              </w:rPr>
              <w:t>10）产品技术成熟并得到市场广泛认可；（需提供产品经过两地或以上农业部门出具的田间试验示范报告）</w:t>
            </w:r>
          </w:p>
          <w:p>
            <w:pPr>
              <w:pStyle w:val="null3"/>
              <w:jc w:val="both"/>
            </w:pPr>
            <w:r>
              <w:rPr>
                <w:sz w:val="24"/>
              </w:rPr>
              <w:t>（</w:t>
            </w:r>
            <w:r>
              <w:rPr>
                <w:sz w:val="24"/>
              </w:rPr>
              <w:t>11）产品具有二维码智能报障功能，可通过手机扫描二维码，一键式报修。</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1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昆虫色板诱测</w:t>
            </w:r>
          </w:p>
          <w:p>
            <w:pPr>
              <w:pStyle w:val="null3"/>
              <w:jc w:val="center"/>
            </w:pPr>
            <w:r>
              <w:rPr>
                <w:sz w:val="24"/>
              </w:rPr>
              <w:t>系统</w:t>
            </w:r>
          </w:p>
        </w:tc>
        <w:tc>
          <w:tcPr>
            <w:tcW w:type="dxa" w:w="1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4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jc w:val="both"/>
            </w:pPr>
            <w:r>
              <w:rPr>
                <w:sz w:val="21"/>
              </w:rPr>
              <w:t>▲</w:t>
            </w:r>
            <w:r>
              <w:rPr>
                <w:sz w:val="24"/>
              </w:rPr>
              <w:t>（</w:t>
            </w:r>
            <w:r>
              <w:rPr>
                <w:sz w:val="24"/>
              </w:rPr>
              <w:t>1）昆虫色板诱测系统</w:t>
            </w:r>
            <w:r>
              <w:rPr>
                <w:sz w:val="24"/>
              </w:rPr>
              <w:t>是</w:t>
            </w:r>
            <w:r>
              <w:rPr>
                <w:sz w:val="24"/>
              </w:rPr>
              <w:t>根据害虫对颜色具有趋性的特点，运用图像处理、智能算法、数控等技术，通过有色粘虫带对害虫自动诱捕和拍照，图像自动上传至智慧农业平台，系统进行智能识别、计数和分析，对害虫发生情况进行中长期预测，管理人员可通过电脑网页或手机</w:t>
            </w:r>
            <w:r>
              <w:rPr>
                <w:sz w:val="24"/>
              </w:rPr>
              <w:t>APP 掌握害虫发生情况和态势（需提供产品取得</w:t>
            </w:r>
            <w:r>
              <w:rPr>
                <w:sz w:val="24"/>
              </w:rPr>
              <w:t>智能害虫色诱测报</w:t>
            </w:r>
            <w:r>
              <w:rPr>
                <w:sz w:val="24"/>
              </w:rPr>
              <w:t>系统计算机软件著作权证书）。</w:t>
            </w:r>
          </w:p>
          <w:p>
            <w:pPr>
              <w:pStyle w:val="null3"/>
              <w:jc w:val="both"/>
            </w:pPr>
            <w:r>
              <w:rPr>
                <w:sz w:val="24"/>
              </w:rPr>
              <w:t>（</w:t>
            </w:r>
            <w:r>
              <w:rPr>
                <w:sz w:val="24"/>
              </w:rPr>
              <w:t>2）适配电源：AC220V；DC24V。或太阳能供电≥18V70W，锂电池12V24Ah。功率≥10W。绝缘电阻≥2.5MΩ。</w:t>
            </w:r>
            <w:r>
              <w:br/>
            </w:r>
            <w:r>
              <w:rPr>
                <w:sz w:val="24"/>
              </w:rPr>
              <w:t>（</w:t>
            </w:r>
            <w:r>
              <w:rPr>
                <w:sz w:val="24"/>
              </w:rPr>
              <w:t>3）诱虫面尺寸：≥200mm×220mm。外形尺寸：长≥533mm*宽≥323mm*高≥1668m（±5mm），主体采用不锈材质喷塑工艺处理。外观应整齐美观，表面平整光洁，色泽均匀、无裂痕等缺陷，整体应牢固，无松动。</w:t>
            </w:r>
            <w:r>
              <w:br/>
            </w:r>
            <w:r>
              <w:rPr>
                <w:sz w:val="24"/>
              </w:rPr>
              <w:t>（</w:t>
            </w:r>
            <w:r>
              <w:rPr>
                <w:sz w:val="24"/>
              </w:rPr>
              <w:t>4）自动拍照：≥1200W像素高清工业相机，可实现自动拍照，实时采集害虫照片，照片像素≥3000*4000pix。苗情监测：配备≥200W像素微型镜头，定时抓拍现在作物生长情况。</w:t>
            </w:r>
            <w:r>
              <w:br/>
            </w:r>
            <w:r>
              <w:rPr>
                <w:sz w:val="24"/>
              </w:rPr>
              <w:t>（</w:t>
            </w:r>
            <w:r>
              <w:rPr>
                <w:sz w:val="24"/>
              </w:rPr>
              <w:t>5）工作环境：温度0~70℃；湿度≤95%。</w:t>
            </w:r>
            <w:r>
              <w:br/>
            </w:r>
            <w:r>
              <w:rPr>
                <w:sz w:val="24"/>
              </w:rPr>
              <w:t>（</w:t>
            </w:r>
            <w:r>
              <w:rPr>
                <w:sz w:val="24"/>
              </w:rPr>
              <w:t>6）粘虫带转速：≥10r/min。</w:t>
            </w:r>
            <w:r>
              <w:br/>
            </w:r>
            <w:r>
              <w:rPr>
                <w:sz w:val="24"/>
              </w:rPr>
              <w:t>（</w:t>
            </w:r>
            <w:r>
              <w:rPr>
                <w:sz w:val="24"/>
              </w:rPr>
              <w:t>7）网络控制：使用手机及电脑端可后台升级，可允许外界平台来进行数据对接。可进行远程控制数据上传、照片上传等，可通过网页版和小程序实时数据查看，可查看设备位置、工作环境、气象数据、虫体图像、种类和发送预警信息。</w:t>
            </w:r>
            <w:r>
              <w:br/>
            </w:r>
            <w:r>
              <w:rPr>
                <w:sz w:val="24"/>
              </w:rPr>
              <w:t>（</w:t>
            </w:r>
            <w:r>
              <w:rPr>
                <w:sz w:val="24"/>
              </w:rPr>
              <w:t>8）控制系统：粘虫带高度可调，拍照时间可调，自动轮换粘虫带。系统对上传的信息进行统计分析，通过列表、图片、图表等显示</w:t>
            </w:r>
            <w:r>
              <w:rPr>
                <w:sz w:val="24"/>
              </w:rPr>
              <w:t>。</w:t>
            </w:r>
          </w:p>
          <w:p>
            <w:pPr>
              <w:pStyle w:val="null3"/>
              <w:jc w:val="both"/>
            </w:pPr>
            <w:r>
              <w:rPr>
                <w:sz w:val="24"/>
              </w:rPr>
              <w:t>（</w:t>
            </w:r>
            <w:r>
              <w:rPr>
                <w:sz w:val="24"/>
              </w:rPr>
              <w:t>9）保留开发端口确保后续可以开发对接，能对昆虫照片进行识别，并且具有昆虫统计功能。</w:t>
            </w:r>
          </w:p>
          <w:p>
            <w:pPr>
              <w:pStyle w:val="null3"/>
              <w:jc w:val="both"/>
            </w:pPr>
            <w:r>
              <w:rPr>
                <w:sz w:val="24"/>
              </w:rPr>
              <w:t>（</w:t>
            </w:r>
            <w:r>
              <w:rPr>
                <w:sz w:val="24"/>
              </w:rPr>
              <w:t>10）智能报修：设备具有二维码智能报障功能，可通过手机扫描二维码，实现一键式报修。</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1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小虫体智能测报系统</w:t>
            </w:r>
          </w:p>
        </w:tc>
        <w:tc>
          <w:tcPr>
            <w:tcW w:type="dxa" w:w="1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4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w:t>
            </w:r>
            <w:r>
              <w:rPr>
                <w:sz w:val="24"/>
              </w:rPr>
              <w:t>1）专用于毫米级趋光性害虫的智能测报，特殊进虫口设计，避免出现由于体积较大的虫子掩盖小虫体，导致摄像头无法采集到造成测报不准的问题。</w:t>
            </w:r>
          </w:p>
          <w:p>
            <w:pPr>
              <w:pStyle w:val="null3"/>
              <w:jc w:val="both"/>
            </w:pPr>
            <w:r>
              <w:rPr>
                <w:sz w:val="24"/>
              </w:rPr>
              <w:t>（</w:t>
            </w:r>
            <w:r>
              <w:rPr>
                <w:sz w:val="24"/>
              </w:rPr>
              <w:t>2）采用光、电、数控技术，远程自动控制。有防雨结构，下雨天可以正常工作，正常捕虫。</w:t>
            </w:r>
          </w:p>
          <w:p>
            <w:pPr>
              <w:pStyle w:val="null3"/>
              <w:jc w:val="both"/>
            </w:pPr>
            <w:r>
              <w:rPr>
                <w:sz w:val="24"/>
              </w:rPr>
              <w:t>（</w:t>
            </w:r>
            <w:r>
              <w:rPr>
                <w:sz w:val="24"/>
              </w:rPr>
              <w:t>3）内置≥2000W高清像机，对微小虫体进行活体拍照，针对害虫进行自动识别计数，平均识别准确率≥85%。</w:t>
            </w:r>
          </w:p>
          <w:p>
            <w:pPr>
              <w:pStyle w:val="null3"/>
              <w:jc w:val="both"/>
            </w:pPr>
            <w:r>
              <w:rPr>
                <w:sz w:val="24"/>
              </w:rPr>
              <w:t>（</w:t>
            </w:r>
            <w:r>
              <w:rPr>
                <w:sz w:val="24"/>
              </w:rPr>
              <w:t>4）可远程设置工作模式，通过PC云端及手机APP端能远程自动拍照和手动拍照，可分时段设置和控制，自动拍照和手动拍照均可。对小虫体进行活体拍照，虫体完整率≥95%。</w:t>
            </w:r>
          </w:p>
          <w:p>
            <w:pPr>
              <w:pStyle w:val="null3"/>
              <w:jc w:val="both"/>
            </w:pPr>
            <w:r>
              <w:rPr>
                <w:sz w:val="24"/>
              </w:rPr>
              <w:t>（</w:t>
            </w:r>
            <w:r>
              <w:rPr>
                <w:sz w:val="24"/>
              </w:rPr>
              <w:t>5）可实现在电脑端和手机端对设备远程手动控制诱虫灯开启、翻板旋转、风扇开启、相机拍照等功能。图像处理：可实现对拍摄画面的图像处理，图片保存质量满足虫体人工手动计数的识别需求。</w:t>
            </w:r>
          </w:p>
          <w:p>
            <w:pPr>
              <w:pStyle w:val="null3"/>
              <w:jc w:val="both"/>
            </w:pPr>
            <w:r>
              <w:rPr>
                <w:sz w:val="24"/>
              </w:rPr>
              <w:t>（</w:t>
            </w:r>
            <w:r>
              <w:rPr>
                <w:sz w:val="24"/>
              </w:rPr>
              <w:t>6）内置GPS定位功能，可在地图中查看设备站点等数据。在PC云端地图中查看设备站点等数据，设备被盗可追踪。</w:t>
            </w:r>
          </w:p>
          <w:p>
            <w:pPr>
              <w:pStyle w:val="null3"/>
              <w:jc w:val="both"/>
            </w:pPr>
            <w:r>
              <w:rPr>
                <w:sz w:val="24"/>
              </w:rPr>
              <w:t>（</w:t>
            </w:r>
            <w:r>
              <w:rPr>
                <w:sz w:val="24"/>
              </w:rPr>
              <w:t>7）光控控制：晚上自动开灯运行，白天自动关灯（待机），在夜间工作状态下，不受瞬间强光照射改变工作状态。</w:t>
            </w:r>
          </w:p>
          <w:p>
            <w:pPr>
              <w:pStyle w:val="null3"/>
              <w:jc w:val="both"/>
            </w:pPr>
            <w:r>
              <w:rPr>
                <w:sz w:val="24"/>
              </w:rPr>
              <w:t>（</w:t>
            </w:r>
            <w:r>
              <w:rPr>
                <w:sz w:val="24"/>
              </w:rPr>
              <w:t>8）时段控制：根据靶标害虫生活习性规律，设定工作时间段。</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1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物联网显示设备</w:t>
            </w:r>
          </w:p>
          <w:p>
            <w:pPr>
              <w:pStyle w:val="null3"/>
              <w:jc w:val="center"/>
            </w:pPr>
            <w:r>
              <w:rPr>
                <w:sz w:val="24"/>
              </w:rPr>
              <w:t>（大屏）</w:t>
            </w:r>
          </w:p>
        </w:tc>
        <w:tc>
          <w:tcPr>
            <w:tcW w:type="dxa" w:w="1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4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w:t>
            </w:r>
            <w:r>
              <w:rPr>
                <w:sz w:val="24"/>
              </w:rPr>
              <w:t>1）P3全彩显示终端，规格≥1.72m×1.15m，控制系统：485+232对接控制卡，防水设计，配套2根不低于1.5米立柱支架，配置在重点田间监测点，用于发布展示病虫监测防控信息。含立杆，注意具备室外防风防雨防晒等功能。</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1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便携式智能</w:t>
            </w:r>
          </w:p>
          <w:p>
            <w:pPr>
              <w:pStyle w:val="null3"/>
              <w:jc w:val="center"/>
            </w:pPr>
            <w:r>
              <w:rPr>
                <w:sz w:val="24"/>
              </w:rPr>
              <w:t>测报仪（</w:t>
            </w:r>
            <w:r>
              <w:rPr>
                <w:sz w:val="24"/>
              </w:rPr>
              <w:t>AR眼镜）</w:t>
            </w:r>
          </w:p>
        </w:tc>
        <w:tc>
          <w:tcPr>
            <w:tcW w:type="dxa" w:w="1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4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集成应用了智能感知、智能决策、智能控制、多传感融合等智能化技术，主要包括显示终端、主控</w:t>
            </w:r>
            <w:r>
              <w:rPr>
                <w:sz w:val="24"/>
              </w:rPr>
              <w:t>SOC模块、5G模块，摄像头，驱动控制等，可实现24小时自主连续作业。</w:t>
            </w:r>
          </w:p>
          <w:p>
            <w:pPr>
              <w:pStyle w:val="null3"/>
              <w:jc w:val="both"/>
            </w:pPr>
            <w:r>
              <w:rPr>
                <w:sz w:val="24"/>
              </w:rPr>
              <w:t>（</w:t>
            </w:r>
            <w:r>
              <w:rPr>
                <w:sz w:val="24"/>
              </w:rPr>
              <w:t>1）智能交互：支持语音输入识别和语音指令控制功能。</w:t>
            </w:r>
          </w:p>
          <w:p>
            <w:pPr>
              <w:pStyle w:val="null3"/>
              <w:jc w:val="both"/>
            </w:pPr>
            <w:r>
              <w:rPr>
                <w:sz w:val="24"/>
              </w:rPr>
              <w:t>（</w:t>
            </w:r>
            <w:r>
              <w:rPr>
                <w:sz w:val="24"/>
              </w:rPr>
              <w:t>2）场景覆盖：具有水稻、玉米等多种主要农作物的病虫害调查场景，可根据国家调查规范灵活扩展新的业务场景。</w:t>
            </w:r>
          </w:p>
          <w:p>
            <w:pPr>
              <w:pStyle w:val="null3"/>
              <w:jc w:val="both"/>
            </w:pPr>
            <w:r>
              <w:rPr>
                <w:sz w:val="21"/>
              </w:rPr>
              <w:t>▲</w:t>
            </w:r>
            <w:r>
              <w:rPr>
                <w:sz w:val="24"/>
              </w:rPr>
              <w:t>（</w:t>
            </w:r>
            <w:r>
              <w:rPr>
                <w:sz w:val="24"/>
              </w:rPr>
              <w:t>3）图像识别：具有水稻稻飞虱、稻纵卷叶螟卷叶的图像识别功能，平均识别准确率≥85%。（需提供产品取得稻飞虱智能识别系统计算机软件著作权证书）</w:t>
            </w:r>
          </w:p>
          <w:p>
            <w:pPr>
              <w:pStyle w:val="null3"/>
              <w:jc w:val="both"/>
            </w:pPr>
            <w:r>
              <w:rPr>
                <w:sz w:val="24"/>
              </w:rPr>
              <w:t>（</w:t>
            </w:r>
            <w:r>
              <w:rPr>
                <w:sz w:val="24"/>
              </w:rPr>
              <w:t>4）支持原始数据查看、选择、汇算，数据报表、个性化配置识别模型、可扩展场景。具备标准化数据输出接口，调查数据支持自动汇算生成符合国家标准的植保报表。</w:t>
            </w:r>
          </w:p>
          <w:p>
            <w:pPr>
              <w:pStyle w:val="null3"/>
              <w:jc w:val="both"/>
            </w:pPr>
            <w:r>
              <w:rPr>
                <w:sz w:val="24"/>
              </w:rPr>
              <w:t>（</w:t>
            </w:r>
            <w:r>
              <w:rPr>
                <w:sz w:val="24"/>
              </w:rPr>
              <w:t>5）具备标准化数据输出接口，调查数据支持自动汇算生成符合国家标准的植保报表，与国家级系统和广东省病虫疫情信息调度指挥平台实现无缝对接。</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w:t>
            </w:r>
          </w:p>
        </w:tc>
        <w:tc>
          <w:tcPr>
            <w:tcW w:type="dxa" w:w="1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病虫调查工具箱</w:t>
            </w:r>
          </w:p>
        </w:tc>
        <w:tc>
          <w:tcPr>
            <w:tcW w:type="dxa" w:w="1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4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w:t>
            </w:r>
            <w:r>
              <w:rPr>
                <w:sz w:val="24"/>
              </w:rPr>
              <w:t>1）配备适用于野外调查、植物调查、病虫测报的常用工具装备，方便携带，可对病虫进行田间调查和监测。主要工具仪器配置：便携式水桶、医用剪刀、指南针、虫网、签字笔、昆虫采集三件套、弯镊子、剪枝剪、检疫手套、太阳帽、检疫口罩、指形管、围尺、昆虫钳、多用小刀、折叠锯、油性记号笔、卷尺、解剖刀、常用标签、笔记本、小铲、手电筒、手动计数器、带光源放大镜、样品采集器、注射器、水果刀、解剖针、养虫盒、折叠板凳、毒瓶、放大镜、微型显微镜、直镊子16cm、望远镜、昆虫针、多用斧头等。</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三</w:t>
            </w:r>
          </w:p>
        </w:tc>
        <w:tc>
          <w:tcPr>
            <w:tcW w:type="dxa" w:w="1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一般监测点</w:t>
            </w:r>
          </w:p>
        </w:tc>
        <w:tc>
          <w:tcPr>
            <w:tcW w:type="dxa" w:w="1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4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简易监测坪</w:t>
            </w:r>
          </w:p>
        </w:tc>
        <w:tc>
          <w:tcPr>
            <w:tcW w:type="dxa" w:w="1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4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w:t>
            </w:r>
            <w:r>
              <w:rPr>
                <w:sz w:val="24"/>
              </w:rPr>
              <w:t>1）单个建设规格约 4m×4m，含平整土地、架设电线、绿化及铺设田埂道路、排灌渠道、围栏等。</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1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智能虫情测报灯</w:t>
            </w:r>
          </w:p>
        </w:tc>
        <w:tc>
          <w:tcPr>
            <w:tcW w:type="dxa" w:w="1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4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4"/>
              </w:rPr>
              <w:t>（</w:t>
            </w:r>
            <w:r>
              <w:rPr>
                <w:sz w:val="24"/>
              </w:rPr>
              <w:t>1）智能识别虫情测报设备符合GB/T2468（9）1-2009植物保护机械虫情测报灯标准（需提供第三方机构出具检验检测报告，并可在认监委网站查询）。</w:t>
            </w:r>
            <w:r>
              <w:br/>
            </w:r>
            <w:r>
              <w:rPr>
                <w:sz w:val="24"/>
              </w:rPr>
              <w:t>（</w:t>
            </w:r>
            <w:r>
              <w:rPr>
                <w:sz w:val="24"/>
              </w:rPr>
              <w:t>2）操作方式多样。可通过网页版和小程序实时数据查看，可查看设备位置、工作环境、气象数据、虫体图像、种类及发生趋势图和发送预警信息。对常规害虫自动识别功能，照片拍完后自动上传到智慧农林物联网平台，系统根据接收到的信息，自动识别害虫种类、数量，并进行统计分析。</w:t>
            </w:r>
            <w:r>
              <w:br/>
            </w:r>
            <w:r>
              <w:rPr>
                <w:sz w:val="24"/>
              </w:rPr>
              <w:t>（</w:t>
            </w:r>
            <w:r>
              <w:rPr>
                <w:sz w:val="24"/>
              </w:rPr>
              <w:t>3）自动拍照：内置≥2000W高清工业照相机，可实现自动拍照，实时采集害虫照片（须提供需提供第三方机构出具的检验检测报告佐证产品功能）。</w:t>
            </w:r>
            <w:r>
              <w:br/>
            </w:r>
            <w:r>
              <w:rPr>
                <w:sz w:val="21"/>
              </w:rPr>
              <w:t>▲</w:t>
            </w:r>
            <w:r>
              <w:rPr>
                <w:sz w:val="24"/>
              </w:rPr>
              <w:t>（</w:t>
            </w:r>
            <w:r>
              <w:rPr>
                <w:sz w:val="24"/>
              </w:rPr>
              <w:t>4）平铺和自动清扫清洗功能：有平铺自动清扫功能，防止虫体堆叠，并具有自动清洗功能，保障底板清洁，可按需设置清洗时间（需提供第三方机构出具的检验检测报告佐证产品功能）。</w:t>
            </w:r>
            <w:r>
              <w:br/>
            </w:r>
            <w:r>
              <w:rPr>
                <w:sz w:val="21"/>
              </w:rPr>
              <w:t>▲</w:t>
            </w:r>
            <w:r>
              <w:rPr>
                <w:sz w:val="24"/>
              </w:rPr>
              <w:t>（</w:t>
            </w:r>
            <w:r>
              <w:rPr>
                <w:sz w:val="24"/>
              </w:rPr>
              <w:t>5）可视化操作及语音播报：显示屏≥7寸，搭载有操作系统可以实时播报设备的工作状态进程（需提供第三方机构出具检验检测报告佐证产品功能）。</w:t>
            </w:r>
            <w:r>
              <w:br/>
            </w:r>
            <w:r>
              <w:rPr>
                <w:sz w:val="24"/>
              </w:rPr>
              <w:t>（</w:t>
            </w:r>
            <w:r>
              <w:rPr>
                <w:sz w:val="24"/>
              </w:rPr>
              <w:t>6）适配电源：AC220V；DC24V。测报灯功率≤450W。</w:t>
            </w:r>
            <w:r>
              <w:br/>
            </w:r>
            <w:r>
              <w:rPr>
                <w:sz w:val="24"/>
              </w:rPr>
              <w:t>（</w:t>
            </w:r>
            <w:r>
              <w:rPr>
                <w:sz w:val="24"/>
              </w:rPr>
              <w:t>7）撞击屏：设有3块互成≥120°角的撞击屏（须提供第三方机构出具的检验检测报告佐证产品功能）。</w:t>
            </w:r>
            <w:r>
              <w:br/>
            </w:r>
            <w:r>
              <w:rPr>
                <w:sz w:val="24"/>
              </w:rPr>
              <w:t>（</w:t>
            </w:r>
            <w:r>
              <w:rPr>
                <w:sz w:val="24"/>
              </w:rPr>
              <w:t>8）主体采用不锈材质喷塑工艺处理。外观应整齐美观，表面平整光洁，色泽均匀、无裂痕等缺陷，整体应牢固，无松动。</w:t>
            </w:r>
            <w:r>
              <w:br/>
            </w:r>
            <w:r>
              <w:rPr>
                <w:sz w:val="24"/>
              </w:rPr>
              <w:t>（</w:t>
            </w:r>
            <w:r>
              <w:rPr>
                <w:sz w:val="24"/>
              </w:rPr>
              <w:t>9）防雨功能：带有防雨罩，下雨天可以正常工作，正常捕虫。雨虫分离技术，自动雨水分流装置，突破传统测报灯的局限。排水装置：能有效将雨、虫体分离，箱体内无明显积水（须提供第三方机构出具的检验检测报告佐证产品功能）。</w:t>
            </w:r>
            <w:r>
              <w:br/>
            </w:r>
            <w:r>
              <w:rPr>
                <w:sz w:val="24"/>
              </w:rPr>
              <w:t>（</w:t>
            </w:r>
            <w:r>
              <w:rPr>
                <w:sz w:val="24"/>
              </w:rPr>
              <w:t>10）虫体处理仓内温度：红外虫体处理，仓温度控制工作15分钟后达到80℃—90℃；保障虫体完整利于害虫识别的准确性。</w:t>
            </w:r>
            <w:r>
              <w:br/>
            </w:r>
            <w:r>
              <w:rPr>
                <w:sz w:val="24"/>
              </w:rPr>
              <w:t>（</w:t>
            </w:r>
            <w:r>
              <w:rPr>
                <w:sz w:val="24"/>
              </w:rPr>
              <w:t>11）设备软件控制器：能有效采集、处理并存储光控传感器的信息，并能控制计时、诱集光源、红外虫体处理、排水等工作（需提供第三方机构出具的检验检测报告佐证产品功能）。</w:t>
            </w:r>
            <w:r>
              <w:br/>
            </w:r>
            <w:r>
              <w:rPr>
                <w:sz w:val="24"/>
              </w:rPr>
              <w:t>（</w:t>
            </w:r>
            <w:r>
              <w:rPr>
                <w:sz w:val="24"/>
              </w:rPr>
              <w:t>12）控制系统：可以在设备终端触摸屏、PC端、APP端、微信小程序对设备进行控制操作，可以远程查看和控制：灯管开关、清扫、工作模式、拍照间隔、联网信息、远程启动/重启、设备定位、电量提醒、流量查询、温湿度显示等设备的运行状态（需提供第三方机构出具的检验检测报告佐证产品功能）。</w:t>
            </w:r>
            <w:r>
              <w:br/>
            </w:r>
            <w:r>
              <w:rPr>
                <w:sz w:val="24"/>
              </w:rPr>
              <w:t>（</w:t>
            </w:r>
            <w:r>
              <w:rPr>
                <w:sz w:val="24"/>
              </w:rPr>
              <w:t>13）自动识别功能：能对一、二类农作物病虫害名录和其它常见农作物病虫害进行自动识别和计数（需提供第三方机构出具的检验检测报告佐证产品功能）。</w:t>
            </w:r>
            <w:r>
              <w:br/>
            </w:r>
            <w:r>
              <w:rPr>
                <w:sz w:val="24"/>
              </w:rPr>
              <w:t>（</w:t>
            </w:r>
            <w:r>
              <w:rPr>
                <w:sz w:val="24"/>
              </w:rPr>
              <w:t>14）预警和预测：可根据需要按天、周、月、年查询不同阶段的虫情数据、发生趋势图，设置预警值，当目标害虫达到预警值时可以以预警短信方式发送给用户；并根据检查数据和气象信息自动预测虫情发生情况。</w:t>
            </w:r>
            <w:r>
              <w:br/>
            </w:r>
            <w:r>
              <w:rPr>
                <w:sz w:val="21"/>
              </w:rPr>
              <w:t>▲</w:t>
            </w:r>
            <w:r>
              <w:rPr>
                <w:sz w:val="24"/>
              </w:rPr>
              <w:t>（</w:t>
            </w:r>
            <w:r>
              <w:rPr>
                <w:sz w:val="24"/>
              </w:rPr>
              <w:t>15）产品技术成熟并得到市场广泛认可（需提供产品应用效果现场比试结果通报证明文件）。</w:t>
            </w:r>
          </w:p>
          <w:p>
            <w:pPr>
              <w:pStyle w:val="null3"/>
              <w:jc w:val="both"/>
            </w:pPr>
            <w:r>
              <w:rPr>
                <w:sz w:val="24"/>
              </w:rPr>
              <w:t>（</w:t>
            </w:r>
            <w:r>
              <w:rPr>
                <w:sz w:val="24"/>
              </w:rPr>
              <w:t>16）智能报修：设备具有二维码智能报障功能，可通过手机扫描二维码，实现一键式报修。</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1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害虫性诱电子测报设备</w:t>
            </w:r>
          </w:p>
        </w:tc>
        <w:tc>
          <w:tcPr>
            <w:tcW w:type="dxa" w:w="1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4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w:t>
            </w:r>
            <w:r>
              <w:rPr>
                <w:sz w:val="24"/>
              </w:rPr>
              <w:t>1）害虫性诱电子测报设备是依托性诱技术对靶标害虫诱捕的专一性，结合光电感应技术、现代物联网技术，研究开发的一套集诱捕、计数、数据传输与分析的现代化农林业害虫性诱测报系统 （需提供产品取得害虫性诱测报系统计算机软件著作权证书）。</w:t>
            </w:r>
          </w:p>
          <w:p>
            <w:pPr>
              <w:pStyle w:val="null3"/>
              <w:jc w:val="both"/>
            </w:pPr>
            <w:r>
              <w:rPr>
                <w:sz w:val="24"/>
              </w:rPr>
              <w:t>（</w:t>
            </w:r>
            <w:r>
              <w:rPr>
                <w:sz w:val="24"/>
              </w:rPr>
              <w:t>2）电池:锂电池标准容量不低于12V16Ah。太阳能板：单晶≥18V50W。</w:t>
            </w:r>
          </w:p>
          <w:p>
            <w:pPr>
              <w:pStyle w:val="null3"/>
              <w:jc w:val="both"/>
            </w:pPr>
            <w:r>
              <w:rPr>
                <w:sz w:val="24"/>
              </w:rPr>
              <w:t>（</w:t>
            </w:r>
            <w:r>
              <w:rPr>
                <w:sz w:val="24"/>
              </w:rPr>
              <w:t>3）摄像头像素：≥200W像素，图片大小≥1920*1080；3.6mm 高清镜头。</w:t>
            </w:r>
          </w:p>
          <w:p>
            <w:pPr>
              <w:pStyle w:val="null3"/>
              <w:jc w:val="both"/>
            </w:pPr>
            <w:r>
              <w:rPr>
                <w:sz w:val="24"/>
              </w:rPr>
              <w:t>（</w:t>
            </w:r>
            <w:r>
              <w:rPr>
                <w:sz w:val="24"/>
              </w:rPr>
              <w:t>4）网络模式：4G全网通，支持Nano Sim卡。</w:t>
            </w:r>
          </w:p>
          <w:p>
            <w:pPr>
              <w:pStyle w:val="null3"/>
              <w:jc w:val="both"/>
            </w:pPr>
            <w:r>
              <w:rPr>
                <w:sz w:val="24"/>
              </w:rPr>
              <w:t>（</w:t>
            </w:r>
            <w:r>
              <w:rPr>
                <w:sz w:val="24"/>
              </w:rPr>
              <w:t>5）害虫自动计数技术，技术原理采用红外感应及摄像头智能识别技术双重计数功能，实现即时传输：草地贪夜蛾、实蝇、小菜蛾、斜纹夜蛾、甜菜夜蛾、稻纵卷叶螟、二化螟、三化螟等各类害虫多参数精准采集，精准化测报。</w:t>
            </w:r>
          </w:p>
          <w:p>
            <w:pPr>
              <w:pStyle w:val="null3"/>
              <w:jc w:val="both"/>
            </w:pPr>
            <w:r>
              <w:rPr>
                <w:sz w:val="24"/>
              </w:rPr>
              <w:t>（</w:t>
            </w:r>
            <w:r>
              <w:rPr>
                <w:sz w:val="24"/>
              </w:rPr>
              <w:t>6）自动化分析数据，自主化选择数据；无线数据即时传输技术：可安装于任何有手机信号的区域即可，采用2G/3G/4G及短信传输等自动切换功能，确保数据在各种环境中能准确无误上报。</w:t>
            </w:r>
          </w:p>
          <w:p>
            <w:pPr>
              <w:pStyle w:val="null3"/>
              <w:jc w:val="both"/>
            </w:pPr>
            <w:r>
              <w:rPr>
                <w:sz w:val="24"/>
              </w:rPr>
              <w:t>（</w:t>
            </w:r>
            <w:r>
              <w:rPr>
                <w:sz w:val="24"/>
              </w:rPr>
              <w:t>7）多系统支持，满足各级测报专业人员需求；诱芯更换定时提醒，害虫预警实时推送。</w:t>
            </w:r>
          </w:p>
          <w:p>
            <w:pPr>
              <w:pStyle w:val="null3"/>
              <w:jc w:val="both"/>
            </w:pPr>
            <w:r>
              <w:rPr>
                <w:sz w:val="24"/>
              </w:rPr>
              <w:t>（</w:t>
            </w:r>
            <w:r>
              <w:rPr>
                <w:sz w:val="24"/>
              </w:rPr>
              <w:t>8）图形界面操作，参数设置灵活；实时数据显示功能：在用户指定的任何地方安装显示屏，可实时显示监测区域气候信息、不同害虫年（月、日）变化动态，任林工作时间可对全省、全市、全县、全区域各种动态一目了然；实现可在电脑网站及手机端查询各地虫情动态变化。</w:t>
            </w:r>
          </w:p>
          <w:p>
            <w:pPr>
              <w:pStyle w:val="null3"/>
              <w:jc w:val="both"/>
            </w:pPr>
            <w:r>
              <w:rPr>
                <w:sz w:val="24"/>
              </w:rPr>
              <w:t>（</w:t>
            </w:r>
            <w:r>
              <w:rPr>
                <w:sz w:val="24"/>
              </w:rPr>
              <w:t>9）虫体完善保存：采用风干技术，确保每一只害虫进入到诱捕器风干并保持虫体干燥完整，提高植保部门对害虫鉴定的便捷性。</w:t>
            </w:r>
          </w:p>
          <w:p>
            <w:pPr>
              <w:pStyle w:val="null3"/>
              <w:jc w:val="both"/>
            </w:pPr>
            <w:r>
              <w:rPr>
                <w:sz w:val="24"/>
              </w:rPr>
              <w:t>（</w:t>
            </w:r>
            <w:r>
              <w:rPr>
                <w:sz w:val="24"/>
              </w:rPr>
              <w:t>10）产品技术成熟并得到市场广泛认可。（需提供产品经过两地或以上农业部门出具的田间试验示范报告）</w:t>
            </w:r>
          </w:p>
          <w:p>
            <w:pPr>
              <w:pStyle w:val="null3"/>
              <w:jc w:val="both"/>
            </w:pPr>
            <w:r>
              <w:rPr>
                <w:sz w:val="24"/>
              </w:rPr>
              <w:t>（</w:t>
            </w:r>
            <w:r>
              <w:rPr>
                <w:sz w:val="24"/>
              </w:rPr>
              <w:t>11）产品具有二维码智能报障功能，可通过手机扫描二维码，一键式报修。</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1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远程实时监控</w:t>
            </w:r>
          </w:p>
          <w:p>
            <w:pPr>
              <w:pStyle w:val="null3"/>
              <w:jc w:val="center"/>
            </w:pPr>
            <w:r>
              <w:rPr>
                <w:sz w:val="24"/>
              </w:rPr>
              <w:t>系统</w:t>
            </w:r>
          </w:p>
        </w:tc>
        <w:tc>
          <w:tcPr>
            <w:tcW w:type="dxa" w:w="1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4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w:t>
            </w:r>
            <w:r>
              <w:rPr>
                <w:sz w:val="24"/>
              </w:rPr>
              <w:t>1）供电电源： 支持太阳能供电或220伏交流电压供电；环境温度：室外-25℃～50℃；环境湿度：≤95%无结露现象；功率消耗：36W；绝缘电阻：≥2.5MΩ。</w:t>
            </w:r>
          </w:p>
          <w:p>
            <w:pPr>
              <w:pStyle w:val="null3"/>
              <w:jc w:val="both"/>
            </w:pPr>
            <w:r>
              <w:rPr>
                <w:sz w:val="24"/>
              </w:rPr>
              <w:t>（</w:t>
            </w:r>
            <w:r>
              <w:rPr>
                <w:sz w:val="24"/>
              </w:rPr>
              <w:t>2）有效监测范围：25m当监测半径为 20m 时，应能清晰辨别 10mm×10mm 的物体； 当监测半径为 10m 时，应能在夜间清晰辨别 10mm×10mm 的物体，当采集 距离为 8m 时，应能清晰辨别 1mm×1mm 物体，具有病虫害生态监控系统。</w:t>
            </w:r>
          </w:p>
          <w:p>
            <w:pPr>
              <w:pStyle w:val="null3"/>
              <w:jc w:val="both"/>
            </w:pPr>
            <w:r>
              <w:rPr>
                <w:sz w:val="24"/>
              </w:rPr>
              <w:t>（</w:t>
            </w:r>
            <w:r>
              <w:rPr>
                <w:sz w:val="24"/>
              </w:rPr>
              <w:t>3）害虫远程监控系统：通过软件可实现远程控制、画面分割、切换处理及保存，实现设备的远程控制、图像处理。（需提供产品取得害虫远程监控系统计算机软件著作权证书）</w:t>
            </w:r>
          </w:p>
          <w:p>
            <w:pPr>
              <w:pStyle w:val="null3"/>
              <w:jc w:val="both"/>
            </w:pPr>
            <w:r>
              <w:rPr>
                <w:sz w:val="24"/>
              </w:rPr>
              <w:t>（</w:t>
            </w:r>
            <w:r>
              <w:rPr>
                <w:sz w:val="24"/>
              </w:rPr>
              <w:t>4）镜头功能：高清镜头可30倍以上光学变焦、水平转角360°、垂直旋转90°；具备红外夜视、室外防水、电子防抖、电子雾镜、定时任务、一键守望,一键巡航、定时抓图、事件抓图，当球机待机时间达到设置值时，可自动运行调预置位、自动巡航、自动扫描、模式路径。</w:t>
            </w:r>
          </w:p>
          <w:p>
            <w:pPr>
              <w:pStyle w:val="null3"/>
              <w:jc w:val="both"/>
            </w:pPr>
            <w:r>
              <w:rPr>
                <w:sz w:val="24"/>
              </w:rPr>
              <w:t>（</w:t>
            </w:r>
            <w:r>
              <w:rPr>
                <w:sz w:val="24"/>
              </w:rPr>
              <w:t>5）物联网害虫监测管理系统与信息转换器进行远程配置，可用于无人值守的场所。按照通信两端传输信息的需要把要传输的信息送到符合要求的相应路由上。主要功能包括物理编址、网络拓扑结构、错误校验、帧序列以及流控。支持VLAN（虚拟局域网）、链路汇聚、具有防火墙功能。检测和诊断故障自动化，减少维护工作量，节省维护人员。</w:t>
            </w:r>
          </w:p>
          <w:p>
            <w:pPr>
              <w:pStyle w:val="null3"/>
              <w:jc w:val="both"/>
            </w:pPr>
            <w:r>
              <w:rPr>
                <w:sz w:val="24"/>
              </w:rPr>
              <w:t>（</w:t>
            </w:r>
            <w:r>
              <w:rPr>
                <w:sz w:val="24"/>
              </w:rPr>
              <w:t>6）设备具有二维码智能报障功能，可通过手机扫描二维码，一键式报修。</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1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物联网显示设备</w:t>
            </w:r>
          </w:p>
          <w:p>
            <w:pPr>
              <w:pStyle w:val="null3"/>
              <w:jc w:val="center"/>
            </w:pPr>
            <w:r>
              <w:rPr>
                <w:sz w:val="24"/>
              </w:rPr>
              <w:t>（小屏）</w:t>
            </w:r>
          </w:p>
        </w:tc>
        <w:tc>
          <w:tcPr>
            <w:tcW w:type="dxa" w:w="1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4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用于发布展示病虫监测防控信息。配置在一般监测点，用于发布展示病虫监测防控信息。含立杆，注意具备室外防风防雨防晒等功能。</w:t>
            </w:r>
          </w:p>
          <w:p>
            <w:pPr>
              <w:pStyle w:val="null3"/>
              <w:jc w:val="both"/>
            </w:pPr>
            <w:r>
              <w:rPr>
                <w:sz w:val="24"/>
              </w:rPr>
              <w:t>（</w:t>
            </w:r>
            <w:r>
              <w:rPr>
                <w:sz w:val="24"/>
              </w:rPr>
              <w:t>1）P10单色显示终端，规格≥0.96m×0.64m；接口定义为12；控制系统：485+232对接控制卡。</w:t>
            </w:r>
          </w:p>
          <w:p>
            <w:pPr>
              <w:pStyle w:val="null3"/>
              <w:jc w:val="both"/>
            </w:pPr>
            <w:r>
              <w:rPr>
                <w:sz w:val="24"/>
              </w:rPr>
              <w:t>（</w:t>
            </w:r>
            <w:r>
              <w:rPr>
                <w:sz w:val="24"/>
              </w:rPr>
              <w:t>2）防水设计，双立柱支撑（高度不低于1.5m）。</w:t>
            </w:r>
          </w:p>
        </w:tc>
      </w:tr>
    </w:tbl>
    <w:p>
      <w:pPr>
        <w:pStyle w:val="null3"/>
        <w:jc w:val="left"/>
      </w:pPr>
      <w:r>
        <w:rPr/>
        <w:t>采购包1（四会市2024年广东省农作物病虫疫情田间监测点建设项目）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合同签订之日起60日内完成供货安装及调试并验收通过。</w:t>
            </w:r>
          </w:p>
        </w:tc>
      </w:tr>
      <w:tr>
        <w:tc>
          <w:tcPr>
            <w:tcW w:type="dxa" w:w="4153"/>
          </w:tcPr>
          <w:p>
            <w:pPr>
              <w:pStyle w:val="null3"/>
            </w:pPr>
            <w:r>
              <w:rPr/>
              <w:t>标的提供的地点</w:t>
            </w:r>
          </w:p>
        </w:tc>
        <w:tc>
          <w:tcPr>
            <w:tcW w:type="dxa" w:w="4153"/>
          </w:tcPr>
          <w:p>
            <w:pPr>
              <w:pStyle w:val="null3"/>
            </w:pPr>
            <w:r>
              <w:rPr/>
              <w:t>具体由采购人指定</w:t>
            </w:r>
          </w:p>
        </w:tc>
      </w:tr>
      <w:tr/>
      <w:tr/>
      <w:tr>
        <w:tc>
          <w:tcPr>
            <w:tcW w:type="dxa" w:w="4153"/>
          </w:tcPr>
          <w:p>
            <w:pPr>
              <w:pStyle w:val="null3"/>
            </w:pPr>
            <w:r>
              <w:rPr/>
              <w:t>付款方式</w:t>
            </w:r>
          </w:p>
        </w:tc>
        <w:tc>
          <w:tcPr>
            <w:tcW w:type="dxa" w:w="4153"/>
          </w:tcPr>
          <w:p>
            <w:pPr>
              <w:pStyle w:val="null3"/>
            </w:pPr>
            <w:r>
              <w:rPr/>
              <w:t>第1期为(预付款)：支付比例30%，双方签订合同后15个工作日内，支付合同总金额的30%。</w:t>
            </w:r>
          </w:p>
          <w:p>
            <w:pPr>
              <w:pStyle w:val="null3"/>
            </w:pPr>
            <w:r>
              <w:rPr/>
              <w:t>第2期为(进度款)：支付比例70%，自验收合格之日起设备正常使用、完成相关使用培训后15个工作日内，支付合同总金额的70%。</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1期：1、到货验收 （1）、要求对全部设备的型号、规格、数量、外型、外观、包装及资料、文件（如装箱单、保修单、随箱介质等）进行验收。 （2）、开箱后，中标人应对其全部产品、零件、配件、相关许可证书、资料、介质造册登记，并与装箱单对比，如有出入应立即书面记录，由中标人解决，如影响安装则按合同有关条款处理。登记册作为验收文档之一。 （3）、交货时，中标人应提供制造商供货的原装产品证明文件，并负责在项目验收时将全部有关产品的说明书、原厂家安装手册、技术文件、资料、及安装、验收报告等文档汇集成册交付采购人。 （4）、如机检或测试中如发现设备性能指标或功能不符合采购文件、投标文件和合同要求时，将被看作性能不合格，采购人有权拒收并要求赔偿。 （5）、完成设备的安装调试。 2、整体验收 中标人按照行业要求，在设备安装完成后，对所有采购的产品进行相应的联机测试和性能测试，由中标人负责组织有资质的第三方进行验收，出具验收文件并相关部门完成备案手续，然后双方对整个项目总体共同进行质量验收，验收合格双方签署质量验收表。 3、该项目所包含的设备及配套软装部分必须满足相关安全标准及行业标准。</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一、项目说明，1、采购需求中所描述的产品技术参数为基本要求，投标人可根据产品的实际情况，选用技术参数优于或等于采购需求中要求的产品进行投标，并列明详细的技术参数、品牌、型号、制造商及产地等。 2、投标人应针对本项目的实施要求制定完整的整体实施方案，包括但不限于：项目进度安排、货物配送方案及送货组织能力、安装调试方案、交付验收方案等。 3、中标人负责设备包装必须与运输方式相适应，专用工具及备品备件应分别包装，并在包装箱外加以注明其用处，设备供货时应有出厂合格证及附有使用说明。投标人应提供具体的质量保证方案，包括但不限于：货物来源保证措施、运输保障、质量承诺、质量保障等内容。 ★4、投标人须在投标文件中提供详细报价清单，根据本项目招标文件采购需求中《采购需求一览表》的内容，按顺序逐一列出所投标的信息（至少包含标的名称、规格型号、品牌、产地、制造商名称、单价、数量等）。 5、投标人应具有类似项目的实施经验，具备测报预警类、病虫害识别、病虫害物联网等专业领域的综合专业技术能力，针对本项目拟派的技术团队应配备农艺师、相关农业专家、病虫害识别等领域的专业人员，熟悉安全生产知识和具备较好的管理能力。</w:t>
            </w:r>
          </w:p>
          <w:p>
            <w:pPr>
              <w:pStyle w:val="null3"/>
            </w:pPr>
            <w:r>
              <w:rPr/>
              <w:t>二、售后服务 ，★1、本项目要求中标人提供从验收之日起5年的免费维护服务（由投标人单独提供书面承诺，格式自拟）。 2、在免费维护服务期内，所有系统设备的故障维修、零配件更换、耗材更换等全部由中标人负责，采购人不再支付任何费用；免费维护服务费用计入总价（所有免费保修期从设备验收合格之日起计算），并保证保修期后的零配件供应和提供及时的有偿维修服务。 3、维修（维护）响应时间：用户提出需求或系统设备出现故障后，中标人应在1小时内响应，3小时内到达现场，如6小时内未能解决故障问题的，中标人需提供同等的备用设备保证监测点正常运行工作，直到故障处理完成为止。 4、投标人应提供具体的售后服务方案，包括但不限于：售后服务响应时间、售后服务人员安排、售后巡检服务、应急预案、备件供应准备及更换承诺等。 5、中标人提供免费安装调试，免费给用户培训技术人员，直到用户受训人员熟练掌握原理、操作、维修保养技术，培训的费用由中标人负责。中标人应负责在设备安装现场进行散件整合安装，提供所有设备的免费指导安装、调试，直至该设备验收合格、交付使用。投标人应提供具体的培训方案，包括但不限于：培训计划、目标和培训课程内容、病虫害测报领域技术培训师资团队等。</w:t>
            </w:r>
          </w:p>
          <w:p>
            <w:pPr>
              <w:pStyle w:val="null3"/>
            </w:pPr>
            <w:r>
              <w:rPr/>
              <w:t>三、付款方式补充说明，1、本项目资金来源为财政统筹资金。 2、因采购人使用的是财政资金，采购人在前述的付款时间为提交财政支付申请手续的时间（不含政府财政支付部门审核的时间），采购人在规定时间内提交支付申请手续后即视为采购人已经按期履行付款义务，中标人不得以付款期限已过为由向采购人索赔或要求支付违约金,采购人不承担逾期付款的违约责任。 3、中标人按工作进度向采购人申请付款时，需先向采购人提供付款申请书，并与采购人确认开具付款金额等额的增值税普通发票。因中标人迟延请款或迟延开具发票的，采购人付款期限顺延。</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环境与农业分析仪器</w:t>
            </w:r>
          </w:p>
        </w:tc>
        <w:tc>
          <w:tcPr>
            <w:tcW w:type="dxa" w:w="831"/>
          </w:tcPr>
          <w:p>
            <w:pPr>
              <w:pStyle w:val="null3"/>
              <w:jc w:val="left"/>
            </w:pPr>
            <w:r>
              <w:rPr/>
              <w:t>四会市2024年广东省农作物病虫疫情田间监测点建设项目</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1,428,500.00</w:t>
            </w:r>
          </w:p>
        </w:tc>
        <w:tc>
          <w:tcPr>
            <w:tcW w:type="dxa" w:w="831"/>
          </w:tcPr>
          <w:p>
            <w:pPr>
              <w:pStyle w:val="null3"/>
              <w:jc w:val="right"/>
            </w:pPr>
            <w:r>
              <w:rPr/>
              <w:t>1,428,500.00</w:t>
            </w:r>
          </w:p>
        </w:tc>
        <w:tc>
          <w:tcPr>
            <w:tcW w:type="dxa" w:w="831"/>
          </w:tcPr>
          <w:p>
            <w:pPr>
              <w:pStyle w:val="null3"/>
            </w:pPr>
            <w:r>
              <w:rPr/>
              <w:t>农、林、牧、渔业</w:t>
            </w:r>
          </w:p>
        </w:tc>
        <w:tc>
          <w:tcPr>
            <w:tcW w:type="dxa" w:w="831"/>
          </w:tcPr>
          <w:p>
            <w:pPr>
              <w:pStyle w:val="null3"/>
            </w:pPr>
            <w:r>
              <w:rPr/>
              <w:t>详见附表一</w:t>
            </w:r>
          </w:p>
        </w:tc>
      </w:tr>
    </w:tbl>
    <w:p>
      <w:pPr>
        <w:pStyle w:val="null3"/>
      </w:pPr>
      <w:r>
        <w:rPr>
          <w:b/>
        </w:rPr>
        <w:t>附表</w:t>
      </w:r>
      <w:r>
        <w:rPr>
          <w:b/>
        </w:rPr>
        <w:t>一</w:t>
      </w:r>
      <w:r>
        <w:rPr>
          <w:b/>
        </w:rPr>
        <w:t>：</w:t>
      </w:r>
      <w:r>
        <w:rPr>
          <w:b/>
        </w:rPr>
        <w:t>四会市2024年广东省农作物病虫疫情田间监测点建设项目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4"/>
              </w:rPr>
              <w:t>详见招标文件</w:t>
            </w:r>
            <w:r>
              <w:rPr>
                <w:sz w:val="24"/>
              </w:rPr>
              <w:t>第二章</w:t>
            </w:r>
            <w:r>
              <w:rPr>
                <w:sz w:val="24"/>
              </w:rPr>
              <w:t>采购需求</w:t>
            </w:r>
            <w:r>
              <w:rPr>
                <w:sz w:val="24"/>
              </w:rPr>
              <w:t>项目概况</w:t>
            </w:r>
            <w:r>
              <w:rPr>
                <w:sz w:val="24"/>
              </w:rPr>
              <w:t>中</w:t>
            </w:r>
            <w:r>
              <w:rPr>
                <w:sz w:val="24"/>
              </w:rPr>
              <w:t>“</w:t>
            </w:r>
            <w:r>
              <w:rPr>
                <w:sz w:val="24"/>
              </w:rPr>
              <w:t>7.3 详细技术参数及要求</w:t>
            </w:r>
            <w:r>
              <w:rPr>
                <w:sz w:val="24"/>
              </w:rPr>
              <w:t>”</w:t>
            </w:r>
            <w:r>
              <w:rPr>
                <w:sz w:val="24"/>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1.采购代理机构：本项目是指广东华伦招标有限公司，负责整个采购活动的组织，依法负责编制和发布招标文件，对招标文件拥有最终的解释权，不以任何身份出任评标委员会成员。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四会市农业农村局</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1.收费标准按国家发展计划委员会颁发的[2002]1980号文《招标代理服务收费管理暂行办法》规定的标准费率下浮30%向中标单位收取；2.计费基数：中标通知书中确定的中标总金额；3.计算方法：差额定率累进法；4.缴纳方式：电汇等付款方式；5.缴纳时间：在领取中标通知书前一次性向采购代理机构缴清。</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一、《信用承诺书》的递交，根据肇庆市公共资源交易中心四会分中心的要求，请供应商填写《附件3：信用承诺书》，加盖单位公章。扫描件于投标截止时间后发电子邮件至采购代理机构电子邮箱（zqhlzb@163.com），原件邮寄至肇庆市公共资源交易中心四会分中心（地址：四会市行政中心广场南路建设大楼内公共资源交易中心，收件人：李先生，电话：0758-3260029）。 二、其他，在保证正常开标秩序的前提下，允许除供应商及其代表之外的其他人员观摩开标活动。观摩开标活动的其他人员应当按照采购代理机构的规定进行身份登记、签署承诺书，遵守交易中心要求，并服从采购代理机构的现场管理安排。 三、肇庆市政府采购信用评价指标体系，根据《肇庆市财政局关于进一步加强政府采购信用评价工作的通知》（肇财采购〔2023〕26号）的文件规定，请参加本项目投标的供应商下载本项目采购公告附件2、附件4，每页盖公章并填写评分，在投标截止时间后把扫描件发送至邮箱（zqhlzb@163.com），原件请邮寄至：肇庆市天宁北路75号广发银行大厦24楼（广东华伦招标有限公司），收件人：黎先生，电话：0758-2313165。</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广东华伦招标有限公司</w:t>
      </w:r>
      <w:r>
        <w:rPr/>
        <w:t>代收。具体操作要求详见</w:t>
      </w:r>
      <w:r>
        <w:rPr/>
        <w:t>广东华伦招标有限公司</w:t>
      </w:r>
      <w:r>
        <w:rPr/>
        <w:t>有关指引，递交事宜请自行咨询</w:t>
      </w:r>
      <w:r>
        <w:rPr/>
        <w:t>广东华伦招标有限公司</w:t>
      </w:r>
      <w:r>
        <w:rPr/>
        <w:t>；请各投标人在投标文件递交截止时间前按须知前附表规定的金额递交至</w:t>
      </w:r>
      <w:r>
        <w:rPr/>
        <w:t>广东华伦招标有限公司</w:t>
      </w:r>
      <w:r>
        <w:rPr/>
        <w:t>，到账情况以开标时</w:t>
      </w:r>
      <w:r>
        <w:rPr/>
        <w:t>广东华伦招标有限公司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中国财经报 ( http://www.cfen.com.cn/) ，中国采购与招标网 ( https://www.chinabidding.cn/) ，广东华伦招标有限公司网(http://www.gdhualun.com.cn/)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中国财经报 ( http://www.cfen.com.cn/) ，中国采购与招标网 ( https://www.chinabidding.cn/) ，广东华伦招标有限公司网(http://www.gdhualun.com.cn/)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黎先生</w:t>
      </w:r>
    </w:p>
    <w:p>
      <w:pPr>
        <w:pStyle w:val="null3"/>
        <w:ind w:firstLine="480"/>
      </w:pPr>
      <w:r>
        <w:rPr/>
        <w:t>电话：</w:t>
      </w:r>
      <w:r>
        <w:rPr/>
        <w:t>0758-2313165</w:t>
      </w:r>
    </w:p>
    <w:p>
      <w:pPr>
        <w:pStyle w:val="null3"/>
        <w:ind w:firstLine="480"/>
      </w:pPr>
      <w:r>
        <w:rPr/>
        <w:t>传真：</w:t>
      </w:r>
      <w:r>
        <w:rPr/>
        <w:t>0758-2313395</w:t>
      </w:r>
    </w:p>
    <w:p>
      <w:pPr>
        <w:pStyle w:val="null3"/>
        <w:ind w:firstLine="480"/>
      </w:pPr>
      <w:r>
        <w:rPr/>
        <w:t>邮箱：</w:t>
      </w:r>
      <w:r>
        <w:rPr/>
        <w:t>zqhlzb@163.com</w:t>
      </w:r>
    </w:p>
    <w:p>
      <w:pPr>
        <w:pStyle w:val="null3"/>
        <w:ind w:firstLine="480"/>
      </w:pPr>
      <w:r>
        <w:rPr/>
        <w:t>地址：</w:t>
      </w:r>
      <w:r>
        <w:rPr/>
        <w:t>广东省肇庆市端州区天宁北路75号广发银行大厦24楼</w:t>
      </w:r>
    </w:p>
    <w:p>
      <w:pPr>
        <w:pStyle w:val="null3"/>
        <w:ind w:firstLine="480"/>
      </w:pPr>
      <w:r>
        <w:rPr/>
        <w:t>邮编：</w:t>
      </w:r>
      <w:r>
        <w:rPr/>
        <w:t>526040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政府采购监督管理机构名称：四会市政府采购管理办公室</w:t>
      </w:r>
    </w:p>
    <w:p>
      <w:pPr>
        <w:pStyle w:val="null3"/>
      </w:pPr>
      <w:r>
        <w:rPr/>
        <w:t>地 址：四会市东城街道行政中心东侧四会市财政局</w:t>
      </w:r>
    </w:p>
    <w:p>
      <w:pPr>
        <w:pStyle w:val="null3"/>
      </w:pPr>
      <w:r>
        <w:rPr/>
        <w:t>电 话：0758-3315416</w:t>
      </w:r>
    </w:p>
    <w:p>
      <w:pPr>
        <w:pStyle w:val="null3"/>
      </w:pPr>
      <w:r>
        <w:rPr/>
        <w:t>邮 编：526200</w:t>
      </w:r>
    </w:p>
    <w:p>
      <w:pPr>
        <w:pStyle w:val="null3"/>
      </w:pPr>
      <w:r>
        <w:rPr/>
        <w:t>传 真：0758-3315416</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四会市2024年广东省农作物病虫疫情田间监测点建设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广东华伦招标有限公司</w:t>
      </w:r>
      <w:r>
        <w:rPr/>
        <w:t>统一对外发布。</w:t>
      </w:r>
    </w:p>
    <w:p>
      <w:pPr>
        <w:pStyle w:val="null3"/>
        <w:ind w:firstLine="480"/>
      </w:pPr>
      <w:r>
        <w:rPr/>
        <w:t>（2）对</w:t>
      </w:r>
      <w:r>
        <w:rPr/>
        <w:t>广东华伦招标有限公司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采购包1（四会市2024年广东省农作物病虫疫情田间监测点建设项目）：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5%</w:t>
            </w:r>
          </w:p>
        </w:tc>
        <w:tc>
          <w:tcPr>
            <w:tcW w:type="dxa" w:w="2160"/>
          </w:tcPr>
          <w:p>
            <w:pPr>
              <w:pStyle w:val="null3"/>
              <w:jc w:val="left"/>
            </w:pPr>
            <w:r>
              <w:rPr/>
              <w:t>节能或环境标志产品金额占项目总金额的比重在20%以下(含20%)的，扣1%；比重达到20%-40%(含40%) ，扣2%；比重达到40%-60%(含60%)的，扣3%；比重达到60%-80%(含80%)的，扣4%；比重在80%以上的，扣5% 。如投标人所投产品同时获得节能产品认证证书及环境标志产品认证证书的，只作一次价格扣除。(适用于优先采购节能产品或环境标志产品)。</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采购包1（四会市2024年广东省农作物病虫疫情田间监测点建设项目）：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供在中华人民共和国境内注册的法人或其他组织的营业执照或事业单位法人证书或社会团体法人登记证书复印件，如供应商为自然人的提供自然人身份证明复印件；如国家另有规定的，则从其规定。（如供应商为分支机构，须取得具有法人资格的总公司（总所）出具给分支机构的授权书，并提供总公司（总所）和分支机构的营业执照（执业许可证）扫描件；已由总公司（总所）授权的，总公司（总所）取得的相关资质证书对分支机构有效，法律法规或者行业另有规定的除外）</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供应商提供以下其中一项有效材料即可：1、填写完整并加盖公章的《附件1：资格条件承诺函》；2、提供投标截止日前6个月内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供应商提供以下其中一项有效材料即可：1、填写完整并加盖公章的《附件1：资格条件承诺函》；2、提供2023年度或2024年度财务状况报告或基本开户行出具的资信证明。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供应商提供以下其中一项有效材料即可：1、填写完整并加盖公章的《附件1：资格条件承诺函》；2、按投标（响应）文件格式填报设备及专业技术能力情况。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供应商提供以下其中一项有效材料即可：1、填写完整并加盖公章的《附件1：资格条件承诺函》；2、参照投标（报价）函相关承诺格式内容。备注：参加采购活动前3年内是指2022年3月起至投标文件递交截止时间止。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供应商未被列入“信用中国”网站(www.creditchina.gov.cn)“重大税收违法失信主体、政府采购严重违法失信行为记录名单”；未被列入中国执行信息公开网(http://zxgk.court.gov.cn) “失信被执行人名单；”不处于中国政府采购网(www.ccgp.gov.cn)“政府采购严重违法失信行为信息记录”中的禁止参加政府采购活动期间。（以资格审查人员于投标（响应）截止时间当天在上述网站查询结果为准，如查询结果显示“没有该企业的相关记录”，视为该供应商无上述不良信用记录；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投标（响应）。为本项目提供整体设计、规范编制或者项目管理、监理、检测等服务的供应商，不得再参与本项目投标（响应）。投标函相关承诺要求内容。</w:t>
            </w:r>
          </w:p>
        </w:tc>
      </w:tr>
      <w:tr>
        <w:tc>
          <w:tcPr>
            <w:tcW w:type="dxa" w:w="890"/>
          </w:tcPr>
          <w:p>
            <w:pPr>
              <w:pStyle w:val="null3"/>
            </w:pPr>
            <w:r>
              <w:rPr/>
              <w:t>8</w:t>
            </w:r>
          </w:p>
        </w:tc>
        <w:tc>
          <w:tcPr>
            <w:tcW w:type="dxa" w:w="3178"/>
          </w:tcPr>
          <w:p>
            <w:pPr>
              <w:pStyle w:val="null3"/>
            </w:pPr>
            <w:r>
              <w:rPr/>
              <w:t>不接受联合体投标</w:t>
            </w:r>
          </w:p>
        </w:tc>
        <w:tc>
          <w:tcPr>
            <w:tcW w:type="dxa" w:w="4238"/>
          </w:tcPr>
          <w:p>
            <w:pPr>
              <w:pStyle w:val="null3"/>
            </w:pPr>
            <w:r>
              <w:rPr/>
              <w:t>本项目不接受联合体参与投标。</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参与的供应商提供的产品全部由符合政策要求的中小企业制造</w:t>
            </w:r>
          </w:p>
        </w:tc>
      </w:tr>
    </w:tbl>
    <w:p>
      <w:pPr>
        <w:pStyle w:val="null3"/>
        <w:ind w:firstLine="480"/>
      </w:pPr>
      <w:r>
        <w:rPr/>
        <w:t>表二符合性审查表：</w:t>
      </w:r>
    </w:p>
    <w:p>
      <w:pPr>
        <w:pStyle w:val="null3"/>
      </w:pPr>
      <w:r>
        <w:rPr/>
        <w:t>采购包1（四会市2024年广东省农作物病虫疫情田间监测点建设项目）：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法定代表人或授权有效签署</w:t>
            </w:r>
          </w:p>
        </w:tc>
        <w:tc>
          <w:tcPr>
            <w:tcW w:type="dxa" w:w="4238"/>
          </w:tcPr>
          <w:p>
            <w:pPr>
              <w:pStyle w:val="null3"/>
            </w:pPr>
            <w:r>
              <w:rPr/>
              <w:t>投标文件的正本需打印或用不褪色墨水书写，并由法定代表人或经其正式授权的代表签署及盖章。授权代表须出具书面授权证明，其《法定代表人授权书》 应附在投标文件中。</w:t>
            </w:r>
          </w:p>
        </w:tc>
      </w:tr>
      <w:tr>
        <w:tc>
          <w:tcPr>
            <w:tcW w:type="dxa" w:w="890"/>
          </w:tcPr>
          <w:p>
            <w:pPr>
              <w:pStyle w:val="null3"/>
            </w:pPr>
            <w:r>
              <w:rPr/>
              <w:t>2</w:t>
            </w:r>
          </w:p>
        </w:tc>
        <w:tc>
          <w:tcPr>
            <w:tcW w:type="dxa" w:w="3178"/>
          </w:tcPr>
          <w:p>
            <w:pPr>
              <w:pStyle w:val="null3"/>
            </w:pPr>
            <w:r>
              <w:rPr/>
              <w:t>投标的有效期</w:t>
            </w:r>
          </w:p>
        </w:tc>
        <w:tc>
          <w:tcPr>
            <w:tcW w:type="dxa" w:w="4238"/>
          </w:tcPr>
          <w:p>
            <w:pPr>
              <w:pStyle w:val="null3"/>
            </w:pPr>
            <w:r>
              <w:rPr/>
              <w:t>从提交投标（响应） 文件的截止之日起90日历天。</w:t>
            </w:r>
          </w:p>
        </w:tc>
      </w:tr>
      <w:tr>
        <w:tc>
          <w:tcPr>
            <w:tcW w:type="dxa" w:w="890"/>
          </w:tcPr>
          <w:p>
            <w:pPr>
              <w:pStyle w:val="null3"/>
            </w:pPr>
            <w:r>
              <w:rPr/>
              <w:t>3</w:t>
            </w:r>
          </w:p>
        </w:tc>
        <w:tc>
          <w:tcPr>
            <w:tcW w:type="dxa" w:w="3178"/>
          </w:tcPr>
          <w:p>
            <w:pPr>
              <w:pStyle w:val="null3"/>
            </w:pPr>
            <w:r>
              <w:rPr/>
              <w:t>投标函</w:t>
            </w:r>
          </w:p>
        </w:tc>
        <w:tc>
          <w:tcPr>
            <w:tcW w:type="dxa" w:w="4238"/>
          </w:tcPr>
          <w:p>
            <w:pPr>
              <w:pStyle w:val="null3"/>
            </w:pPr>
            <w:r>
              <w:rPr/>
              <w:t>投标函已提交并符合招标文件格式要求的。</w:t>
            </w:r>
          </w:p>
        </w:tc>
      </w:tr>
      <w:tr>
        <w:tc>
          <w:tcPr>
            <w:tcW w:type="dxa" w:w="890"/>
          </w:tcPr>
          <w:p>
            <w:pPr>
              <w:pStyle w:val="null3"/>
            </w:pPr>
            <w:r>
              <w:rPr/>
              <w:t>4</w:t>
            </w:r>
          </w:p>
        </w:tc>
        <w:tc>
          <w:tcPr>
            <w:tcW w:type="dxa" w:w="3178"/>
          </w:tcPr>
          <w:p>
            <w:pPr>
              <w:pStyle w:val="null3"/>
            </w:pPr>
            <w:r>
              <w:rPr/>
              <w:t>关于报价</w:t>
            </w:r>
          </w:p>
        </w:tc>
        <w:tc>
          <w:tcPr>
            <w:tcW w:type="dxa" w:w="4238"/>
          </w:tcPr>
          <w:p>
            <w:pPr>
              <w:pStyle w:val="null3"/>
            </w:pPr>
            <w:r>
              <w:rPr/>
              <w:t>投标报价没有超出《须知前附表》中“报价要求”的有效范围。投标报价必须是固定的，且不得以低于成本的报价投标。评标委员会认为投标人的报价明显低于其他通过符合性审查投标人的报价，有可能影响产品质量或者不能诚信履约的，应当要求其在评标现场合理的时间内提供书面说明，必要时提交相关证明材料。</w:t>
            </w:r>
          </w:p>
        </w:tc>
      </w:tr>
      <w:tr>
        <w:tc>
          <w:tcPr>
            <w:tcW w:type="dxa" w:w="890"/>
          </w:tcPr>
          <w:p>
            <w:pPr>
              <w:pStyle w:val="null3"/>
            </w:pPr>
            <w:r>
              <w:rPr/>
              <w:t>5</w:t>
            </w:r>
          </w:p>
        </w:tc>
        <w:tc>
          <w:tcPr>
            <w:tcW w:type="dxa" w:w="3178"/>
          </w:tcPr>
          <w:p>
            <w:pPr>
              <w:pStyle w:val="null3"/>
            </w:pPr>
            <w:r>
              <w:rPr/>
              <w:t>投标人投标报价没有超出最高限价</w:t>
            </w:r>
          </w:p>
        </w:tc>
        <w:tc>
          <w:tcPr>
            <w:tcW w:type="dxa" w:w="4238"/>
          </w:tcPr>
          <w:p>
            <w:pPr>
              <w:pStyle w:val="null3"/>
            </w:pPr>
            <w:r>
              <w:rPr/>
              <w:t>投标人投标报价没有超出最高限价。</w:t>
            </w:r>
          </w:p>
        </w:tc>
      </w:tr>
      <w:tr>
        <w:tc>
          <w:tcPr>
            <w:tcW w:type="dxa" w:w="890"/>
          </w:tcPr>
          <w:p>
            <w:pPr>
              <w:pStyle w:val="null3"/>
            </w:pPr>
            <w:r>
              <w:rPr/>
              <w:t>6</w:t>
            </w:r>
          </w:p>
        </w:tc>
        <w:tc>
          <w:tcPr>
            <w:tcW w:type="dxa" w:w="3178"/>
          </w:tcPr>
          <w:p>
            <w:pPr>
              <w:pStyle w:val="null3"/>
            </w:pPr>
            <w:r>
              <w:rPr/>
              <w:t>合同履行期限/交货期满足招标文件要求</w:t>
            </w:r>
          </w:p>
        </w:tc>
        <w:tc>
          <w:tcPr>
            <w:tcW w:type="dxa" w:w="4238"/>
          </w:tcPr>
          <w:p>
            <w:pPr>
              <w:pStyle w:val="null3"/>
            </w:pPr>
            <w:r>
              <w:rPr/>
              <w:t>合同履行期限/交货期：合同签订之日起60日内完成供货安装及调试并验收通过。</w:t>
            </w:r>
          </w:p>
        </w:tc>
      </w:tr>
      <w:tr>
        <w:tc>
          <w:tcPr>
            <w:tcW w:type="dxa" w:w="890"/>
          </w:tcPr>
          <w:p>
            <w:pPr>
              <w:pStyle w:val="null3"/>
            </w:pPr>
            <w:r>
              <w:rPr/>
              <w:t>7</w:t>
            </w:r>
          </w:p>
        </w:tc>
        <w:tc>
          <w:tcPr>
            <w:tcW w:type="dxa" w:w="3178"/>
          </w:tcPr>
          <w:p>
            <w:pPr>
              <w:pStyle w:val="null3"/>
            </w:pPr>
            <w:r>
              <w:rPr/>
              <w:t>满足招标文件带“★”号条款</w:t>
            </w:r>
          </w:p>
        </w:tc>
        <w:tc>
          <w:tcPr>
            <w:tcW w:type="dxa" w:w="4238"/>
          </w:tcPr>
          <w:p>
            <w:pPr>
              <w:pStyle w:val="null3"/>
            </w:pPr>
            <w:r>
              <w:rPr/>
              <w:t>满足招标文件带“★”号条款</w:t>
            </w:r>
          </w:p>
        </w:tc>
      </w:tr>
      <w:tr>
        <w:tc>
          <w:tcPr>
            <w:tcW w:type="dxa" w:w="890"/>
          </w:tcPr>
          <w:p>
            <w:pPr>
              <w:pStyle w:val="null3"/>
            </w:pPr>
            <w:r>
              <w:rPr/>
              <w:t>8</w:t>
            </w:r>
          </w:p>
        </w:tc>
        <w:tc>
          <w:tcPr>
            <w:tcW w:type="dxa" w:w="3178"/>
          </w:tcPr>
          <w:p>
            <w:pPr>
              <w:pStyle w:val="null3"/>
            </w:pPr>
            <w:r>
              <w:rPr/>
              <w:t>其他投标（响应）无效的情形</w:t>
            </w:r>
          </w:p>
        </w:tc>
        <w:tc>
          <w:tcPr>
            <w:tcW w:type="dxa" w:w="4238"/>
          </w:tcPr>
          <w:p>
            <w:pPr>
              <w:pStyle w:val="null3"/>
            </w:pPr>
            <w:r>
              <w:rPr/>
              <w:t>投标文件中未出现法律、法规和招标文件所列的视为投标无效的情形。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采购包1(四会市2024年广东省农作物病虫疫情田间监测点建设项目):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技术部分50.0分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重要技术参数（带“▲”项）响应情况 (10.0分)</w:t>
            </w:r>
          </w:p>
        </w:tc>
        <w:tc>
          <w:tcPr>
            <w:tcW w:type="dxa" w:w="5076"/>
          </w:tcPr>
          <w:p>
            <w:pPr>
              <w:pStyle w:val="null3"/>
              <w:jc w:val="left"/>
            </w:pPr>
            <w:r>
              <w:rPr/>
              <w:t>投标人所投产品的技术参数全部响应或优于招标文件 第二章 采购需求“具体技术(参数)要求”中标注“▲”重要技术参数（共10项），没有负偏离的，得10分；有一项负偏离的，扣1分，最低得0分。 【注：如采购需求有明确要求提供具体证明材料的，则以采购需求中的要求为准；如采购需求中没有明确要求提供具体证明材料的，则以投标人投标文件中提供的《技术和服务要求响应表》中响应情况填写内容为准；未填写或不响应均视为负偏离。】</w:t>
            </w:r>
          </w:p>
        </w:tc>
      </w:tr>
      <w:tr>
        <w:tc>
          <w:tcPr>
            <w:tcW w:type="dxa" w:w="922"/>
            <w:gridSpan w:val="2"/>
            <w:vMerge/>
          </w:tcPr>
          <w:p/>
        </w:tc>
        <w:tc>
          <w:tcPr>
            <w:tcW w:type="dxa" w:w="2307"/>
          </w:tcPr>
          <w:p>
            <w:pPr>
              <w:pStyle w:val="null3"/>
              <w:jc w:val="left"/>
            </w:pPr>
            <w:r>
              <w:rPr/>
              <w:t>一般技术参数（非标注★、▲参数） (10.0分)</w:t>
            </w:r>
          </w:p>
        </w:tc>
        <w:tc>
          <w:tcPr>
            <w:tcW w:type="dxa" w:w="5076"/>
          </w:tcPr>
          <w:p>
            <w:pPr>
              <w:pStyle w:val="null3"/>
              <w:jc w:val="left"/>
            </w:pPr>
            <w:r>
              <w:rPr/>
              <w:t>投标人所投产品的技术参数全部响应或优于招标文件第二章采购需求“具体技术(参数)要求”中没有标注“▲”、“★”号的一般条款，没有负偏离的，得10分；有一项条款为负偏离或不响应的，扣0.5分，最低得0分。【注：如采购需求中有明确要求提供具体证明资料的，则以采购需求中的要求为准，没有或未按要求提供证明材料的不得分；如采购需求中没有明确要求提供具体证明材料的，则以投标人投标文件中提供的《技术和服务要求响应表》中响应情况填写内容为准，未填写或不响应均视为负偏离。（按以下原则计算技术参数项数：第二章采购需求中详细技术参数及要求的序号，每一个序号为一项技术参数。有多级序号的，细化到最末级序号。）】</w:t>
            </w:r>
          </w:p>
        </w:tc>
      </w:tr>
      <w:tr>
        <w:tc>
          <w:tcPr>
            <w:tcW w:type="dxa" w:w="922"/>
            <w:gridSpan w:val="2"/>
            <w:vMerge/>
          </w:tcPr>
          <w:p/>
        </w:tc>
        <w:tc>
          <w:tcPr>
            <w:tcW w:type="dxa" w:w="2307"/>
          </w:tcPr>
          <w:p>
            <w:pPr>
              <w:pStyle w:val="null3"/>
              <w:jc w:val="left"/>
            </w:pPr>
            <w:r>
              <w:rPr/>
              <w:t>整体实施方案 (10.0分)</w:t>
            </w:r>
          </w:p>
        </w:tc>
        <w:tc>
          <w:tcPr>
            <w:tcW w:type="dxa" w:w="5076"/>
          </w:tcPr>
          <w:p>
            <w:pPr>
              <w:pStyle w:val="null3"/>
              <w:jc w:val="left"/>
            </w:pPr>
            <w:r>
              <w:rPr/>
              <w:t>根据投标人针对本项目制定的整体实施方案(包括但不限于：项目进度安排、货物配送方案及送货组织能力、安装调试方案、交付验收方案等)内容的情况进行评审： 1.整体实施方案描述详尽、合理可行,针对性强，可操作性强，优于或完全满足采购需求的,得10分； 2.整体实施方案描述基本完整合理，具有一定的针对性及操作性，基本满足采购需求的,得6分； 3.整体实施方案描述较简单，针对性不强，具有一定的合理性和可操作性的，部分满足采购需求的,得3分； 4.整体实施方案描述有欠缺，缺乏针对性，缺乏合理性和可操作性的,得1分； 5.不提供不得分。</w:t>
            </w:r>
          </w:p>
        </w:tc>
      </w:tr>
      <w:tr>
        <w:tc>
          <w:tcPr>
            <w:tcW w:type="dxa" w:w="922"/>
            <w:gridSpan w:val="2"/>
            <w:vMerge/>
          </w:tcPr>
          <w:p/>
        </w:tc>
        <w:tc>
          <w:tcPr>
            <w:tcW w:type="dxa" w:w="2307"/>
          </w:tcPr>
          <w:p>
            <w:pPr>
              <w:pStyle w:val="null3"/>
              <w:jc w:val="left"/>
            </w:pPr>
            <w:r>
              <w:rPr/>
              <w:t>质量保证方案 (8.0分)</w:t>
            </w:r>
          </w:p>
        </w:tc>
        <w:tc>
          <w:tcPr>
            <w:tcW w:type="dxa" w:w="5076"/>
          </w:tcPr>
          <w:p>
            <w:pPr>
              <w:pStyle w:val="null3"/>
              <w:jc w:val="left"/>
            </w:pPr>
            <w:r>
              <w:rPr/>
              <w:t>根据投标人针对本项目提供的质量保证方案（包括但不限于：货物来源保证措施、运输保障、质量承诺、质量保障等内容）进行综合评审：1.方案内容完整全面、描述详细清晰，针对性强、可操作性好，优于或完全满足采购需求的，得8分；2.方案内容基本完整、描述基本详细，有一定的针对性、可操作性，基本满足采购需求的，得5分；3.方案内容不够完整，不够全面、描述不够详细，针对性不强、有一定的可操作性，部分满足采购需求的，得3分； 4.方案内容不完整不全面、描述简单，缺乏针对性、可操作性的，得1分；5.未提供方案不得分。</w:t>
            </w:r>
          </w:p>
        </w:tc>
      </w:tr>
      <w:tr>
        <w:tc>
          <w:tcPr>
            <w:tcW w:type="dxa" w:w="922"/>
            <w:gridSpan w:val="2"/>
            <w:vMerge/>
          </w:tcPr>
          <w:p/>
        </w:tc>
        <w:tc>
          <w:tcPr>
            <w:tcW w:type="dxa" w:w="2307"/>
          </w:tcPr>
          <w:p>
            <w:pPr>
              <w:pStyle w:val="null3"/>
              <w:jc w:val="left"/>
            </w:pPr>
            <w:r>
              <w:rPr/>
              <w:t>培训方案 (6.0分)</w:t>
            </w:r>
          </w:p>
        </w:tc>
        <w:tc>
          <w:tcPr>
            <w:tcW w:type="dxa" w:w="5076"/>
          </w:tcPr>
          <w:p>
            <w:pPr>
              <w:pStyle w:val="null3"/>
              <w:jc w:val="left"/>
            </w:pPr>
            <w:r>
              <w:rPr/>
              <w:t>根据投标人针对本项目制定的培训服务方案（包括但不限于培训计划、目标和培训课程内容、病虫害测报领域技术培训师资团队等）内容的情况进行评审： 1.培训服务方案科学合理，计划周全，内容丰富，针对性、可操作性强，病虫害测报领域技术培训师资团队综合专业素质强，优于或完全满足采购需求的，得6分； 2.培训服务方案较完整，有计划性，具备基本内容，有一定的针对性和可操作性，配备病虫害测报领域技术培训师资团队，基本满足采购需求的，得3分； 3.培训服务方案较简单，欠缺计划性，内容有所欠缺，针对性和可操作性较差，病虫害测报领域技术培训师资团队配备不足，部分满足采购需求的，得1分； 4.未提供或其他情况的，不得分。</w:t>
            </w:r>
          </w:p>
        </w:tc>
      </w:tr>
      <w:tr>
        <w:tc>
          <w:tcPr>
            <w:tcW w:type="dxa" w:w="922"/>
            <w:gridSpan w:val="2"/>
            <w:vMerge/>
          </w:tcPr>
          <w:p/>
        </w:tc>
        <w:tc>
          <w:tcPr>
            <w:tcW w:type="dxa" w:w="2307"/>
          </w:tcPr>
          <w:p>
            <w:pPr>
              <w:pStyle w:val="null3"/>
              <w:jc w:val="left"/>
            </w:pPr>
            <w:r>
              <w:rPr/>
              <w:t>售后服务方案 (6.0分)</w:t>
            </w:r>
          </w:p>
        </w:tc>
        <w:tc>
          <w:tcPr>
            <w:tcW w:type="dxa" w:w="5076"/>
          </w:tcPr>
          <w:p>
            <w:pPr>
              <w:pStyle w:val="null3"/>
              <w:jc w:val="left"/>
            </w:pPr>
            <w:r>
              <w:rPr/>
              <w:t>根据投标人提供的针对本项目售后服务方案进行评审，内容包括但不限于以下内容（售后服务响应时间、售后服务人员安排、售后巡检服务、应急预案、备件供应准备及更换承诺等）： 1.售后服务方案详尽合理，内容完善具体、科学可行，售后服务响应时间迅速，服务人员安排充足、售后巡检服务配套优质，有完善的应急预案，备件供应准备及更换承诺优于或完全满足采购需求的，得6分； 2.售后服务方案较完整，基本内容具体、可行，售后服务响应时间快，配备有售后服务人员，有具体的应急预案，备件供应准备及更换承诺基本满足采购需求的，得3分； 3.售后服务方案较简单，内容有所欠缺，售后服务响应时间相对较慢，配备有售后服务人员，应急预案较简单，备件供应准备及更换承诺部分满足采购需求的，得1分； 4.未提供或其他情况的，不得分。</w:t>
            </w:r>
          </w:p>
        </w:tc>
      </w:tr>
      <w:tr>
        <w:tc>
          <w:tcPr>
            <w:tcW w:type="dxa" w:w="922"/>
            <w:gridSpan w:val="2"/>
            <w:vMerge w:val="restart"/>
          </w:tcPr>
          <w:p>
            <w:pPr>
              <w:pStyle w:val="null3"/>
              <w:jc w:val="center"/>
            </w:pPr>
            <w:r>
              <w:rPr/>
              <w:t>商务部分</w:t>
            </w:r>
          </w:p>
        </w:tc>
        <w:tc>
          <w:tcPr>
            <w:tcW w:type="dxa" w:w="2307"/>
          </w:tcPr>
          <w:p>
            <w:pPr>
              <w:pStyle w:val="null3"/>
              <w:jc w:val="left"/>
            </w:pPr>
            <w:r>
              <w:rPr/>
              <w:t>类似业绩 (4.0分)</w:t>
            </w:r>
          </w:p>
        </w:tc>
        <w:tc>
          <w:tcPr>
            <w:tcW w:type="dxa" w:w="5076"/>
          </w:tcPr>
          <w:p>
            <w:pPr>
              <w:pStyle w:val="null3"/>
              <w:jc w:val="left"/>
            </w:pPr>
            <w:r>
              <w:rPr/>
              <w:t>投标人自 2022年1月1日至今（以合同签订时间为准）承接过类似项目（至少包含本项目核心产品之一）并通过验收的，每提供1项得1分，最高4分。 注：提供合同关键页（含签订合同双方的单位名称、合同项目名称、项目金额与含签订合同双方的落款盖章、签订日期的关键页）及验收报告作为评审依据，不提供或提供资料不符合要求的不得分。</w:t>
            </w:r>
          </w:p>
        </w:tc>
      </w:tr>
      <w:tr>
        <w:tc>
          <w:tcPr>
            <w:tcW w:type="dxa" w:w="922"/>
            <w:gridSpan w:val="2"/>
            <w:vMerge/>
          </w:tcPr>
          <w:p/>
        </w:tc>
        <w:tc>
          <w:tcPr>
            <w:tcW w:type="dxa" w:w="2307"/>
          </w:tcPr>
          <w:p>
            <w:pPr>
              <w:pStyle w:val="null3"/>
              <w:jc w:val="left"/>
            </w:pPr>
            <w:r>
              <w:rPr/>
              <w:t>综合专业技术情况 (5.0分)</w:t>
            </w:r>
          </w:p>
        </w:tc>
        <w:tc>
          <w:tcPr>
            <w:tcW w:type="dxa" w:w="5076"/>
          </w:tcPr>
          <w:p>
            <w:pPr>
              <w:pStyle w:val="null3"/>
              <w:jc w:val="left"/>
            </w:pPr>
            <w:r>
              <w:rPr/>
              <w:t>1.投标人获得测报预警类工程技术研究中心荣誉情况，省级或以上的得2分，市级的得1分。（按提供的最高级别荣誉得分，同类型不同级别不重复计分。） 2.投标人在病虫害识别领域获得科技进步奖情况，省级或以上的得2分，市级的得1分。（按提供的最高级别奖项得分，同类型不同级别不重复计分。） 3.投标人在病虫害物联网领域获得农业推广奖情况，省级或以上的得1分，市级的得0.5分。（按提供的最高级别奖项得分，同类型不同级别不重复计分。） 注：以上须提供相关证明资料作为评审依据，不提供或提供的资料不符合的不得分。</w:t>
            </w:r>
          </w:p>
        </w:tc>
      </w:tr>
      <w:tr>
        <w:tc>
          <w:tcPr>
            <w:tcW w:type="dxa" w:w="922"/>
            <w:gridSpan w:val="2"/>
            <w:vMerge/>
          </w:tcPr>
          <w:p/>
        </w:tc>
        <w:tc>
          <w:tcPr>
            <w:tcW w:type="dxa" w:w="2307"/>
          </w:tcPr>
          <w:p>
            <w:pPr>
              <w:pStyle w:val="null3"/>
              <w:jc w:val="left"/>
            </w:pPr>
            <w:r>
              <w:rPr/>
              <w:t>项目负责人情况 (5.0分)</w:t>
            </w:r>
          </w:p>
        </w:tc>
        <w:tc>
          <w:tcPr>
            <w:tcW w:type="dxa" w:w="5076"/>
          </w:tcPr>
          <w:p>
            <w:pPr>
              <w:pStyle w:val="null3"/>
              <w:jc w:val="left"/>
            </w:pPr>
            <w:r>
              <w:rPr/>
              <w:t>拟派本项目的项目负责人(1人): 1.具有正高级或以上农艺师职称证书的，得5分；具有高级农艺师职称证书的，得3分，具有中级农艺师职称证书的，得2分；具有初级农艺师职称证书的，得1分；本小项最高得5分。 注：①须提供上述要求相关证书；②须提供人员在投标人单位购买的近3个月任意一个月的社保证明。</w:t>
            </w:r>
          </w:p>
        </w:tc>
      </w:tr>
      <w:tr>
        <w:tc>
          <w:tcPr>
            <w:tcW w:type="dxa" w:w="922"/>
            <w:gridSpan w:val="2"/>
            <w:vMerge/>
          </w:tcPr>
          <w:p/>
        </w:tc>
        <w:tc>
          <w:tcPr>
            <w:tcW w:type="dxa" w:w="2307"/>
          </w:tcPr>
          <w:p>
            <w:pPr>
              <w:pStyle w:val="null3"/>
              <w:jc w:val="left"/>
            </w:pPr>
            <w:r>
              <w:rPr/>
              <w:t>项目服务人员能力水平情况 (3.0分)</w:t>
            </w:r>
          </w:p>
        </w:tc>
        <w:tc>
          <w:tcPr>
            <w:tcW w:type="dxa" w:w="5076"/>
          </w:tcPr>
          <w:p>
            <w:pPr>
              <w:pStyle w:val="null3"/>
              <w:jc w:val="left"/>
            </w:pPr>
            <w:r>
              <w:rPr/>
              <w:t>拟派本项目的项目团队技术人员(除项目负责人外): 1.具有高级或以上农艺师职称证书的，每提供1人得0.5分，最高得2分；具有中级农艺师职称证书的，每提供1人得0.3分，最高得0.9分；具有初级农艺师职称证书的，每提供1人得0.1分，最高得0.2分。 2.具有有效期内的安全生产知识和管理能力考核合格证的，每提供1人得0.5分，最高得1分。 注：本项最高得3分。①须提供上述人员相关证书；②须提供人员在投标人单位购买的近3个月任意一个月的社保证明。</w:t>
            </w:r>
          </w:p>
        </w:tc>
      </w:tr>
      <w:tr>
        <w:tc>
          <w:tcPr>
            <w:tcW w:type="dxa" w:w="922"/>
            <w:gridSpan w:val="2"/>
            <w:vMerge/>
          </w:tcPr>
          <w:p/>
        </w:tc>
        <w:tc>
          <w:tcPr>
            <w:tcW w:type="dxa" w:w="2307"/>
          </w:tcPr>
          <w:p>
            <w:pPr>
              <w:pStyle w:val="null3"/>
              <w:jc w:val="left"/>
            </w:pPr>
            <w:r>
              <w:rPr/>
              <w:t>用户好评情况 (3.0分)</w:t>
            </w:r>
          </w:p>
        </w:tc>
        <w:tc>
          <w:tcPr>
            <w:tcW w:type="dxa" w:w="5076"/>
          </w:tcPr>
          <w:p>
            <w:pPr>
              <w:pStyle w:val="null3"/>
              <w:jc w:val="left"/>
            </w:pPr>
            <w:r>
              <w:rPr/>
              <w:t>投标人所投产品有农业部门出具的针对投标产品的用户使用反馈好评报告的，每提供一份得1分，最多得3分。 注：本项最高得3分，须提供好评报告作为评审依据，投标人不是产品制造商的，须提供产品制造商出具本项目的授权书作评审依据。</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rPr>
        <w:t xml:space="preserve"> </w:t>
      </w:r>
    </w:p>
    <w:p>
      <w:pPr>
        <w:pStyle w:val="null3"/>
        <w:spacing w:before="0" w:after="0" w:lineRule="auto" w:line="360"/>
        <w:ind w:left="0" w:right="0"/>
        <w:jc w:val="center"/>
      </w:pPr>
      <w:r>
        <w:rPr>
          <w:sz w:val="48"/>
          <w:b/>
        </w:rPr>
        <w:t xml:space="preserve"> </w:t>
      </w:r>
    </w:p>
    <w:p>
      <w:pPr>
        <w:pStyle w:val="null3"/>
        <w:spacing w:before="0" w:after="0" w:lineRule="auto" w:line="360"/>
        <w:ind w:left="0" w:right="0"/>
        <w:jc w:val="center"/>
      </w:pPr>
      <w:r>
        <w:rPr>
          <w:sz w:val="48"/>
          <w:b/>
        </w:rPr>
        <w:t xml:space="preserve"> </w:t>
      </w:r>
    </w:p>
    <w:p>
      <w:pPr>
        <w:pStyle w:val="null3"/>
        <w:spacing w:before="0" w:after="0" w:lineRule="auto" w:line="360"/>
        <w:ind w:left="0" w:right="0"/>
        <w:jc w:val="center"/>
      </w:pPr>
      <w:r>
        <w:rPr>
          <w:sz w:val="48"/>
          <w:b/>
        </w:rPr>
        <w:t>广东省政府采购</w:t>
      </w:r>
    </w:p>
    <w:p>
      <w:pPr>
        <w:pStyle w:val="null3"/>
        <w:spacing w:before="0" w:after="0" w:lineRule="auto" w:line="360"/>
        <w:ind w:left="0" w:right="0"/>
        <w:jc w:val="both"/>
      </w:pPr>
      <w:r>
        <w:rPr>
          <w:sz w:val="48"/>
          <w:b/>
        </w:rPr>
        <w:t xml:space="preserve"> </w:t>
      </w:r>
    </w:p>
    <w:p>
      <w:pPr>
        <w:pStyle w:val="null3"/>
        <w:spacing w:before="0" w:after="0" w:lineRule="auto" w:line="360"/>
        <w:ind w:left="0" w:right="0"/>
        <w:jc w:val="center"/>
      </w:pPr>
      <w:r>
        <w:rPr>
          <w:sz w:val="48"/>
          <w:b/>
        </w:rPr>
        <w:t>合　同　书</w:t>
      </w:r>
    </w:p>
    <w:p>
      <w:pPr>
        <w:pStyle w:val="null3"/>
        <w:spacing w:before="0" w:after="0"/>
        <w:ind w:left="0" w:right="0"/>
        <w:jc w:val="center"/>
      </w:pPr>
      <w:r>
        <w:br/>
      </w:r>
      <w:r>
        <w:br/>
      </w:r>
      <w:r>
        <w:br/>
      </w:r>
      <w:r>
        <w:br/>
      </w:r>
      <w:r>
        <w:br/>
      </w:r>
      <w:r>
        <w:rPr>
          <w:sz w:val="27"/>
          <w:color w:val="222222"/>
        </w:rPr>
        <w:t xml:space="preserve"> </w:t>
      </w:r>
    </w:p>
    <w:p>
      <w:pPr>
        <w:pStyle w:val="null3"/>
        <w:spacing w:before="0" w:after="0"/>
        <w:ind w:left="0" w:right="0"/>
        <w:jc w:val="center"/>
      </w:pPr>
      <w:r>
        <w:rPr>
          <w:sz w:val="28"/>
          <w:color w:val="222222"/>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both"/>
      </w:pPr>
      <w:r>
        <w:rPr>
          <w:sz w:val="27"/>
          <w:b/>
        </w:rPr>
        <w:t>甲　　方：</w:t>
      </w:r>
      <w:r>
        <w:rPr>
          <w:sz w:val="27"/>
          <w:u w:val="single"/>
        </w:rPr>
        <w:t>　　　　　</w:t>
      </w:r>
    </w:p>
    <w:p>
      <w:pPr>
        <w:pStyle w:val="null3"/>
        <w:spacing w:before="0" w:after="0" w:lineRule="auto" w:line="360"/>
        <w:ind w:left="0" w:right="0"/>
        <w:jc w:val="both"/>
      </w:pPr>
      <w:r>
        <w:rPr>
          <w:sz w:val="27"/>
        </w:rPr>
        <w:t>电　　话：</w:t>
      </w:r>
      <w:r>
        <w:rPr>
          <w:sz w:val="27"/>
          <w:u w:val="single"/>
        </w:rPr>
        <w:t>　　　　</w:t>
      </w:r>
      <w:r>
        <w:rPr>
          <w:sz w:val="27"/>
        </w:rPr>
        <w:t>　　传　　真：</w:t>
      </w:r>
      <w:r>
        <w:rPr>
          <w:sz w:val="27"/>
          <w:u w:val="single"/>
        </w:rPr>
        <w:t>　　　</w:t>
      </w:r>
      <w:r>
        <w:rPr>
          <w:sz w:val="27"/>
        </w:rPr>
        <w:t>　　地　　址：</w:t>
      </w:r>
      <w:r>
        <w:rPr>
          <w:sz w:val="27"/>
          <w:u w:val="single"/>
        </w:rPr>
        <w:t>　　　</w:t>
      </w:r>
    </w:p>
    <w:p>
      <w:pPr>
        <w:pStyle w:val="null3"/>
        <w:spacing w:before="0" w:after="0" w:lineRule="auto" w:line="360"/>
        <w:ind w:left="0" w:right="0"/>
        <w:jc w:val="both"/>
      </w:pPr>
      <w:r>
        <w:rPr>
          <w:sz w:val="27"/>
          <w:b/>
        </w:rPr>
        <w:t>乙　　方：</w:t>
      </w:r>
      <w:r>
        <w:rPr>
          <w:sz w:val="27"/>
          <w:u w:val="single"/>
        </w:rPr>
        <w:t>　　　　　</w:t>
      </w:r>
    </w:p>
    <w:p>
      <w:pPr>
        <w:pStyle w:val="null3"/>
        <w:spacing w:before="0" w:after="0" w:lineRule="auto" w:line="360"/>
        <w:ind w:left="0" w:right="0"/>
        <w:jc w:val="both"/>
      </w:pPr>
      <w:r>
        <w:rPr>
          <w:sz w:val="27"/>
        </w:rPr>
        <w:t>电　　话：</w:t>
      </w:r>
      <w:r>
        <w:rPr>
          <w:sz w:val="27"/>
          <w:u w:val="single"/>
        </w:rPr>
        <w:t>　　　　</w:t>
      </w:r>
      <w:r>
        <w:rPr>
          <w:sz w:val="27"/>
        </w:rPr>
        <w:t>　　传　　真：</w:t>
      </w:r>
      <w:r>
        <w:rPr>
          <w:sz w:val="27"/>
          <w:u w:val="single"/>
        </w:rPr>
        <w:t>　　　</w:t>
      </w:r>
      <w:r>
        <w:rPr>
          <w:sz w:val="27"/>
        </w:rPr>
        <w:t>　　地　　址：</w:t>
      </w:r>
      <w:r>
        <w:rPr>
          <w:sz w:val="27"/>
          <w:u w:val="single"/>
        </w:rPr>
        <w:t>　　　</w:t>
      </w:r>
    </w:p>
    <w:p>
      <w:pPr>
        <w:pStyle w:val="null3"/>
        <w:spacing w:before="0" w:after="0" w:lineRule="auto" w:line="360"/>
        <w:ind w:left="0" w:right="0"/>
        <w:jc w:val="both"/>
      </w:pPr>
      <w:r>
        <w:rPr>
          <w:sz w:val="27"/>
        </w:rPr>
        <w:t xml:space="preserve"> </w:t>
      </w:r>
    </w:p>
    <w:p>
      <w:pPr>
        <w:pStyle w:val="null3"/>
        <w:spacing w:before="0" w:after="0" w:lineRule="auto" w:line="360"/>
        <w:ind w:left="0" w:right="0" w:firstLine="404"/>
        <w:jc w:val="both"/>
      </w:pPr>
      <w:r>
        <w:rPr>
          <w:sz w:val="27"/>
        </w:rPr>
        <w:t xml:space="preserve">根据 </w:t>
      </w:r>
      <w:r>
        <w:rPr>
          <w:sz w:val="27"/>
          <w:u w:val="single"/>
        </w:rPr>
        <w:t xml:space="preserve">              项目</w:t>
      </w:r>
      <w:r>
        <w:rPr>
          <w:sz w:val="27"/>
        </w:rPr>
        <w:t>的采购结果，按照《中华人民共和国政府采购法》、《中华人民共和国民法典(合同编)》的规定，</w:t>
      </w:r>
      <w:r>
        <w:rPr>
          <w:sz w:val="27"/>
        </w:rPr>
        <w:t>经双方协商，</w:t>
      </w:r>
      <w:r>
        <w:rPr>
          <w:sz w:val="27"/>
        </w:rPr>
        <w:t>本着平等互利和诚实信用的原则，</w:t>
      </w:r>
      <w:r>
        <w:rPr>
          <w:sz w:val="27"/>
        </w:rPr>
        <w:t>一致同意签订本合同如下。</w:t>
      </w:r>
    </w:p>
    <w:p>
      <w:pPr>
        <w:pStyle w:val="null3"/>
        <w:spacing w:before="0" w:after="0" w:lineRule="auto" w:line="360"/>
        <w:ind w:left="1092" w:right="0"/>
        <w:jc w:val="both"/>
      </w:pPr>
      <w:r>
        <w:rPr>
          <w:sz w:val="27"/>
          <w:b/>
        </w:rPr>
        <w:t>一、</w:t>
      </w:r>
      <w:r>
        <w:rPr>
          <w:sz w:val="27"/>
          <w:b/>
        </w:rPr>
        <w:t>货物内容</w:t>
      </w:r>
    </w:p>
    <w:tbl>
      <w:tblPr>
        <w:tblW w:w="0" w:type="auto"/>
        <w:tblBorders>
          <w:top w:val="single"/>
          <w:left w:val="single"/>
          <w:bottom w:val="single"/>
          <w:right w:val="single"/>
          <w:insideH w:val="single"/>
          <w:insideV w:val="single"/>
        </w:tblBorders>
      </w:tblPr>
      <w:tblGrid>
        <w:gridCol w:w="696"/>
        <w:gridCol w:w="3516"/>
        <w:gridCol w:w="696"/>
        <w:gridCol w:w="470"/>
        <w:gridCol w:w="470"/>
        <w:gridCol w:w="705"/>
        <w:gridCol w:w="705"/>
      </w:tblGrid>
      <w:tr>
        <w:tc>
          <w:tcPr>
            <w:tcW w:type="dxa" w:w="696"/>
            <w:tcBorders>
              <w:top w:val="single" w:color="CCCCCC" w:sz="4"/>
              <w:left w:val="single" w:color="CCCCCC" w:sz="4"/>
              <w:bottom w:val="single" w:color="CCCCCC" w:sz="8"/>
              <w:right w:val="single" w:color="CCCCCC" w:sz="4"/>
            </w:tcBorders>
            <w:tcMar>
              <w:top w:type="dxa" w:w="37"/>
              <w:left w:type="dxa" w:w="67"/>
              <w:bottom w:type="dxa" w:w="30"/>
              <w:right w:type="dxa" w:w="67"/>
            </w:tcMar>
            <w:vAlign w:val="center"/>
          </w:tcPr>
          <w:p>
            <w:pPr>
              <w:pStyle w:val="null3"/>
              <w:spacing w:before="0" w:after="0"/>
              <w:ind w:left="0" w:right="0"/>
              <w:jc w:val="both"/>
            </w:pPr>
            <w:r>
              <w:rPr>
                <w:sz w:val="24"/>
              </w:rPr>
              <w:t>名称</w:t>
            </w:r>
          </w:p>
        </w:tc>
        <w:tc>
          <w:tcPr>
            <w:tcW w:type="dxa" w:w="3516"/>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center"/>
            </w:pPr>
            <w:r>
              <w:rPr>
                <w:sz w:val="24"/>
              </w:rPr>
              <w:t>品牌、规格、标准/主要服务内容</w:t>
            </w:r>
            <w:r>
              <w:rPr>
                <w:sz w:val="24"/>
              </w:rPr>
              <w:t xml:space="preserve"> </w:t>
            </w:r>
          </w:p>
        </w:tc>
        <w:tc>
          <w:tcPr>
            <w:tcW w:type="dxa" w:w="696"/>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both"/>
            </w:pPr>
            <w:r>
              <w:rPr>
                <w:sz w:val="24"/>
              </w:rPr>
              <w:t>产地</w:t>
            </w:r>
          </w:p>
        </w:tc>
        <w:tc>
          <w:tcPr>
            <w:tcW w:type="dxa" w:w="470"/>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150" w:after="150"/>
              <w:ind w:left="0" w:right="0"/>
              <w:jc w:val="center"/>
            </w:pPr>
            <w:r>
              <w:rPr>
                <w:sz w:val="24"/>
              </w:rPr>
              <w:t>数量</w:t>
            </w:r>
          </w:p>
        </w:tc>
        <w:tc>
          <w:tcPr>
            <w:tcW w:type="dxa" w:w="470"/>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center"/>
            </w:pPr>
            <w:r>
              <w:rPr>
                <w:sz w:val="24"/>
              </w:rPr>
              <w:t>单位</w:t>
            </w:r>
          </w:p>
        </w:tc>
        <w:tc>
          <w:tcPr>
            <w:tcW w:type="dxa" w:w="705"/>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center"/>
            </w:pPr>
            <w:r>
              <w:rPr>
                <w:sz w:val="24"/>
              </w:rPr>
              <w:t>单价</w:t>
            </w:r>
          </w:p>
          <w:p>
            <w:pPr>
              <w:pStyle w:val="null3"/>
              <w:spacing w:before="0" w:after="0"/>
              <w:ind w:left="0" w:right="0"/>
              <w:jc w:val="center"/>
            </w:pPr>
            <w:r>
              <w:rPr>
                <w:sz w:val="24"/>
              </w:rPr>
              <w:t>（元）</w:t>
            </w:r>
          </w:p>
        </w:tc>
        <w:tc>
          <w:tcPr>
            <w:tcW w:type="dxa" w:w="705"/>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center"/>
            </w:pPr>
            <w:r>
              <w:rPr>
                <w:sz w:val="24"/>
              </w:rPr>
              <w:t>金额</w:t>
            </w:r>
          </w:p>
          <w:p>
            <w:pPr>
              <w:pStyle w:val="null3"/>
              <w:spacing w:before="0" w:after="0"/>
              <w:ind w:left="0" w:right="0"/>
              <w:jc w:val="center"/>
            </w:pPr>
            <w:r>
              <w:rPr>
                <w:sz w:val="24"/>
              </w:rPr>
              <w:t>（元）</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sz w:val="24"/>
              </w:rPr>
              <w:t xml:space="preserve"> </w:t>
            </w:r>
            <w:r>
              <w:rPr>
                <w:sz w:val="24"/>
              </w:rPr>
              <w:t>**</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w:t>
            </w:r>
            <w:r>
              <w:rPr>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w:t>
            </w:r>
            <w:r>
              <w:rPr>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w:t>
            </w:r>
            <w:r>
              <w:rPr>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w:t>
            </w:r>
            <w:r>
              <w:rPr>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r>
              <w:rPr>
                <w:sz w:val="24"/>
              </w:rPr>
              <w:t>**</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w:t>
            </w:r>
            <w:r>
              <w:rPr>
                <w:sz w:val="24"/>
              </w:rPr>
              <w:t xml:space="preserve"> </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sz w:val="24"/>
              </w:rPr>
              <w:t xml:space="preserve"> </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sz w:val="24"/>
              </w:rPr>
              <w:t xml:space="preserve"> </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sz w:val="24"/>
              </w:rPr>
              <w:t xml:space="preserve"> </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sz w:val="24"/>
              </w:rPr>
              <w:t xml:space="preserve"> </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r>
      <w:tr>
        <w:tc>
          <w:tcPr>
            <w:tcW w:type="dxa" w:w="6553"/>
            <w:gridSpan w:val="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150" w:after="150"/>
              <w:ind w:left="0" w:right="0"/>
              <w:jc w:val="center"/>
            </w:pPr>
            <w:r>
              <w:rPr>
                <w:sz w:val="24"/>
              </w:rPr>
              <w:t>合计：人民币大写：**</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w:t>
            </w:r>
          </w:p>
        </w:tc>
      </w:tr>
      <w:tr>
        <w:tc>
          <w:tcPr>
            <w:tcW w:type="dxa" w:w="696"/>
            <w:tcBorders>
              <w:top w:val="none" w:color="000000" w:sz="4"/>
              <w:left w:val="none" w:color="000000" w:sz="4"/>
              <w:bottom w:val="none" w:color="000000" w:sz="4"/>
              <w:right w:val="none" w:color="000000" w:sz="4"/>
            </w:tcBorders>
          </w:tcPr>
          <w:p>
            <w:pPr>
              <w:pStyle w:val="null3"/>
              <w:jc w:val="center"/>
            </w:pPr>
            <w:r>
              <w:rPr/>
              <w:t xml:space="preserve"> </w:t>
            </w:r>
          </w:p>
        </w:tc>
        <w:tc>
          <w:tcPr>
            <w:tcW w:type="dxa" w:w="3516"/>
            <w:tcBorders>
              <w:top w:val="none" w:color="000000" w:sz="4"/>
              <w:left w:val="none" w:color="000000" w:sz="4"/>
              <w:bottom w:val="none" w:color="000000" w:sz="4"/>
              <w:right w:val="none" w:color="000000" w:sz="4"/>
            </w:tcBorders>
          </w:tcPr>
          <w:p>
            <w:pPr>
              <w:pStyle w:val="null3"/>
              <w:jc w:val="center"/>
            </w:pPr>
            <w:r>
              <w:rPr/>
              <w:t xml:space="preserve"> </w:t>
            </w:r>
          </w:p>
        </w:tc>
        <w:tc>
          <w:tcPr>
            <w:tcW w:type="dxa" w:w="696"/>
            <w:tcBorders>
              <w:top w:val="none" w:color="000000" w:sz="4"/>
              <w:left w:val="none" w:color="000000" w:sz="4"/>
              <w:bottom w:val="none" w:color="000000" w:sz="4"/>
              <w:right w:val="none" w:color="000000" w:sz="4"/>
            </w:tcBorders>
          </w:tcPr>
          <w:p>
            <w:pPr>
              <w:pStyle w:val="null3"/>
              <w:jc w:val="center"/>
            </w:pPr>
            <w:r>
              <w:rPr/>
              <w:t xml:space="preserve"> </w:t>
            </w:r>
          </w:p>
        </w:tc>
        <w:tc>
          <w:tcPr>
            <w:tcW w:type="dxa" w:w="470"/>
            <w:tcBorders>
              <w:top w:val="none" w:color="000000" w:sz="4"/>
              <w:left w:val="none" w:color="000000" w:sz="4"/>
              <w:bottom w:val="none" w:color="000000" w:sz="4"/>
              <w:right w:val="none" w:color="000000" w:sz="4"/>
            </w:tcBorders>
          </w:tcPr>
          <w:p>
            <w:pPr>
              <w:pStyle w:val="null3"/>
              <w:jc w:val="center"/>
            </w:pPr>
            <w:r>
              <w:rPr/>
              <w:t xml:space="preserve"> </w:t>
            </w:r>
          </w:p>
        </w:tc>
        <w:tc>
          <w:tcPr>
            <w:tcW w:type="dxa" w:w="470"/>
            <w:tcBorders>
              <w:top w:val="none" w:color="000000" w:sz="4"/>
              <w:left w:val="none" w:color="000000" w:sz="4"/>
              <w:bottom w:val="none" w:color="000000" w:sz="4"/>
              <w:right w:val="none" w:color="000000" w:sz="4"/>
            </w:tcBorders>
          </w:tcPr>
          <w:p>
            <w:pPr>
              <w:pStyle w:val="null3"/>
              <w:jc w:val="center"/>
            </w:pPr>
            <w:r>
              <w:rPr/>
              <w:t xml:space="preserve"> </w:t>
            </w:r>
          </w:p>
        </w:tc>
        <w:tc>
          <w:tcPr>
            <w:tcW w:type="dxa" w:w="705"/>
            <w:tcBorders>
              <w:top w:val="none" w:color="000000" w:sz="4"/>
              <w:left w:val="none" w:color="000000" w:sz="4"/>
              <w:bottom w:val="none" w:color="000000" w:sz="4"/>
              <w:right w:val="none" w:color="000000" w:sz="4"/>
            </w:tcBorders>
          </w:tcPr>
          <w:p>
            <w:pPr>
              <w:pStyle w:val="null3"/>
              <w:jc w:val="center"/>
            </w:pPr>
            <w:r>
              <w:rPr/>
              <w:t xml:space="preserve"> </w:t>
            </w:r>
          </w:p>
        </w:tc>
        <w:tc>
          <w:tcPr>
            <w:tcW w:type="dxa" w:w="705"/>
            <w:tcBorders>
              <w:top w:val="none" w:color="000000" w:sz="4"/>
              <w:left w:val="none" w:color="000000" w:sz="4"/>
              <w:bottom w:val="none" w:color="000000" w:sz="4"/>
              <w:right w:val="none" w:color="000000" w:sz="4"/>
            </w:tcBorders>
          </w:tcPr>
          <w:p>
            <w:pPr>
              <w:pStyle w:val="null3"/>
              <w:jc w:val="center"/>
            </w:pPr>
            <w:r>
              <w:rPr/>
              <w:t xml:space="preserve"> </w:t>
            </w:r>
          </w:p>
        </w:tc>
      </w:tr>
    </w:tbl>
    <w:p>
      <w:pPr>
        <w:pStyle w:val="null3"/>
        <w:spacing w:before="0" w:after="0"/>
        <w:ind w:left="0" w:right="0"/>
        <w:jc w:val="both"/>
      </w:pPr>
      <w:r>
        <w:rPr>
          <w:sz w:val="32"/>
        </w:rPr>
        <w:t xml:space="preserve"> </w:t>
      </w:r>
    </w:p>
    <w:p>
      <w:pPr>
        <w:pStyle w:val="null3"/>
        <w:spacing w:before="0" w:after="0" w:lineRule="auto" w:line="360"/>
        <w:ind w:left="0" w:right="0" w:firstLine="400"/>
        <w:jc w:val="both"/>
      </w:pPr>
      <w:r>
        <w:rPr>
          <w:sz w:val="27"/>
        </w:rPr>
        <w:t>合同总额包括乙方设计、制造、供货、安装、随机零配件、标配工具、运输保险、调试、培训、质保期服务、各项税费及合同实施过程中不可预见费用等。</w:t>
      </w:r>
    </w:p>
    <w:p>
      <w:pPr>
        <w:pStyle w:val="null3"/>
        <w:spacing w:before="0" w:after="0" w:lineRule="auto" w:line="360"/>
        <w:ind w:left="0" w:right="0" w:firstLine="400"/>
        <w:jc w:val="both"/>
      </w:pPr>
      <w:r>
        <w:rPr>
          <w:sz w:val="27"/>
        </w:rPr>
        <w:t>注：货物名称内容必须与投标文件中货物名称内容一致。</w:t>
      </w:r>
    </w:p>
    <w:p>
      <w:pPr>
        <w:pStyle w:val="null3"/>
        <w:spacing w:before="0" w:after="0" w:lineRule="auto" w:line="360"/>
        <w:ind w:left="1092" w:right="0"/>
        <w:jc w:val="both"/>
      </w:pPr>
      <w:r>
        <w:rPr>
          <w:sz w:val="27"/>
          <w:b/>
        </w:rPr>
        <w:t>二、</w:t>
      </w:r>
      <w:r>
        <w:rPr>
          <w:sz w:val="27"/>
          <w:b/>
        </w:rPr>
        <w:t>合同金额</w:t>
      </w:r>
    </w:p>
    <w:p>
      <w:pPr>
        <w:pStyle w:val="null3"/>
        <w:spacing w:before="0" w:after="0" w:lineRule="auto" w:line="360"/>
        <w:ind w:left="0" w:right="0"/>
        <w:jc w:val="both"/>
      </w:pPr>
      <w:r>
        <w:rPr>
          <w:sz w:val="27"/>
        </w:rPr>
        <w:t>合同金额为（大写）：_________________（￥_______________元）人民币。</w:t>
      </w:r>
    </w:p>
    <w:p>
      <w:pPr>
        <w:pStyle w:val="null3"/>
        <w:spacing w:before="0" w:after="0" w:lineRule="auto" w:line="360"/>
        <w:ind w:left="1092" w:right="0"/>
        <w:jc w:val="both"/>
      </w:pPr>
      <w:r>
        <w:rPr>
          <w:sz w:val="27"/>
          <w:b/>
        </w:rPr>
        <w:t>三、</w:t>
      </w:r>
      <w:r>
        <w:rPr>
          <w:sz w:val="27"/>
          <w:b/>
        </w:rPr>
        <w:t>设备要求</w:t>
      </w:r>
    </w:p>
    <w:p>
      <w:pPr>
        <w:pStyle w:val="null3"/>
        <w:spacing w:before="0" w:after="0" w:lineRule="auto" w:line="360"/>
        <w:ind w:left="0" w:right="0"/>
        <w:jc w:val="both"/>
      </w:pPr>
      <w:r>
        <w:rPr>
          <w:sz w:val="27"/>
        </w:rPr>
        <w:t>货物为原制造商制造的全新产品，整机无污染，无侵权行为、表面无划损、无任何缺陷隐患，在中国境内可依常规安全合法使用。</w:t>
      </w:r>
    </w:p>
    <w:p>
      <w:pPr>
        <w:pStyle w:val="null3"/>
        <w:spacing w:before="0" w:after="0" w:lineRule="auto" w:line="360"/>
        <w:ind w:left="1092" w:right="0"/>
        <w:jc w:val="both"/>
      </w:pPr>
      <w:r>
        <w:rPr>
          <w:sz w:val="27"/>
          <w:b/>
        </w:rPr>
        <w:t>四、</w:t>
      </w:r>
      <w:r>
        <w:rPr>
          <w:sz w:val="27"/>
          <w:b/>
        </w:rPr>
        <w:t>交货期、交货方式及交货地点</w:t>
      </w:r>
    </w:p>
    <w:p>
      <w:pPr>
        <w:pStyle w:val="null3"/>
        <w:spacing w:before="0" w:after="0" w:lineRule="auto" w:line="360"/>
        <w:ind w:left="0" w:right="0"/>
        <w:jc w:val="both"/>
      </w:pPr>
      <w:r>
        <w:rPr>
          <w:sz w:val="27"/>
        </w:rPr>
        <w:t xml:space="preserve">        </w:t>
      </w:r>
      <w:r>
        <w:rPr>
          <w:sz w:val="27"/>
        </w:rPr>
        <w:t>1.</w:t>
      </w:r>
      <w:r>
        <w:rPr>
          <w:sz w:val="27"/>
        </w:rPr>
        <w:t>交货期：</w:t>
      </w:r>
      <w:r>
        <w:rPr>
          <w:sz w:val="24"/>
        </w:rPr>
        <w:t>合同签订之日起</w:t>
      </w:r>
      <w:r>
        <w:rPr>
          <w:sz w:val="24"/>
          <w:u w:val="single"/>
        </w:rPr>
        <w:t xml:space="preserve">       </w:t>
      </w:r>
      <w:r>
        <w:rPr>
          <w:sz w:val="24"/>
        </w:rPr>
        <w:t>日内完成供货安装及调试并验收通过。</w:t>
      </w:r>
    </w:p>
    <w:p>
      <w:pPr>
        <w:pStyle w:val="null3"/>
        <w:spacing w:before="0" w:after="0" w:lineRule="auto" w:line="360"/>
        <w:ind w:left="0" w:right="0"/>
        <w:jc w:val="both"/>
      </w:pPr>
      <w:r>
        <w:rPr>
          <w:sz w:val="27"/>
        </w:rPr>
        <w:t xml:space="preserve">        </w:t>
      </w:r>
      <w:r>
        <w:rPr>
          <w:sz w:val="27"/>
        </w:rPr>
        <w:t>2.</w:t>
      </w:r>
      <w:r>
        <w:rPr>
          <w:sz w:val="27"/>
        </w:rPr>
        <w:t>交货方式：</w:t>
      </w:r>
    </w:p>
    <w:p>
      <w:pPr>
        <w:pStyle w:val="null3"/>
        <w:spacing w:before="0" w:after="0" w:lineRule="auto" w:line="360"/>
        <w:ind w:left="0" w:right="0"/>
        <w:jc w:val="both"/>
      </w:pPr>
      <w:r>
        <w:rPr>
          <w:sz w:val="27"/>
        </w:rPr>
        <w:t xml:space="preserve">        </w:t>
      </w:r>
      <w:r>
        <w:rPr>
          <w:sz w:val="27"/>
        </w:rPr>
        <w:t>3.</w:t>
      </w:r>
      <w:r>
        <w:rPr>
          <w:sz w:val="27"/>
        </w:rPr>
        <w:t>交货地点：</w:t>
      </w:r>
    </w:p>
    <w:p>
      <w:pPr>
        <w:pStyle w:val="null3"/>
        <w:spacing w:before="0" w:after="0" w:lineRule="auto" w:line="360"/>
        <w:ind w:left="1092" w:right="0"/>
        <w:jc w:val="both"/>
      </w:pPr>
      <w:r>
        <w:rPr>
          <w:sz w:val="27"/>
          <w:b/>
        </w:rPr>
        <w:t>五、</w:t>
      </w:r>
      <w:r>
        <w:rPr>
          <w:sz w:val="27"/>
          <w:b/>
        </w:rPr>
        <w:t>付款方式</w:t>
      </w:r>
    </w:p>
    <w:p>
      <w:pPr>
        <w:pStyle w:val="null3"/>
        <w:spacing w:before="0" w:after="0" w:lineRule="auto" w:line="360"/>
        <w:ind w:left="0" w:right="0"/>
        <w:jc w:val="both"/>
      </w:pPr>
      <w:r>
        <w:rPr>
          <w:sz w:val="27"/>
        </w:rPr>
        <w:t>由甲方按下列程序</w:t>
      </w:r>
      <w:r>
        <w:rPr>
          <w:sz w:val="27"/>
        </w:rPr>
        <w:t>付款：</w:t>
      </w:r>
    </w:p>
    <w:p>
      <w:pPr>
        <w:pStyle w:val="null3"/>
        <w:spacing w:before="0" w:after="0" w:lineRule="auto" w:line="360"/>
        <w:ind w:left="0" w:right="0"/>
        <w:jc w:val="both"/>
      </w:pPr>
      <w:r>
        <w:rPr>
          <w:sz w:val="27"/>
        </w:rPr>
        <w:t>1.</w:t>
      </w:r>
      <w:r>
        <w:rPr>
          <w:sz w:val="24"/>
        </w:rPr>
        <w:t>双方签订合同后</w:t>
      </w:r>
      <w:r>
        <w:rPr>
          <w:sz w:val="24"/>
        </w:rPr>
        <w:t>15个工作日内，支付合同总金额的30%</w:t>
      </w:r>
      <w:r>
        <w:rPr>
          <w:sz w:val="27"/>
        </w:rPr>
        <w:t>。</w:t>
      </w:r>
    </w:p>
    <w:p>
      <w:pPr>
        <w:pStyle w:val="null3"/>
        <w:spacing w:before="0" w:after="0" w:lineRule="auto" w:line="360"/>
        <w:ind w:left="0" w:right="0"/>
        <w:jc w:val="both"/>
      </w:pPr>
      <w:r>
        <w:rPr>
          <w:sz w:val="27"/>
        </w:rPr>
        <w:t>2.</w:t>
      </w:r>
      <w:r>
        <w:rPr>
          <w:sz w:val="24"/>
        </w:rPr>
        <w:t>自验收合格之日起设备正常使用、完成相关使用培训后</w:t>
      </w:r>
      <w:r>
        <w:rPr>
          <w:sz w:val="24"/>
        </w:rPr>
        <w:t>15</w:t>
      </w:r>
      <w:r>
        <w:rPr>
          <w:sz w:val="24"/>
        </w:rPr>
        <w:t>个工作日内，支付合同总金额的</w:t>
      </w:r>
      <w:r>
        <w:rPr>
          <w:sz w:val="24"/>
        </w:rPr>
        <w:t>70%</w:t>
      </w:r>
      <w:r>
        <w:rPr>
          <w:sz w:val="27"/>
        </w:rPr>
        <w:t>。</w:t>
      </w:r>
    </w:p>
    <w:p>
      <w:pPr>
        <w:pStyle w:val="null3"/>
        <w:spacing w:before="0" w:after="0" w:lineRule="auto" w:line="360"/>
        <w:ind w:left="0" w:right="0"/>
        <w:jc w:val="both"/>
      </w:pPr>
      <w:r>
        <w:rPr>
          <w:sz w:val="27"/>
        </w:rPr>
        <w:t>3.</w:t>
      </w:r>
      <w:r>
        <w:rPr>
          <w:sz w:val="24"/>
        </w:rPr>
        <w:t>因甲方使用的是财政资金，</w:t>
      </w:r>
      <w:r>
        <w:rPr>
          <w:sz w:val="24"/>
        </w:rPr>
        <w:t>甲方</w:t>
      </w:r>
      <w:r>
        <w:rPr>
          <w:sz w:val="24"/>
        </w:rPr>
        <w:t>在前述的付款时间为提交财政支付申请手续的时间（不含政府财政支付</w:t>
      </w:r>
      <w:r>
        <w:rPr>
          <w:sz w:val="24"/>
        </w:rPr>
        <w:t>部门</w:t>
      </w:r>
    </w:p>
    <w:p>
      <w:pPr>
        <w:pStyle w:val="null3"/>
        <w:spacing w:before="0" w:after="0" w:lineRule="auto" w:line="360"/>
        <w:ind w:left="0" w:right="0"/>
        <w:jc w:val="both"/>
      </w:pPr>
      <w:r>
        <w:rPr>
          <w:sz w:val="24"/>
        </w:rPr>
        <w:t>审核的时间），</w:t>
      </w:r>
      <w:r>
        <w:rPr>
          <w:sz w:val="24"/>
        </w:rPr>
        <w:t>甲方</w:t>
      </w:r>
      <w:r>
        <w:rPr>
          <w:sz w:val="24"/>
        </w:rPr>
        <w:t>在规定时间内提交支付申请手续后即视为</w:t>
      </w:r>
      <w:r>
        <w:rPr>
          <w:sz w:val="24"/>
        </w:rPr>
        <w:t>甲方</w:t>
      </w:r>
      <w:r>
        <w:rPr>
          <w:sz w:val="24"/>
        </w:rPr>
        <w:t>已经</w:t>
      </w:r>
      <w:r>
        <w:rPr>
          <w:sz w:val="24"/>
        </w:rPr>
        <w:t>按期</w:t>
      </w:r>
      <w:r>
        <w:rPr>
          <w:sz w:val="24"/>
        </w:rPr>
        <w:t>履行付款义务，乙方不</w:t>
      </w:r>
      <w:r>
        <w:rPr>
          <w:sz w:val="24"/>
        </w:rPr>
        <w:t>得以付款期</w:t>
      </w:r>
    </w:p>
    <w:p>
      <w:pPr>
        <w:pStyle w:val="null3"/>
        <w:spacing w:before="0" w:after="0" w:lineRule="auto" w:line="360"/>
        <w:ind w:left="0" w:right="0"/>
        <w:jc w:val="both"/>
      </w:pPr>
      <w:r>
        <w:rPr>
          <w:sz w:val="24"/>
        </w:rPr>
        <w:t>限已过为由向甲方索赔或要求支付违约金</w:t>
      </w:r>
      <w:r>
        <w:rPr>
          <w:sz w:val="24"/>
        </w:rPr>
        <w:t>,甲方不承担逾期付款的违约责任</w:t>
      </w:r>
      <w:r>
        <w:rPr>
          <w:sz w:val="24"/>
        </w:rPr>
        <w:t>。</w:t>
      </w:r>
    </w:p>
    <w:p>
      <w:pPr>
        <w:pStyle w:val="null3"/>
        <w:spacing w:before="0" w:after="0" w:lineRule="auto" w:line="360"/>
        <w:ind w:left="0" w:right="0"/>
        <w:jc w:val="both"/>
      </w:pPr>
      <w:r>
        <w:rPr>
          <w:sz w:val="27"/>
        </w:rPr>
        <w:t>4.乙方</w:t>
      </w:r>
      <w:r>
        <w:rPr>
          <w:sz w:val="24"/>
        </w:rPr>
        <w:t>按工作进度向甲方申请付款时，需先向甲方提供付款申请书，并与甲方确认开具付款金额等额</w:t>
      </w:r>
      <w:r>
        <w:rPr>
          <w:sz w:val="24"/>
        </w:rPr>
        <w:t>的增值税</w:t>
      </w:r>
    </w:p>
    <w:p>
      <w:pPr>
        <w:pStyle w:val="null3"/>
        <w:spacing w:before="0" w:after="0" w:lineRule="auto" w:line="360"/>
        <w:ind w:left="0" w:right="0"/>
        <w:jc w:val="both"/>
      </w:pPr>
      <w:r>
        <w:rPr>
          <w:sz w:val="24"/>
        </w:rPr>
        <w:t>普通发票。因乙方迟延请款或迟延开具发票的，甲方付款期限顺延。</w:t>
      </w:r>
    </w:p>
    <w:p>
      <w:pPr>
        <w:pStyle w:val="null3"/>
        <w:spacing w:before="0" w:after="0" w:lineRule="auto" w:line="360"/>
        <w:ind w:left="1092" w:right="0"/>
        <w:jc w:val="both"/>
      </w:pPr>
      <w:r>
        <w:rPr>
          <w:sz w:val="27"/>
          <w:b/>
        </w:rPr>
        <w:t>六、</w:t>
      </w:r>
      <w:r>
        <w:rPr>
          <w:sz w:val="27"/>
          <w:b/>
        </w:rPr>
        <w:t>质保期及售后服务要求</w:t>
      </w:r>
    </w:p>
    <w:p>
      <w:pPr>
        <w:pStyle w:val="null3"/>
        <w:spacing w:before="0" w:after="0" w:lineRule="auto" w:line="360"/>
        <w:ind w:left="0" w:right="0"/>
        <w:jc w:val="both"/>
      </w:pPr>
      <w:r>
        <w:rPr>
          <w:sz w:val="27"/>
        </w:rPr>
        <w:t>1.</w:t>
      </w:r>
      <w:r>
        <w:rPr>
          <w:sz w:val="27"/>
        </w:rPr>
        <w:t>本合同的质量保证期（免费维护服务期）为</w:t>
      </w:r>
      <w:r>
        <w:rPr>
          <w:sz w:val="27"/>
          <w:u w:val="single"/>
        </w:rPr>
        <w:t xml:space="preserve">    </w:t>
      </w:r>
      <w:r>
        <w:rPr>
          <w:sz w:val="27"/>
        </w:rPr>
        <w:t>年，质保期内乙方对所供货物实行包修、包换、</w:t>
      </w:r>
    </w:p>
    <w:p>
      <w:pPr>
        <w:pStyle w:val="null3"/>
        <w:spacing w:before="0" w:after="0" w:lineRule="auto" w:line="360"/>
        <w:ind w:left="0" w:right="0"/>
        <w:jc w:val="both"/>
      </w:pPr>
      <w:r>
        <w:rPr>
          <w:sz w:val="27"/>
        </w:rPr>
        <w:t>包退及合同约定的其它事项，期满后可同时提供终身</w:t>
      </w:r>
      <w:r>
        <w:rPr>
          <w:sz w:val="27"/>
          <w:u w:val="single"/>
        </w:rPr>
        <w:t>(免费/有偿)</w:t>
      </w:r>
      <w:r>
        <w:rPr>
          <w:sz w:val="27"/>
        </w:rPr>
        <w:t>维修保养服务。</w:t>
      </w:r>
    </w:p>
    <w:p>
      <w:pPr>
        <w:pStyle w:val="null3"/>
        <w:spacing w:before="0" w:after="0" w:lineRule="auto" w:line="360"/>
        <w:ind w:left="0" w:right="0"/>
        <w:jc w:val="both"/>
      </w:pPr>
      <w:r>
        <w:rPr>
          <w:sz w:val="27"/>
        </w:rPr>
        <w:t>2.</w:t>
      </w:r>
      <w:r>
        <w:rPr>
          <w:sz w:val="24"/>
        </w:rPr>
        <w:t>在免费维护服务期内，所有系统设备的故障维修、零配件更换、耗材更换等全部由乙方负责，甲方不再支付</w:t>
      </w:r>
    </w:p>
    <w:p>
      <w:pPr>
        <w:pStyle w:val="null3"/>
        <w:spacing w:before="0" w:after="0" w:lineRule="auto" w:line="360"/>
        <w:ind w:left="0" w:right="0"/>
        <w:jc w:val="both"/>
      </w:pPr>
      <w:r>
        <w:rPr>
          <w:sz w:val="24"/>
        </w:rPr>
        <w:t>任何费用；</w:t>
      </w:r>
      <w:r>
        <w:rPr>
          <w:sz w:val="24"/>
        </w:rPr>
        <w:t>免费维护服务</w:t>
      </w:r>
      <w:r>
        <w:rPr>
          <w:sz w:val="24"/>
        </w:rPr>
        <w:t>费用计入总价（所有免费保修期从设备验收合格之日起计算）</w:t>
      </w:r>
      <w:r>
        <w:rPr>
          <w:sz w:val="24"/>
        </w:rPr>
        <w:t>，</w:t>
      </w:r>
      <w:r>
        <w:rPr>
          <w:sz w:val="24"/>
        </w:rPr>
        <w:t>并保证保修期后的零</w:t>
      </w:r>
    </w:p>
    <w:p>
      <w:pPr>
        <w:pStyle w:val="null3"/>
        <w:spacing w:before="0" w:after="0" w:lineRule="auto" w:line="360"/>
        <w:ind w:left="0" w:right="0"/>
        <w:jc w:val="both"/>
      </w:pPr>
      <w:r>
        <w:rPr>
          <w:sz w:val="24"/>
        </w:rPr>
        <w:t>配件供应和提供及时的有偿维修服务</w:t>
      </w:r>
      <w:r>
        <w:rPr>
          <w:sz w:val="27"/>
        </w:rPr>
        <w:t>。</w:t>
      </w:r>
    </w:p>
    <w:p>
      <w:pPr>
        <w:pStyle w:val="null3"/>
        <w:spacing w:before="0" w:after="0" w:lineRule="auto" w:line="360"/>
        <w:ind w:left="0" w:right="0"/>
        <w:jc w:val="both"/>
      </w:pPr>
      <w:r>
        <w:rPr>
          <w:sz w:val="27"/>
        </w:rPr>
        <w:t>3.</w:t>
      </w:r>
      <w:r>
        <w:rPr>
          <w:sz w:val="24"/>
        </w:rPr>
        <w:t>维修</w:t>
      </w:r>
      <w:r>
        <w:rPr>
          <w:sz w:val="24"/>
        </w:rPr>
        <w:t>（</w:t>
      </w:r>
      <w:r>
        <w:rPr>
          <w:sz w:val="24"/>
        </w:rPr>
        <w:t>维护</w:t>
      </w:r>
      <w:r>
        <w:rPr>
          <w:sz w:val="24"/>
        </w:rPr>
        <w:t>）</w:t>
      </w:r>
      <w:r>
        <w:rPr>
          <w:sz w:val="24"/>
        </w:rPr>
        <w:t>响应时间：甲方提出需求</w:t>
      </w:r>
      <w:r>
        <w:rPr>
          <w:sz w:val="24"/>
        </w:rPr>
        <w:t>或系统设备出现故障后</w:t>
      </w:r>
      <w:r>
        <w:rPr>
          <w:sz w:val="24"/>
        </w:rPr>
        <w:t>，乙方应在</w:t>
      </w:r>
      <w:r>
        <w:rPr>
          <w:sz w:val="24"/>
        </w:rPr>
        <w:t>1小时</w:t>
      </w:r>
      <w:r>
        <w:rPr>
          <w:sz w:val="24"/>
        </w:rPr>
        <w:t>内响应</w:t>
      </w:r>
      <w:r>
        <w:rPr>
          <w:sz w:val="24"/>
        </w:rPr>
        <w:t>，</w:t>
      </w:r>
      <w:r>
        <w:rPr>
          <w:sz w:val="24"/>
        </w:rPr>
        <w:t>3小时内到达现</w:t>
      </w:r>
      <w:r>
        <w:rPr>
          <w:sz w:val="24"/>
        </w:rPr>
        <w:t>场，</w:t>
      </w:r>
    </w:p>
    <w:p>
      <w:pPr>
        <w:pStyle w:val="null3"/>
        <w:spacing w:before="0" w:after="0" w:lineRule="auto" w:line="360"/>
        <w:ind w:left="0" w:right="0"/>
        <w:jc w:val="both"/>
      </w:pPr>
      <w:r>
        <w:rPr>
          <w:sz w:val="24"/>
        </w:rPr>
        <w:t>如6小时内未能解决故障问题的，乙方需提供同等的备用设备保证监测点正常运行工作，直到故障处理</w:t>
      </w:r>
      <w:r>
        <w:rPr>
          <w:sz w:val="24"/>
        </w:rPr>
        <w:t>完成</w:t>
      </w:r>
    </w:p>
    <w:p>
      <w:pPr>
        <w:pStyle w:val="null3"/>
        <w:spacing w:before="0" w:after="0" w:lineRule="auto" w:line="360"/>
        <w:ind w:left="0" w:right="0"/>
        <w:jc w:val="both"/>
      </w:pPr>
      <w:r>
        <w:rPr>
          <w:sz w:val="24"/>
        </w:rPr>
        <w:t>为止</w:t>
      </w:r>
      <w:r>
        <w:rPr>
          <w:sz w:val="27"/>
        </w:rPr>
        <w:t>。</w:t>
      </w:r>
    </w:p>
    <w:p>
      <w:pPr>
        <w:pStyle w:val="null3"/>
        <w:spacing w:before="0" w:after="0" w:lineRule="auto" w:line="360"/>
        <w:ind w:left="0" w:right="0"/>
        <w:jc w:val="both"/>
      </w:pPr>
      <w:r>
        <w:rPr>
          <w:sz w:val="27"/>
        </w:rPr>
        <w:t>4.</w:t>
      </w:r>
      <w:r>
        <w:rPr>
          <w:sz w:val="24"/>
        </w:rPr>
        <w:t>乙方提供免费安装调试，免费给甲方培训技术人员，直到甲方受训人员熟练掌握原理、操作、维修保养技</w:t>
      </w:r>
    </w:p>
    <w:p>
      <w:pPr>
        <w:pStyle w:val="null3"/>
        <w:spacing w:before="0" w:after="0" w:lineRule="auto" w:line="360"/>
        <w:ind w:left="0" w:right="0"/>
        <w:jc w:val="both"/>
      </w:pPr>
      <w:r>
        <w:rPr>
          <w:sz w:val="24"/>
        </w:rPr>
        <w:t>术，培训的费用由乙方负责</w:t>
      </w:r>
      <w:r>
        <w:rPr>
          <w:sz w:val="24"/>
        </w:rPr>
        <w:t>。乙方应负责在设备安装现场进行散件整合安装，提供所有设备的免费指导安</w:t>
      </w:r>
    </w:p>
    <w:p>
      <w:pPr>
        <w:pStyle w:val="null3"/>
        <w:spacing w:before="0" w:after="0" w:lineRule="auto" w:line="360"/>
        <w:ind w:left="0" w:right="0"/>
        <w:jc w:val="both"/>
      </w:pPr>
      <w:r>
        <w:rPr>
          <w:sz w:val="24"/>
        </w:rPr>
        <w:t>装、调试，直至该设备验收合格、交付使用</w:t>
      </w:r>
      <w:r>
        <w:rPr>
          <w:sz w:val="24"/>
        </w:rPr>
        <w:t>。</w:t>
      </w:r>
    </w:p>
    <w:p>
      <w:pPr>
        <w:pStyle w:val="null3"/>
        <w:spacing w:before="0" w:after="0" w:lineRule="auto" w:line="360"/>
        <w:ind w:left="1092" w:right="0"/>
        <w:jc w:val="both"/>
      </w:pPr>
      <w:r>
        <w:rPr>
          <w:sz w:val="27"/>
          <w:b/>
        </w:rPr>
        <w:t>七、</w:t>
      </w:r>
      <w:r>
        <w:rPr>
          <w:sz w:val="27"/>
          <w:b/>
        </w:rPr>
        <w:t>安装与调试</w:t>
      </w:r>
    </w:p>
    <w:p>
      <w:pPr>
        <w:pStyle w:val="null3"/>
        <w:spacing w:before="0" w:after="0" w:lineRule="auto" w:line="360"/>
        <w:ind w:left="0" w:right="0"/>
        <w:jc w:val="both"/>
      </w:pPr>
      <w:r>
        <w:rPr>
          <w:sz w:val="27"/>
        </w:rPr>
        <w:t>1.</w:t>
      </w:r>
      <w:r>
        <w:rPr>
          <w:sz w:val="27"/>
        </w:rPr>
        <w:t>乙方必须依照招标文件的要求和报价文件的承诺，将设备、系统安装并调试至正常运行的最佳状态。</w:t>
      </w:r>
    </w:p>
    <w:p>
      <w:pPr>
        <w:pStyle w:val="null3"/>
        <w:spacing w:before="0" w:after="0" w:lineRule="auto" w:line="360"/>
        <w:ind w:left="1092" w:right="0"/>
        <w:jc w:val="both"/>
      </w:pPr>
      <w:r>
        <w:rPr>
          <w:sz w:val="27"/>
          <w:b/>
        </w:rPr>
        <w:t>八、</w:t>
      </w:r>
      <w:r>
        <w:rPr>
          <w:sz w:val="27"/>
          <w:b/>
        </w:rPr>
        <w:t>验收：</w:t>
      </w:r>
    </w:p>
    <w:p>
      <w:pPr>
        <w:pStyle w:val="null3"/>
        <w:spacing w:before="0" w:after="0" w:lineRule="auto" w:line="360"/>
        <w:ind w:left="0" w:right="0"/>
        <w:jc w:val="both"/>
      </w:pPr>
      <w:r>
        <w:rPr>
          <w:sz w:val="27"/>
        </w:rPr>
        <w:t>1.</w:t>
      </w:r>
      <w:r>
        <w:rPr>
          <w:sz w:val="27"/>
        </w:rPr>
        <w:t>交付验收标准</w:t>
      </w:r>
      <w:r>
        <w:rPr>
          <w:sz w:val="27"/>
        </w:rPr>
        <w:t>依次序对照适用</w:t>
      </w:r>
      <w:r>
        <w:rPr>
          <w:sz w:val="27"/>
        </w:rPr>
        <w:t>标准</w:t>
      </w:r>
      <w:r>
        <w:rPr>
          <w:sz w:val="27"/>
        </w:rPr>
        <w:t>为：</w:t>
      </w:r>
      <w:r>
        <w:rPr>
          <w:sz w:val="27"/>
        </w:rPr>
        <w:t>①符合中华人民共和国国家安全质量标准、环保标准或行业标准；②符合招标文件和响应承诺中甲方认可的合理最佳配置、参数及各项要求；③货物来源国官方标准。</w:t>
      </w:r>
    </w:p>
    <w:p>
      <w:pPr>
        <w:pStyle w:val="null3"/>
        <w:spacing w:before="0" w:after="0" w:lineRule="auto" w:line="360"/>
        <w:ind w:left="0" w:right="0"/>
        <w:jc w:val="both"/>
      </w:pPr>
      <w:r>
        <w:rPr>
          <w:sz w:val="27"/>
        </w:rPr>
        <w:t>2.</w:t>
      </w:r>
      <w:r>
        <w:rPr>
          <w:sz w:val="27"/>
        </w:rPr>
        <w:t>进口产品必须具备原产地证明和商检局的检验证明及合法进货渠道证明。</w:t>
      </w:r>
    </w:p>
    <w:p>
      <w:pPr>
        <w:pStyle w:val="null3"/>
        <w:spacing w:before="0" w:after="0" w:lineRule="auto" w:line="360"/>
        <w:ind w:left="0" w:right="0"/>
        <w:jc w:val="both"/>
      </w:pPr>
      <w:r>
        <w:rPr>
          <w:sz w:val="27"/>
        </w:rPr>
        <w:t>3.</w:t>
      </w:r>
      <w:r>
        <w:rPr>
          <w:sz w:val="27"/>
        </w:rPr>
        <w:t>货物为原厂商未启封全新包装，具出厂合格证，序列号、包装箱号与出厂批号一致，并可追索查阅。所有随设备的附件必须齐全。</w:t>
      </w:r>
    </w:p>
    <w:p>
      <w:pPr>
        <w:pStyle w:val="null3"/>
        <w:spacing w:before="0" w:after="0" w:lineRule="auto" w:line="360"/>
        <w:ind w:left="0" w:right="0"/>
        <w:jc w:val="both"/>
      </w:pPr>
      <w:r>
        <w:rPr>
          <w:sz w:val="27"/>
        </w:rPr>
        <w:t>4.</w:t>
      </w:r>
      <w:r>
        <w:rPr>
          <w:sz w:val="27"/>
        </w:rPr>
        <w:t>乙方应将关键主机设备的用户手册、保修手册、有关单证资料及配备件、随机工具等交付给甲方，使用操作及安全须知等重要资料应附有中文说明。</w:t>
      </w:r>
    </w:p>
    <w:p>
      <w:pPr>
        <w:pStyle w:val="null3"/>
        <w:spacing w:before="0" w:after="0" w:lineRule="auto" w:line="360"/>
        <w:ind w:left="0" w:right="0"/>
        <w:jc w:val="both"/>
      </w:pPr>
      <w:r>
        <w:rPr>
          <w:sz w:val="24"/>
        </w:rPr>
        <w:t>5.到货验收</w:t>
      </w:r>
    </w:p>
    <w:p>
      <w:pPr>
        <w:pStyle w:val="null3"/>
        <w:spacing w:before="0" w:after="0" w:lineRule="auto" w:line="360"/>
        <w:ind w:left="0" w:right="0"/>
        <w:jc w:val="both"/>
      </w:pPr>
      <w:r>
        <w:rPr>
          <w:sz w:val="24"/>
        </w:rPr>
        <w:t>（</w:t>
      </w:r>
      <w:r>
        <w:rPr>
          <w:sz w:val="24"/>
        </w:rPr>
        <w:t>1）、要求对全部设备的型号、规格、数量、外型、外观、包装及资料、文件（如装箱单、保修单、</w:t>
      </w:r>
      <w:r>
        <w:rPr>
          <w:sz w:val="24"/>
        </w:rPr>
        <w:t>随箱介</w:t>
      </w:r>
    </w:p>
    <w:p>
      <w:pPr>
        <w:pStyle w:val="null3"/>
        <w:spacing w:before="0" w:after="0" w:lineRule="auto" w:line="360"/>
        <w:ind w:left="0" w:right="0"/>
        <w:jc w:val="both"/>
      </w:pPr>
      <w:r>
        <w:rPr>
          <w:sz w:val="24"/>
        </w:rPr>
        <w:t>质等）进行验收。</w:t>
      </w:r>
    </w:p>
    <w:p>
      <w:pPr>
        <w:pStyle w:val="null3"/>
        <w:spacing w:before="0" w:after="0" w:lineRule="auto" w:line="360"/>
        <w:ind w:left="0" w:right="0"/>
        <w:jc w:val="both"/>
      </w:pPr>
      <w:r>
        <w:rPr>
          <w:sz w:val="24"/>
        </w:rPr>
        <w:t>（</w:t>
      </w:r>
      <w:r>
        <w:rPr>
          <w:sz w:val="24"/>
        </w:rPr>
        <w:t>2）、开箱后，乙方应对其全部产品、零件、配件、</w:t>
      </w:r>
      <w:r>
        <w:rPr>
          <w:sz w:val="24"/>
        </w:rPr>
        <w:t>相关</w:t>
      </w:r>
      <w:r>
        <w:rPr>
          <w:sz w:val="24"/>
        </w:rPr>
        <w:t>许可证书、资料、介质造册登记，并与装箱单对</w:t>
      </w:r>
    </w:p>
    <w:p>
      <w:pPr>
        <w:pStyle w:val="null3"/>
        <w:spacing w:before="0" w:after="0" w:lineRule="auto" w:line="360"/>
        <w:ind w:left="0" w:right="0"/>
        <w:jc w:val="both"/>
      </w:pPr>
      <w:r>
        <w:rPr>
          <w:sz w:val="24"/>
        </w:rPr>
        <w:t>比，如有出入应立即书面记录，由乙方解决，如影响安装则按合同有关条款处理。登记册作为验收文档之一。</w:t>
      </w:r>
    </w:p>
    <w:p>
      <w:pPr>
        <w:pStyle w:val="null3"/>
        <w:spacing w:before="0" w:after="0" w:lineRule="auto" w:line="360"/>
        <w:ind w:left="0" w:right="0"/>
        <w:jc w:val="both"/>
      </w:pPr>
      <w:r>
        <w:rPr>
          <w:sz w:val="24"/>
        </w:rPr>
        <w:t>（</w:t>
      </w:r>
      <w:r>
        <w:rPr>
          <w:sz w:val="24"/>
        </w:rPr>
        <w:t>3）、交货时，乙方应提供制造商供货的原装产品证明文件，并负责在项目验收时将全部有关产品的说明</w:t>
      </w:r>
    </w:p>
    <w:p>
      <w:pPr>
        <w:pStyle w:val="null3"/>
        <w:spacing w:before="0" w:after="0" w:lineRule="auto" w:line="360"/>
        <w:ind w:left="0" w:right="0"/>
        <w:jc w:val="both"/>
      </w:pPr>
      <w:r>
        <w:rPr>
          <w:sz w:val="24"/>
        </w:rPr>
        <w:t>书、原厂家安装手册、技术文件、资料、及安装、验收报告等文档汇集成册交付甲方。</w:t>
      </w:r>
    </w:p>
    <w:p>
      <w:pPr>
        <w:pStyle w:val="null3"/>
        <w:spacing w:before="0" w:after="0" w:lineRule="auto" w:line="360"/>
        <w:ind w:left="0" w:right="0"/>
        <w:jc w:val="both"/>
      </w:pPr>
      <w:r>
        <w:rPr>
          <w:sz w:val="24"/>
        </w:rPr>
        <w:t>（</w:t>
      </w:r>
      <w:r>
        <w:rPr>
          <w:sz w:val="24"/>
        </w:rPr>
        <w:t>4）、如机检或测试中如发现设备性能指标或功能不符合</w:t>
      </w:r>
      <w:r>
        <w:rPr>
          <w:sz w:val="24"/>
        </w:rPr>
        <w:t>采购文件、投标文件</w:t>
      </w:r>
      <w:r>
        <w:rPr>
          <w:sz w:val="24"/>
        </w:rPr>
        <w:t>和合同要求时，将被看作性能</w:t>
      </w:r>
    </w:p>
    <w:p>
      <w:pPr>
        <w:pStyle w:val="null3"/>
        <w:spacing w:before="0" w:after="0" w:lineRule="auto" w:line="360"/>
        <w:ind w:left="0" w:right="0"/>
        <w:jc w:val="both"/>
      </w:pPr>
      <w:r>
        <w:rPr>
          <w:sz w:val="24"/>
        </w:rPr>
        <w:t>不合格，甲方有权拒收并要求赔偿。</w:t>
      </w:r>
    </w:p>
    <w:p>
      <w:pPr>
        <w:pStyle w:val="null3"/>
        <w:spacing w:before="0" w:after="0" w:lineRule="auto" w:line="360"/>
        <w:ind w:left="0" w:right="0"/>
        <w:jc w:val="both"/>
      </w:pPr>
      <w:r>
        <w:rPr>
          <w:sz w:val="24"/>
        </w:rPr>
        <w:t>（</w:t>
      </w:r>
      <w:r>
        <w:rPr>
          <w:sz w:val="24"/>
        </w:rPr>
        <w:t>5）、完成设备的安装调试。</w:t>
      </w:r>
    </w:p>
    <w:p>
      <w:pPr>
        <w:pStyle w:val="null3"/>
        <w:spacing w:before="0" w:after="0" w:lineRule="auto" w:line="360"/>
        <w:ind w:left="0" w:right="0"/>
        <w:jc w:val="both"/>
      </w:pPr>
      <w:r>
        <w:rPr>
          <w:sz w:val="24"/>
        </w:rPr>
        <w:t>6.整体验收</w:t>
      </w:r>
    </w:p>
    <w:p>
      <w:pPr>
        <w:pStyle w:val="null3"/>
        <w:spacing w:before="0" w:after="0" w:lineRule="auto" w:line="360"/>
        <w:ind w:left="0" w:right="0"/>
        <w:jc w:val="both"/>
      </w:pPr>
      <w:r>
        <w:rPr>
          <w:sz w:val="24"/>
        </w:rPr>
        <w:t xml:space="preserve">      </w:t>
      </w:r>
      <w:r>
        <w:rPr>
          <w:sz w:val="24"/>
        </w:rPr>
        <w:t>乙方</w:t>
      </w:r>
      <w:r>
        <w:rPr>
          <w:sz w:val="24"/>
        </w:rPr>
        <w:t>按照</w:t>
      </w:r>
      <w:r>
        <w:rPr>
          <w:sz w:val="24"/>
        </w:rPr>
        <w:t>行业</w:t>
      </w:r>
      <w:r>
        <w:rPr>
          <w:sz w:val="24"/>
        </w:rPr>
        <w:t>要求，在设备安装完成后，对所有采购的产品进行相应的联机测试和性能测试，</w:t>
      </w:r>
      <w:r>
        <w:rPr>
          <w:sz w:val="24"/>
        </w:rPr>
        <w:t>由</w:t>
      </w:r>
      <w:r>
        <w:rPr>
          <w:sz w:val="24"/>
        </w:rPr>
        <w:t>乙方</w:t>
      </w:r>
      <w:r>
        <w:rPr>
          <w:sz w:val="24"/>
        </w:rPr>
        <w:t>负责</w:t>
      </w:r>
    </w:p>
    <w:p>
      <w:pPr>
        <w:pStyle w:val="null3"/>
        <w:spacing w:before="0" w:after="0" w:lineRule="auto" w:line="360"/>
        <w:ind w:left="0" w:right="0"/>
        <w:jc w:val="both"/>
      </w:pPr>
      <w:r>
        <w:rPr>
          <w:sz w:val="24"/>
        </w:rPr>
        <w:t>组</w:t>
      </w:r>
      <w:r>
        <w:rPr>
          <w:sz w:val="24"/>
        </w:rPr>
        <w:t>织</w:t>
      </w:r>
      <w:r>
        <w:rPr>
          <w:sz w:val="24"/>
        </w:rPr>
        <w:t>有资质的第三方进行验收，出具验收文件并</w:t>
      </w:r>
      <w:r>
        <w:rPr>
          <w:sz w:val="24"/>
        </w:rPr>
        <w:t>相关</w:t>
      </w:r>
      <w:r>
        <w:rPr>
          <w:sz w:val="24"/>
        </w:rPr>
        <w:t>部门完成备案手续，</w:t>
      </w:r>
      <w:r>
        <w:rPr>
          <w:sz w:val="24"/>
        </w:rPr>
        <w:t>然后双方对整个项目总体共同进行质</w:t>
      </w:r>
    </w:p>
    <w:p>
      <w:pPr>
        <w:pStyle w:val="null3"/>
        <w:spacing w:before="0" w:after="0" w:lineRule="auto" w:line="360"/>
        <w:ind w:left="0" w:right="0"/>
        <w:jc w:val="both"/>
      </w:pPr>
      <w:r>
        <w:rPr>
          <w:sz w:val="24"/>
        </w:rPr>
        <w:t>量验收，验收合格双方签署质量验收表。</w:t>
      </w:r>
    </w:p>
    <w:p>
      <w:pPr>
        <w:pStyle w:val="null3"/>
        <w:spacing w:before="0" w:after="0" w:lineRule="auto" w:line="360"/>
        <w:ind w:left="0" w:right="0"/>
        <w:jc w:val="both"/>
      </w:pPr>
      <w:r>
        <w:rPr>
          <w:sz w:val="24"/>
        </w:rPr>
        <w:t>7.</w:t>
      </w:r>
      <w:r>
        <w:rPr>
          <w:sz w:val="24"/>
        </w:rPr>
        <w:t>该项目所包含的设备及配套软装部分必须满足相关安全标准及</w:t>
      </w:r>
      <w:r>
        <w:rPr>
          <w:sz w:val="24"/>
        </w:rPr>
        <w:t>行业</w:t>
      </w:r>
      <w:r>
        <w:rPr>
          <w:sz w:val="24"/>
        </w:rPr>
        <w:t>标准。</w:t>
      </w:r>
    </w:p>
    <w:p>
      <w:pPr>
        <w:pStyle w:val="null3"/>
        <w:spacing w:before="0" w:after="0" w:lineRule="auto" w:line="360"/>
        <w:ind w:left="0" w:right="0"/>
        <w:jc w:val="both"/>
      </w:pPr>
      <w:r>
        <w:rPr>
          <w:sz w:val="27"/>
        </w:rPr>
        <w:t>8.</w:t>
      </w:r>
      <w:r>
        <w:rPr>
          <w:sz w:val="27"/>
        </w:rPr>
        <w:t>甲方组成验收小组按国家有关规定、规范进行验收，必要时邀请</w:t>
      </w:r>
      <w:r>
        <w:rPr>
          <w:sz w:val="27"/>
        </w:rPr>
        <w:t>相关的专业人员或机构参与验收。因货物质量问题发生争议时，由本地质量技术监督部门鉴定。货物符合质量技术标准的，鉴定费由甲方承担；否则鉴定费由乙方承担。</w:t>
      </w:r>
    </w:p>
    <w:p>
      <w:pPr>
        <w:pStyle w:val="null3"/>
        <w:spacing w:before="0" w:after="0" w:lineRule="auto" w:line="360"/>
        <w:ind w:left="1092" w:right="0"/>
        <w:jc w:val="both"/>
      </w:pPr>
      <w:r>
        <w:rPr>
          <w:sz w:val="27"/>
          <w:b/>
        </w:rPr>
        <w:t>九、</w:t>
      </w:r>
      <w:r>
        <w:rPr>
          <w:sz w:val="27"/>
          <w:b/>
        </w:rPr>
        <w:t>违约责任与赔偿损失</w:t>
      </w:r>
    </w:p>
    <w:p>
      <w:pPr>
        <w:pStyle w:val="null3"/>
        <w:spacing w:before="0" w:after="0" w:lineRule="auto" w:line="360"/>
        <w:ind w:left="0" w:right="0"/>
        <w:jc w:val="both"/>
      </w:pPr>
      <w:r>
        <w:rPr>
          <w:sz w:val="27"/>
        </w:rPr>
        <w:t>1.</w:t>
      </w:r>
      <w:r>
        <w:rPr>
          <w:sz w:val="27"/>
        </w:rPr>
        <w:t>乙方交付的货物、工程/提供的服务不符合本合同规定的，甲方有权拒收，并且乙方须向甲方支付本合同总价5%的违约金。</w:t>
      </w:r>
    </w:p>
    <w:p>
      <w:pPr>
        <w:pStyle w:val="null3"/>
        <w:spacing w:before="0" w:after="0" w:lineRule="auto" w:line="360"/>
        <w:ind w:left="0" w:right="0"/>
        <w:jc w:val="both"/>
      </w:pPr>
      <w:r>
        <w:rPr>
          <w:sz w:val="27"/>
        </w:rPr>
        <w:t>2.</w:t>
      </w:r>
      <w:r>
        <w:rPr>
          <w:sz w:val="27"/>
        </w:rPr>
        <w:t>乙方未能按本合同规定的交货时间交付货物的/提供服务，从逾期之日起每日按本合同总价3‰的数额向甲方支付违约金；逾期半个月以上的，甲方有权终止合同，由此造成的甲方经济损失由乙方承担。</w:t>
      </w:r>
    </w:p>
    <w:p>
      <w:pPr>
        <w:pStyle w:val="null3"/>
        <w:spacing w:before="0" w:after="0" w:lineRule="auto" w:line="360"/>
        <w:ind w:left="0" w:right="0"/>
        <w:jc w:val="both"/>
      </w:pPr>
      <w:r>
        <w:rPr>
          <w:sz w:val="27"/>
        </w:rPr>
        <w:t>3.</w:t>
      </w:r>
      <w:r>
        <w:rPr>
          <w:sz w:val="27"/>
        </w:rPr>
        <w:t>甲方无正当理由拒收货物/接受服务，到期拒付货物/服务款项的，甲方向乙方偿付本合同总的5%的违约金。甲方人逾期付款，则每日按本合同总价的3‰向乙方偿付违约金。</w:t>
      </w:r>
    </w:p>
    <w:p>
      <w:pPr>
        <w:pStyle w:val="null3"/>
        <w:spacing w:before="0" w:after="0" w:lineRule="auto" w:line="360"/>
        <w:ind w:left="0" w:right="0"/>
        <w:jc w:val="both"/>
      </w:pPr>
      <w:r>
        <w:rPr>
          <w:sz w:val="27"/>
        </w:rPr>
        <w:t>4.   对于因甲方原因导致变更、中止或者终止政府采购合同的，甲方应当依照以下合同约定对供应商受到的损失予以赔偿或者补偿：</w:t>
      </w:r>
    </w:p>
    <w:p>
      <w:pPr>
        <w:pStyle w:val="null3"/>
        <w:spacing w:before="0" w:after="0" w:lineRule="auto" w:line="360"/>
        <w:ind w:left="0" w:right="0"/>
        <w:jc w:val="both"/>
      </w:pPr>
      <w:r>
        <w:rPr>
          <w:sz w:val="27"/>
        </w:rPr>
        <w:t xml:space="preserve">       </w:t>
      </w:r>
      <w:r>
        <w:rPr>
          <w:sz w:val="27"/>
          <w:u w:val="single"/>
        </w:rPr>
        <w:t xml:space="preserve">                                                </w:t>
      </w:r>
    </w:p>
    <w:p>
      <w:pPr>
        <w:pStyle w:val="null3"/>
        <w:spacing w:before="0" w:after="0" w:lineRule="auto" w:line="360"/>
        <w:ind w:left="0" w:right="0"/>
        <w:jc w:val="both"/>
      </w:pPr>
      <w:r>
        <w:rPr>
          <w:sz w:val="27"/>
        </w:rPr>
        <w:t>5.</w:t>
      </w:r>
      <w:r>
        <w:rPr>
          <w:sz w:val="27"/>
        </w:rPr>
        <w:t>其它违约责任按《中华人民</w:t>
      </w:r>
      <w:r>
        <w:rPr>
          <w:sz w:val="27"/>
        </w:rPr>
        <w:t>共和国民法典(合同编)》处理。</w:t>
      </w:r>
    </w:p>
    <w:p>
      <w:pPr>
        <w:pStyle w:val="null3"/>
        <w:spacing w:before="0" w:after="0" w:lineRule="auto" w:line="360"/>
        <w:ind w:left="1092" w:right="0"/>
        <w:jc w:val="both"/>
      </w:pPr>
      <w:r>
        <w:rPr>
          <w:sz w:val="27"/>
          <w:b/>
        </w:rPr>
        <w:t>十、</w:t>
      </w:r>
      <w:r>
        <w:rPr>
          <w:sz w:val="27"/>
          <w:b/>
        </w:rPr>
        <w:t>争议的解决</w:t>
      </w:r>
      <w:r>
        <w:rPr>
          <w:sz w:val="27"/>
        </w:rPr>
        <w:t xml:space="preserve">   合同执行过程中发生的任何争议，如双方不能通过友好协商解决，按相关法律法规处理。</w:t>
      </w:r>
    </w:p>
    <w:p>
      <w:pPr>
        <w:pStyle w:val="null3"/>
        <w:spacing w:before="0" w:after="0" w:lineRule="auto" w:line="360"/>
        <w:ind w:left="1092" w:right="0"/>
        <w:jc w:val="both"/>
      </w:pPr>
      <w:r>
        <w:rPr>
          <w:sz w:val="27"/>
          <w:b/>
        </w:rPr>
        <w:t>十一、不可抗力</w:t>
      </w:r>
    </w:p>
    <w:p>
      <w:pPr>
        <w:pStyle w:val="null3"/>
        <w:spacing w:before="0" w:after="0" w:lineRule="auto" w:line="360"/>
        <w:ind w:left="0" w:right="0"/>
        <w:jc w:val="both"/>
      </w:pPr>
      <w:r>
        <w:rPr>
          <w:sz w:val="27"/>
        </w:rPr>
        <w:t>1.</w:t>
      </w:r>
      <w:r>
        <w:rPr>
          <w:sz w:val="27"/>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spacing w:before="0" w:after="0" w:lineRule="auto" w:line="360"/>
        <w:ind w:left="1092" w:right="0"/>
        <w:jc w:val="both"/>
      </w:pPr>
      <w:r>
        <w:rPr>
          <w:sz w:val="27"/>
          <w:b/>
        </w:rPr>
        <w:t>十二、</w:t>
      </w:r>
      <w:r>
        <w:rPr>
          <w:sz w:val="27"/>
          <w:b/>
        </w:rPr>
        <w:t>税费</w:t>
      </w:r>
    </w:p>
    <w:p>
      <w:pPr>
        <w:pStyle w:val="null3"/>
        <w:spacing w:before="0" w:after="0" w:lineRule="auto" w:line="360"/>
        <w:ind w:left="0" w:right="0"/>
        <w:jc w:val="both"/>
      </w:pPr>
      <w:r>
        <w:rPr>
          <w:sz w:val="27"/>
        </w:rPr>
        <w:t>1.</w:t>
      </w:r>
      <w:r>
        <w:rPr>
          <w:sz w:val="27"/>
        </w:rPr>
        <w:t>在中国境内、外发生的与本合同执行有关的一切税费均由乙方负担。</w:t>
      </w:r>
    </w:p>
    <w:p>
      <w:pPr>
        <w:pStyle w:val="null3"/>
        <w:spacing w:before="0" w:after="0" w:lineRule="auto" w:line="360"/>
        <w:ind w:left="1092" w:right="0"/>
        <w:jc w:val="both"/>
      </w:pPr>
      <w:r>
        <w:rPr>
          <w:sz w:val="27"/>
          <w:b/>
        </w:rPr>
        <w:t>十三、</w:t>
      </w:r>
      <w:r>
        <w:rPr>
          <w:sz w:val="27"/>
        </w:rPr>
        <w:t xml:space="preserve"> </w:t>
      </w:r>
      <w:r>
        <w:rPr>
          <w:sz w:val="27"/>
          <w:b/>
        </w:rPr>
        <w:t>其它</w:t>
      </w:r>
    </w:p>
    <w:p>
      <w:pPr>
        <w:pStyle w:val="null3"/>
        <w:spacing w:before="0" w:after="0" w:lineRule="auto" w:line="360"/>
        <w:ind w:left="0" w:right="0"/>
        <w:jc w:val="both"/>
      </w:pPr>
      <w:r>
        <w:rPr>
          <w:sz w:val="27"/>
        </w:rPr>
        <w:t>1.</w:t>
      </w:r>
      <w:r>
        <w:rPr>
          <w:sz w:val="27"/>
        </w:rPr>
        <w:t>本合同所有附件、招标文件、投标文件、中标通知书均为合同的有效组成部分，与本合同具有同等法律效力。</w:t>
      </w:r>
    </w:p>
    <w:p>
      <w:pPr>
        <w:pStyle w:val="null3"/>
        <w:spacing w:before="0" w:after="0" w:lineRule="auto" w:line="360"/>
        <w:ind w:left="0" w:right="0"/>
        <w:jc w:val="both"/>
      </w:pPr>
      <w:r>
        <w:rPr>
          <w:sz w:val="27"/>
        </w:rPr>
        <w:t>2.</w:t>
      </w:r>
      <w:r>
        <w:rPr>
          <w:sz w:val="27"/>
        </w:rPr>
        <w:t>在执行本合同的过程中，所有经双方签署确认的文件（包括会议纪要、补充协议、往来信函）即成为本合同的有效组成部分。</w:t>
      </w:r>
    </w:p>
    <w:p>
      <w:pPr>
        <w:pStyle w:val="null3"/>
        <w:spacing w:before="0" w:after="0" w:lineRule="auto" w:line="360"/>
        <w:ind w:left="0" w:right="0"/>
        <w:jc w:val="both"/>
      </w:pPr>
      <w:r>
        <w:rPr>
          <w:sz w:val="27"/>
        </w:rPr>
        <w:t>3.</w:t>
      </w:r>
      <w:r>
        <w:rPr>
          <w:sz w:val="27"/>
        </w:rPr>
        <w:t>如一方地址、电话、传真号码有变更，应在变更当日内书面通知对方，否则，应承担相应责任。</w:t>
      </w:r>
    </w:p>
    <w:p>
      <w:pPr>
        <w:pStyle w:val="null3"/>
        <w:spacing w:before="0" w:after="0" w:lineRule="auto" w:line="360"/>
        <w:ind w:left="0" w:right="0"/>
        <w:jc w:val="both"/>
      </w:pPr>
      <w:r>
        <w:rPr>
          <w:sz w:val="27"/>
        </w:rPr>
        <w:t>4.</w:t>
      </w:r>
      <w:r>
        <w:rPr>
          <w:sz w:val="27"/>
        </w:rPr>
        <w:t>除甲方事先书面同意外，乙方不得部分或全部转让其应履行的合同项下的义务。</w:t>
      </w:r>
    </w:p>
    <w:p>
      <w:pPr>
        <w:pStyle w:val="null3"/>
        <w:spacing w:before="0" w:after="0" w:lineRule="auto" w:line="360"/>
        <w:ind w:left="1092" w:right="0"/>
        <w:jc w:val="both"/>
      </w:pPr>
      <w:r>
        <w:rPr>
          <w:sz w:val="27"/>
          <w:b/>
        </w:rPr>
        <w:t>十四、</w:t>
      </w:r>
      <w:r>
        <w:rPr>
          <w:sz w:val="27"/>
        </w:rPr>
        <w:t xml:space="preserve">      </w:t>
      </w:r>
      <w:r>
        <w:rPr>
          <w:sz w:val="27"/>
          <w:b/>
        </w:rPr>
        <w:t>合同生效</w:t>
      </w:r>
    </w:p>
    <w:p>
      <w:pPr>
        <w:pStyle w:val="null3"/>
        <w:spacing w:before="0" w:after="0" w:lineRule="auto" w:line="360"/>
        <w:ind w:left="0" w:right="0"/>
        <w:jc w:val="both"/>
      </w:pPr>
      <w:r>
        <w:rPr>
          <w:sz w:val="27"/>
        </w:rPr>
        <w:t>1.</w:t>
      </w:r>
      <w:r>
        <w:rPr>
          <w:sz w:val="27"/>
        </w:rPr>
        <w:t>本合同在甲乙双方法人代表或其授权代表签字盖章后生效。</w:t>
      </w:r>
    </w:p>
    <w:p>
      <w:pPr>
        <w:pStyle w:val="null3"/>
        <w:spacing w:before="0" w:after="0" w:lineRule="auto" w:line="360"/>
        <w:ind w:left="0" w:right="0"/>
        <w:jc w:val="both"/>
      </w:pPr>
      <w:r>
        <w:rPr>
          <w:sz w:val="27"/>
        </w:rPr>
        <w:t>2.</w:t>
      </w:r>
      <w:r>
        <w:rPr>
          <w:sz w:val="27"/>
        </w:rPr>
        <w:t>合同一式</w:t>
      </w:r>
      <w:r>
        <w:rPr>
          <w:sz w:val="27"/>
          <w:u w:val="single"/>
        </w:rPr>
        <w:t xml:space="preserve">    </w:t>
      </w:r>
      <w:r>
        <w:rPr>
          <w:sz w:val="27"/>
        </w:rPr>
        <w:t>份。</w:t>
      </w:r>
    </w:p>
    <w:p>
      <w:pPr>
        <w:pStyle w:val="null3"/>
        <w:spacing w:before="0" w:after="0" w:lineRule="auto" w:line="360"/>
        <w:ind w:left="0" w:right="0"/>
        <w:jc w:val="both"/>
      </w:pPr>
      <w:r>
        <w:rPr>
          <w:sz w:val="27"/>
        </w:rPr>
        <w:t xml:space="preserve"> </w:t>
      </w:r>
    </w:p>
    <w:p>
      <w:pPr>
        <w:pStyle w:val="null3"/>
        <w:spacing w:before="0" w:after="0" w:lineRule="auto" w:line="360"/>
        <w:ind w:left="0" w:right="0"/>
        <w:jc w:val="both"/>
      </w:pPr>
      <w:r>
        <w:rPr>
          <w:sz w:val="27"/>
          <w:b/>
        </w:rPr>
        <w:t>甲方（盖章）：</w:t>
      </w:r>
      <w:r>
        <w:rPr>
          <w:sz w:val="27"/>
          <w:b/>
        </w:rPr>
        <w:t>乙方（盖章）：</w:t>
      </w:r>
    </w:p>
    <w:p>
      <w:pPr>
        <w:pStyle w:val="null3"/>
        <w:spacing w:before="0" w:after="0" w:lineRule="auto" w:line="360"/>
        <w:ind w:left="0" w:right="0"/>
        <w:jc w:val="both"/>
      </w:pPr>
      <w:r>
        <w:rPr>
          <w:sz w:val="27"/>
          <w:b/>
        </w:rPr>
        <w:t>代表：</w:t>
      </w:r>
      <w:r>
        <w:rPr>
          <w:sz w:val="27"/>
          <w:b/>
        </w:rPr>
        <w:t>代表：</w:t>
      </w:r>
    </w:p>
    <w:p>
      <w:pPr>
        <w:pStyle w:val="null3"/>
        <w:spacing w:before="0" w:after="0" w:lineRule="auto" w:line="360"/>
        <w:ind w:left="0" w:right="0"/>
        <w:jc w:val="both"/>
      </w:pPr>
      <w:r>
        <w:rPr>
          <w:sz w:val="27"/>
        </w:rPr>
        <w:t>签订地点：</w:t>
      </w:r>
    </w:p>
    <w:p>
      <w:pPr>
        <w:pStyle w:val="null3"/>
        <w:spacing w:before="0" w:after="0" w:lineRule="auto" w:line="360"/>
        <w:ind w:left="0" w:right="0"/>
        <w:jc w:val="both"/>
      </w:pPr>
      <w:r>
        <w:rPr>
          <w:sz w:val="27"/>
        </w:rPr>
        <w:t>签订日期：　　　年　　月　　日</w:t>
      </w:r>
      <w:r>
        <w:rPr>
          <w:sz w:val="27"/>
        </w:rPr>
        <w:t>签订日期：　　　年　　月　　日</w:t>
      </w:r>
    </w:p>
    <w:p>
      <w:pPr>
        <w:pStyle w:val="null3"/>
        <w:spacing w:before="0" w:after="0" w:lineRule="auto" w:line="360"/>
        <w:ind w:left="0" w:right="0"/>
        <w:jc w:val="both"/>
      </w:pPr>
      <w:r>
        <w:rPr>
          <w:sz w:val="27"/>
        </w:rPr>
        <w:t>开户名称：</w:t>
      </w:r>
    </w:p>
    <w:p>
      <w:pPr>
        <w:pStyle w:val="null3"/>
        <w:spacing w:before="0" w:after="0" w:lineRule="auto" w:line="360"/>
        <w:ind w:left="0" w:right="0"/>
        <w:jc w:val="both"/>
      </w:pPr>
      <w:r>
        <w:rPr>
          <w:sz w:val="27"/>
        </w:rPr>
        <w:t>银行帐号：</w:t>
      </w:r>
    </w:p>
    <w:p>
      <w:pPr>
        <w:pStyle w:val="null3"/>
        <w:spacing w:before="0" w:after="0" w:lineRule="auto" w:line="360"/>
        <w:ind w:left="0" w:right="0"/>
        <w:jc w:val="both"/>
      </w:pPr>
      <w:r>
        <w:rPr>
          <w:sz w:val="27"/>
        </w:rPr>
        <w:t>开 户 行：</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441284-2025-00929</w:t>
      </w:r>
    </w:p>
    <w:p>
      <w:pPr>
        <w:pStyle w:val="null3"/>
        <w:jc w:val="center"/>
        <w:outlineLvl w:val="3"/>
      </w:pPr>
      <w:r>
        <w:rPr>
          <w:sz w:val="24"/>
          <w:b/>
        </w:rPr>
        <w:t>采购项目编号：</w:t>
      </w:r>
      <w:r>
        <w:rPr>
          <w:sz w:val="24"/>
          <w:b/>
        </w:rPr>
        <w:t>0809-2541SHG1B407</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广东华伦招标有限公司</w:t>
      </w:r>
    </w:p>
    <w:p>
      <w:pPr>
        <w:pStyle w:val="null3"/>
        <w:ind w:firstLine="480"/>
      </w:pPr>
      <w:r>
        <w:rPr/>
        <w:t xml:space="preserve"> 你方组织的</w:t>
      </w:r>
      <w:r>
        <w:rPr>
          <w:u w:val="single"/>
        </w:rPr>
        <w:t>“</w:t>
      </w:r>
      <w:r>
        <w:rPr>
          <w:u w:val="single"/>
        </w:rPr>
        <w:t>四会市2024年广东省农作物病虫疫情田间监测点建设项目</w:t>
      </w:r>
      <w:r>
        <w:rPr>
          <w:u w:val="single"/>
        </w:rPr>
        <w:t>”</w:t>
      </w:r>
      <w:r>
        <w:rPr/>
        <w:t>项目的招标[采购项目编号为：</w:t>
      </w:r>
      <w:r>
        <w:rPr>
          <w:u w:val="single"/>
        </w:rPr>
        <w:t>0809-2541SHG1B407</w:t>
      </w:r>
      <w:r>
        <w:rPr/>
        <w:t>]，我方愿参与投标。</w:t>
      </w:r>
    </w:p>
    <w:p>
      <w:pPr>
        <w:pStyle w:val="null3"/>
        <w:ind w:firstLine="480"/>
      </w:pPr>
      <w:r>
        <w:rPr/>
        <w:t>我方确认收到贵方提供的</w:t>
      </w:r>
      <w:r>
        <w:rPr>
          <w:u w:val="single"/>
        </w:rPr>
        <w:t>“</w:t>
      </w:r>
      <w:r>
        <w:rPr>
          <w:u w:val="single"/>
        </w:rPr>
        <w:t>四会市2024年广东省农作物病虫疫情田间监测点建设项目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广东华伦招标有限公司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四会市2024年广东省农作物病虫疫情田间监测点建设项目</w:t>
      </w:r>
      <w:r>
        <w:rPr/>
        <w:t>”项目采购[采购项目编号为</w:t>
      </w:r>
      <w:r>
        <w:rPr/>
        <w:t>0809-2541SHG1B407</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四会市农业农村局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广东华伦招标有限公司</w:t>
      </w:r>
    </w:p>
    <w:p>
      <w:pPr>
        <w:pStyle w:val="null3"/>
        <w:ind w:firstLine="480"/>
      </w:pPr>
      <w:r>
        <w:rPr/>
        <w:t xml:space="preserve"> 如果我方在贵采购代理机构组织的</w:t>
      </w:r>
      <w:r>
        <w:rPr/>
        <w:t>四会市2024年广东省农作物病虫疫情田间监测点建设项目</w:t>
      </w:r>
      <w:r>
        <w:rPr/>
        <w:t>招标中获中标（采购项目编号：</w:t>
      </w:r>
      <w:r>
        <w:rPr/>
        <w:t>0809-2541SHG1B407</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广东华伦招标有限公司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广东华伦招标有限公司</w:t>
      </w:r>
    </w:p>
    <w:p>
      <w:pPr>
        <w:pStyle w:val="null3"/>
        <w:ind w:firstLine="480"/>
      </w:pPr>
      <w:r>
        <w:rPr/>
        <w:t>我单位已登记并准备参与“</w:t>
      </w:r>
      <w:r>
        <w:rPr/>
        <w:t>四会市2024年广东省农作物病虫疫情田间监测点建设项目</w:t>
      </w:r>
      <w:r>
        <w:rPr/>
        <w:t>”项目（采购项目编号：</w:t>
      </w:r>
      <w:r>
        <w:rPr/>
        <w:t>0809-2541SHG1B407</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