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440606-2022-08761</w:t>
      </w:r>
    </w:p>
    <w:p>
      <w:pPr>
        <w:jc w:val="center"/>
      </w:pPr>
      <w:r>
        <w:rPr>
          <w:b/>
          <w:sz w:val="24"/>
        </w:rPr>
        <w:t>采购项目编号：</w:t>
      </w:r>
      <w:r>
        <w:rPr>
          <w:b/>
          <w:sz w:val="24"/>
        </w:rPr>
        <w:t>440606-2022-08761</w:t>
      </w:r>
    </w:p>
    <w:p>
      <w:pPr>
        <w:jc w:val="center"/>
      </w:pPr>
      <w:r>
        <w:rPr>
          <w:b/>
          <w:sz w:val="24"/>
        </w:rPr>
        <w:t>项目名称：</w:t>
      </w:r>
      <w:r>
        <w:rPr>
          <w:b/>
          <w:sz w:val="24"/>
        </w:rPr>
        <w:t>2022-2023年容桂街道数字城管社会化运营服务项目</w:t>
      </w:r>
    </w:p>
    <w:p>
      <w:pPr>
        <w:jc w:val="center"/>
      </w:pPr>
      <w:r>
        <w:rPr>
          <w:b/>
          <w:sz w:val="24"/>
        </w:rPr>
        <w:t>采购人：</w:t>
      </w:r>
      <w:r>
        <w:rPr>
          <w:b/>
          <w:sz w:val="24"/>
        </w:rPr>
        <w:t>佛山市顺德区容桂街道综合行政执法办公室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佛山市顺德区容桂街道综合行政执法办公室</w:t>
      </w:r>
      <w:r>
        <w:rPr/>
        <w:t>的委托，采用</w:t>
      </w:r>
      <w:r>
        <w:rPr/>
        <w:t>公开招标</w:t>
      </w:r>
      <w:r>
        <w:rPr/>
        <w:t>方式组织采购</w:t>
      </w:r>
      <w:r>
        <w:rPr/>
        <w:t>2022-2023年容桂街道数字城管社会化运营服务项目</w:t>
      </w:r>
      <w:r>
        <w:rPr/>
        <w:t>。欢迎符合资格条件的国内供应商参加投标。</w:t>
      </w:r>
    </w:p>
    <w:p>
      <w:r>
        <w:rPr>
          <w:b/>
          <w:sz w:val="28"/>
        </w:rPr>
        <w:t>一.项目概述</w:t>
      </w:r>
    </w:p>
    <w:p>
      <w:r>
        <w:rPr>
          <w:b/>
          <w:sz w:val="24"/>
        </w:rPr>
        <w:t>1.名称与编号</w:t>
      </w:r>
    </w:p>
    <w:p>
      <w:pPr>
        <w:ind w:firstLine="480"/>
      </w:pPr>
      <w:r>
        <w:rPr/>
        <w:t>项目名称：</w:t>
      </w:r>
      <w:r>
        <w:rPr/>
        <w:t>2022-2023年容桂街道数字城管社会化运营服务项目</w:t>
      </w:r>
    </w:p>
    <w:p>
      <w:pPr>
        <w:ind w:firstLine="480"/>
      </w:pPr>
      <w:r>
        <w:rPr/>
        <w:t>采购计划编号：</w:t>
      </w:r>
      <w:r>
        <w:rPr/>
        <w:t>440606-2022-08761</w:t>
      </w:r>
    </w:p>
    <w:p>
      <w:pPr>
        <w:ind w:firstLine="480"/>
      </w:pPr>
      <w:r>
        <w:rPr/>
        <w:t>采购项目编号：</w:t>
      </w:r>
      <w:r>
        <w:rPr/>
        <w:t>440606-2022-08761</w:t>
      </w:r>
    </w:p>
    <w:p>
      <w:pPr>
        <w:ind w:firstLine="480"/>
      </w:pPr>
      <w:r>
        <w:rPr/>
        <w:t>采购方式：</w:t>
      </w:r>
      <w:r>
        <w:rPr/>
        <w:t>公开招标</w:t>
      </w:r>
    </w:p>
    <w:p>
      <w:pPr>
        <w:ind w:firstLine="480"/>
      </w:pPr>
      <w:r>
        <w:rPr/>
        <w:t>预算金额：</w:t>
      </w:r>
      <w:r>
        <w:rPr/>
        <w:t>3,060,000.00</w:t>
      </w:r>
      <w:r>
        <w:rPr/>
        <w:t>元</w:t>
      </w:r>
    </w:p>
    <w:p>
      <w:r>
        <w:rPr>
          <w:b/>
          <w:sz w:val="24"/>
        </w:rPr>
        <w:t>2.项目内容及需求情况（采购项目技术规格、参数及要求）</w:t>
      </w:r>
    </w:p>
    <w:p>
      <w:pPr>
        <w:ind w:firstLine="480"/>
      </w:pPr>
    </w:p>
    <w:p/>
    <w:p>
      <w:r>
        <w:rPr/>
        <w:t>采购包1(2022-2023年容桂街道数字城管社会化运营服务项目):</w:t>
      </w:r>
    </w:p>
    <w:p>
      <w:r>
        <w:rPr/>
        <w:t>采购包预算金额：3,060,000.00元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2022-2023年容桂街道数字城管社会化运营服务项目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合同履行期限：2022年9月1日至2023年8月31日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证明材料之一：①经第三方审计的财务报告（22021年度）（包括资产负债表、利润表、现金流量表、所有者权益变动表及其附注）；②基本开户行出具的资信证明（证明应反映其基本开户行信息，未能反映的应提供相关证明材料）；③政府采购专业担保机构出具的投标担保函]</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采购包1（2022-2023年容桂街道数字城管社会化运营服务项目）：</w:t>
      </w:r>
      <w:r>
        <w:rPr/>
        <w:t>采购包整体专门面向中小企业。参与响应的供应商应为中小微企业。应按要求出具《中小企业声明函》；属于监狱企业的，提供由省级以上监狱管理局、戒毒管理局(含新疆生产建设兵团)出具的属于监狱企业的证明文件；属于残疾人福利性单位的，提供《残疾人福利性单位声明函》。 本项目采购标的对应的中小企业划分标准所属行业： “ 其他未列明行业（包括科学研究和技术服务业，水利、环境和公共设施管理业，居民服务、修理和其他服务业，社会工作，文化、体育和娱乐业等） ”</w:t>
      </w:r>
    </w:p>
    <w:p/>
    <w:p>
      <w:r>
        <w:rPr>
          <w:b/>
          <w:sz w:val="24"/>
        </w:rPr>
        <w:t>3.本项目特定的资格要求：</w:t>
      </w:r>
    </w:p>
    <w:p>
      <w:pPr>
        <w:ind w:firstLine="480"/>
      </w:pPr>
    </w:p>
    <w:p/>
    <w:p>
      <w:r>
        <w:rPr/>
        <w:t>采购包1（2022-2023年容桂街道数字城管社会化运营服务项目）：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佛山市顺德区容桂街道综合行政执法办公室</w:t>
      </w:r>
    </w:p>
    <w:p>
      <w:pPr>
        <w:ind w:firstLine="480"/>
      </w:pPr>
      <w:r>
        <w:rPr/>
        <w:t>地址：</w:t>
      </w:r>
      <w:r>
        <w:rPr/>
        <w:t>广东省佛山市顺德区容桂容奇大道中32号</w:t>
      </w:r>
    </w:p>
    <w:p>
      <w:pPr>
        <w:ind w:firstLine="480"/>
      </w:pPr>
      <w:r>
        <w:rPr/>
        <w:t>联系方式：</w:t>
      </w:r>
      <w:r>
        <w:rPr/>
        <w:t>0757-26381843</w:t>
      </w:r>
    </w:p>
    <w:p>
      <w:r>
        <w:rPr>
          <w:b/>
          <w:sz w:val="24"/>
        </w:rPr>
        <w:t>2.采购代理机构信息</w:t>
      </w:r>
    </w:p>
    <w:p>
      <w:pPr>
        <w:ind w:firstLine="480"/>
      </w:pPr>
      <w:r>
        <w:rPr/>
        <w:t>名称：</w:t>
      </w:r>
      <w:r>
        <w:rPr/>
        <w:t>广东华伦招标有限公司</w:t>
      </w:r>
    </w:p>
    <w:p>
      <w:pPr>
        <w:ind w:firstLine="480"/>
      </w:pPr>
      <w:r>
        <w:rPr/>
        <w:t>地址：</w:t>
      </w:r>
      <w:r>
        <w:rPr/>
        <w:t>佛山市顺德区大良沿江北路121号龙威大厦20楼CD区</w:t>
      </w:r>
    </w:p>
    <w:p>
      <w:pPr>
        <w:ind w:firstLine="480"/>
      </w:pPr>
      <w:r>
        <w:rPr/>
        <w:t>联系方式：</w:t>
      </w:r>
      <w:r>
        <w:rPr/>
        <w:t>0757-22332909</w:t>
      </w:r>
    </w:p>
    <w:p>
      <w:r>
        <w:rPr>
          <w:b/>
          <w:sz w:val="24"/>
        </w:rPr>
        <w:t>3.项目联系方式</w:t>
      </w:r>
    </w:p>
    <w:p>
      <w:pPr>
        <w:ind w:firstLine="480"/>
      </w:pPr>
      <w:r>
        <w:rPr/>
        <w:t>项目联系人：</w:t>
      </w:r>
      <w:r>
        <w:rPr/>
        <w:t>周小姐</w:t>
      </w:r>
    </w:p>
    <w:p>
      <w:pPr>
        <w:ind w:firstLine="480"/>
      </w:pPr>
      <w:r>
        <w:rPr/>
        <w:t>电话：</w:t>
      </w:r>
      <w:r>
        <w:rPr/>
        <w:t>0757-22332909</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 xml:space="preserve">   为了实现普查、建库、集成、监督指挥中心、社会化运营一体化建设模式，使</w:t>
      </w:r>
      <w:r>
        <w:rPr>
          <w:sz w:val="21"/>
        </w:rPr>
        <w:t>“数字城管”系统发挥更大的城市管理作用，使城市管理形成闭环。本项目旨在在容桂街道数字城管的建设基础上，建设社会化运营体系，通过建立具有本地化、专业化、社会化特点的信息采集与受理派遣运营体系。通过再造城市管理流程，搭建有利于城市管理由粗放、迟缓、低效方式向高效、敏捷、精确方式转变的框架体系，推动容桂街道城市管理水平的提升。通过前六期数字城管社会化运营，有力地促进了容桂街道数字城管和美城行动工作，取得较好的效果。第六期的数字城管社会化运营服务于</w:t>
      </w:r>
      <w:r>
        <w:rPr>
          <w:sz w:val="21"/>
        </w:rPr>
        <w:t>2022年8月</w:t>
      </w:r>
      <w:r>
        <w:rPr>
          <w:sz w:val="21"/>
        </w:rPr>
        <w:t>底即将结束，本次通过公开招标方式，择优评选出新一期数字城管社会化运营供应商。</w:t>
      </w:r>
    </w:p>
    <w:p/>
    <w:p>
      <w:pPr>
        <w:ind w:firstLine="480"/>
      </w:pPr>
    </w:p>
    <w:p/>
    <w:p>
      <w:r>
        <w:rPr/>
        <w:t>采购包1（2022-2023年容桂街道数字城管社会化运营服务项目）：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2022年9月1日至2023年8月31日</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每年按季度（每三个月）支付，每季度（每三个月）支付一年服务费的22.5%，每季度（每三个月）于季度验收后15个工作日内向中标人支付。当出现扣罚，按扣罚后的金额支付服务费。如因国家或省市区级及容桂街道相关政策造成合同终止的，采购人将提前一个月以书面方式通知中标人，中标人须无条件接受，采购人不因此承担任何法律责任。届时采购人将按照实际服务时间支付项目费用。 2.将总合同金额提取10%为用作年尾绩效考评金额。顺德区美城行动年度平均成绩考评在全区排名第一至五名的，年度绩效可全额发放；若顺德区美城行动年度平均成绩在全区第六名至第七名的（含第六名），根据年度考核得分进行扣罚，每递减一名次，扣罚10000元/名次；若顺德区美城行动年度平均成绩在全区排名低于第七名（不含第七名），年度绩效不予发放。</w:t>
            </w:r>
          </w:p>
        </w:tc>
      </w:tr>
      <w:tr>
        <w:tc>
          <w:tcPr>
            <w:tcW w:type="dxa" w:w="4153"/>
          </w:tcPr>
          <w:p>
            <w:r>
              <w:rPr/>
              <w:t>验收要求</w:t>
            </w:r>
          </w:p>
        </w:tc>
        <w:tc>
          <w:tcPr>
            <w:tcW w:type="dxa" w:w="4153"/>
          </w:tcPr>
          <w:p>
            <w:pPr>
              <w:jc w:val="left"/>
            </w:pPr>
          </w:p>
          <w:p/>
          <w:p/>
          <w:p>
            <w:r>
              <w:rPr/>
              <w:t>1期：根据本项目采购需求的要求及中标人投标文件相关承诺，由采购人、中标人共同组织验收。详见招标文件“容桂街道数字城管运营项目考核标准”。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采购项目预算金额:3,060,000.00 元</w:t>
            </w:r>
          </w:p>
          <w:p/>
          <w:p>
            <w:r>
              <w:rPr/>
              <w:t>报价要求:1.本项目报价为广东省佛山市目的地交付价。 2.投标报价指投标人为完成本项目所收取的全部费用，包含但不限于以下费用： 所有人员费用、人员社保费及社保预增费、培训辅导费用、交通费用、办公场地及设备费用、管理费用、售后服务等伴随的服务、各种税费及合同实施过程中的不可预见等全部费用。采购人将不再支付其它任何费用。 3.投标人须考虑本项目在实施期间的一切可能产生的费用。 4.本项目预算金额为3,060,000.00 元，报价不得高于本项目预算金额，否则视为无效报价，作无效投标处理。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
            <w:r>
              <w:rPr/>
              <w:t>服务期:2022年9月1日至2023年8月31日</w:t>
            </w:r>
          </w:p>
          <w:p/>
          <w:p>
            <w:r>
              <w:rPr/>
              <w:t>服务地点:采购人指定的容桂街道数字城管运营区域。</w:t>
            </w:r>
          </w:p>
          <w:p/>
          <w:p>
            <w:r>
              <w:rPr/>
              <w:t>服务要求:必须符合招标文件的规定要求、国家和行业的相关标准。</w:t>
            </w:r>
          </w:p>
          <w:p/>
          <w:p>
            <w:r>
              <w:rPr/>
              <w:t>人员管理:1.中标人须按其投标文件中承诺提供的项目组人员必须按要求投入到本项目中，在合同期内不得擅自更换。如无特殊原因原则上不能中途变更人员，确需变更人员的需经采购人书面同意。人员离开后，需在7天内作出补充。 2.采购人有权以书面形式要求中标人更换不能按规定履行合同的人员。即使是采购人要求或同意更换的人员，其代替人员的资质仍应得到采购人的认可，且其资历和经验均不低于被更换人员。由此而产生的费用由中标人承担。 3.如中标人未经采购人书面同意擅自更换项目组人员，采购人有权扣除中标人一定的违约金。发生本条上述情况累计达4次后，采购人有权终止合同，由此引致的经济损失，中标人须全额赔偿，采购人保留追究中标人相关责任的权利。 4.中标人对其雇员的人身安全负全部责任。</w:t>
            </w:r>
          </w:p>
          <w:p/>
          <w:p>
            <w:r>
              <w:rPr/>
              <w:t>售后服务:1.服务时间内，中标人须提供常设每周7天×24小时服务专线技术支持。 2.对采购人的服务通知，中标人必须符合以下要求： （1）在接报后1小时内响应； （2）4小时内到达现场； （3）24小时内处理完毕。 3.上述售后服务费用包含在服务费中。 注：上述费用报价时可不单列。</w:t>
            </w:r>
          </w:p>
          <w:p/>
          <w:p>
            <w:r>
              <w:rPr/>
              <w:t>分包要求:本项目不允许分包，否则合同终止，并由中标人承担由此造成的经济和法律责任。</w:t>
            </w:r>
          </w:p>
          <w:p/>
          <w:p>
            <w:r>
              <w:rPr/>
              <w:t>保密管理:任何与本项目数字城管运营服务工作相关的信息均属采购人内部信息，运营服务人员应尽好保密义务，未经采购人批准不得擅自通过一切途径外泄，所有参加本项目运营服务工作的工作人员必须与采购人签订保密协议，如有违反则彻底追究相关人员的责任，造成损失的，采购人保留索偿权利。</w:t>
            </w:r>
          </w:p>
          <w:p/>
          <w:p>
            <w:r>
              <w:rPr/>
              <w:t>其他:（1）其他商务要求：详见合同范本中的合同条款。 （2）供应商及其响应文件中无法律、法规和招标文件规定的其他无效情形本项目商务要求所涉及的条款均为“★”号实质性条款，如供应商对任一条款出现负偏离或不满足的视为无效投标，对该供应商作无效投标处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2022-2023年容桂街道数字城管社会化运营服务项目</w:t>
            </w:r>
          </w:p>
        </w:tc>
        <w:tc>
          <w:tcPr>
            <w:tcW w:type="dxa" w:w="385"/>
          </w:tcPr>
          <w:p>
            <w:r>
              <w:rPr/>
              <w:t>项</w:t>
            </w:r>
          </w:p>
        </w:tc>
        <w:tc>
          <w:tcPr>
            <w:tcW w:type="dxa" w:w="769"/>
          </w:tcPr>
          <w:p>
            <w:pPr>
              <w:jc w:val="right"/>
            </w:pPr>
            <w:r>
              <w:rPr/>
              <w:t>1.0000</w:t>
            </w:r>
          </w:p>
        </w:tc>
        <w:tc>
          <w:tcPr>
            <w:tcW w:type="dxa" w:w="769"/>
          </w:tcPr>
          <w:p>
            <w:pPr>
              <w:jc w:val="right"/>
            </w:pPr>
            <w:r>
              <w:rPr/>
              <w:t>3,060,000.00</w:t>
            </w:r>
          </w:p>
        </w:tc>
        <w:tc>
          <w:tcPr>
            <w:tcW w:type="dxa" w:w="769"/>
          </w:tcPr>
          <w:p>
            <w:pPr>
              <w:jc w:val="right"/>
            </w:pPr>
            <w:r>
              <w:rPr/>
              <w:t>3,060,000.00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2022-2023年容桂街道数字城管社会化运营服务项目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包</w:t>
            </w:r>
            <w:r>
              <w:rPr>
                <w:b/>
                <w:color w:val="000000"/>
                <w:sz w:val="21"/>
              </w:rPr>
              <w:t>1</w:t>
            </w:r>
          </w:p>
          <w:p>
            <w:pPr>
              <w:jc w:val="both"/>
            </w:pPr>
            <w:r>
              <w:rPr>
                <w:b/>
                <w:color w:val="000000"/>
                <w:sz w:val="24"/>
              </w:rPr>
              <w:t>一、项目概况</w:t>
            </w:r>
          </w:p>
          <w:p>
            <w:pPr>
              <w:ind w:firstLine="420"/>
              <w:jc w:val="left"/>
            </w:pPr>
            <w:r>
              <w:rPr>
                <w:color w:val="000000"/>
                <w:sz w:val="21"/>
              </w:rPr>
              <w:t>为了实现普查、建库、集成、监督指挥中心、社会化运营一体化建设模式，使</w:t>
            </w:r>
            <w:r>
              <w:rPr>
                <w:color w:val="000000"/>
                <w:sz w:val="21"/>
              </w:rPr>
              <w:t>“数字城管”系统发挥更大的城市管理作用，使城市管理形成闭环。本项目旨在在容桂街道数字城管的建设基础上，建设社会化运营体系，通过建立具有本地化、专业化、社会化特点的信息采集与受理派遣运营体系。通过再造城市管理流程，搭建有利于城市管理由粗放、迟缓、低效方式向高效、敏捷、精确方式转变的框架体系，推动容桂街道城市管理水平的提升。通过前六期数字城管社会化运营，有力地促进了容桂街道数字城管和美城行动工作，取得较好的效果。第六期的数字城管社会化运营服务于2022年8月底即将结束，本次通过公开招标方式，择优评选出新一期数字城管社会化运营供应商。</w:t>
            </w:r>
          </w:p>
          <w:p>
            <w:pPr>
              <w:jc w:val="both"/>
            </w:pPr>
            <w:r>
              <w:rPr>
                <w:b/>
                <w:color w:val="000000"/>
                <w:sz w:val="24"/>
              </w:rPr>
              <w:t>二、服务范围</w:t>
            </w:r>
          </w:p>
          <w:p>
            <w:pPr>
              <w:jc w:val="both"/>
            </w:pPr>
            <w:r>
              <w:rPr>
                <w:b/>
                <w:color w:val="000000"/>
                <w:sz w:val="24"/>
              </w:rPr>
              <w:t>1</w:t>
            </w:r>
            <w:r>
              <w:rPr>
                <w:b/>
                <w:color w:val="000000"/>
                <w:sz w:val="24"/>
              </w:rPr>
              <w:t>、容桂街道数字城管运营范围</w:t>
            </w:r>
          </w:p>
          <w:p>
            <w:pPr>
              <w:ind w:firstLine="420"/>
              <w:jc w:val="left"/>
            </w:pPr>
            <w:r>
              <w:rPr>
                <w:color w:val="000000"/>
                <w:sz w:val="21"/>
              </w:rPr>
              <w:t>中标人要按照市和区的数字城管考核标准在容桂街道数字城管覆盖范围合计</w:t>
            </w:r>
            <w:r>
              <w:rPr>
                <w:color w:val="000000"/>
                <w:sz w:val="21"/>
              </w:rPr>
              <w:t>约</w:t>
            </w:r>
            <w:r>
              <w:rPr>
                <w:color w:val="000000"/>
                <w:sz w:val="21"/>
              </w:rPr>
              <w:t>11平方公里（主要涉及容山、容新、朝阳、卫红、振华、幸福、桂洲、红星、海尾、细滘、容里等社区）辖区（见附图框选范围）内进行信息采集和核实任务，以及该范围内产生案件的办理上报、登记、立案、派遣、派核查、核查结案等流转操作。</w:t>
            </w:r>
          </w:p>
          <w:p>
            <w:pPr>
              <w:ind w:firstLine="420"/>
              <w:jc w:val="left"/>
            </w:pPr>
            <w:r>
              <w:rPr>
                <w:color w:val="000000"/>
                <w:sz w:val="21"/>
              </w:rPr>
              <w:t>运营范围</w:t>
            </w:r>
            <w:r>
              <w:rPr>
                <w:color w:val="000000"/>
                <w:sz w:val="21"/>
              </w:rPr>
              <w:t>1：主要涉及容桂街道中心城区，北至滨河路和容奇大道中，东至一零五国道（顺德大道南），南至红旗路、西至容桂大道所包围的区域。</w:t>
            </w:r>
          </w:p>
          <w:p>
            <w:pPr>
              <w:ind w:firstLine="420"/>
              <w:jc w:val="left"/>
            </w:pPr>
            <w:r>
              <w:rPr>
                <w:color w:val="000000"/>
                <w:sz w:val="21"/>
              </w:rPr>
              <w:t>运营范围</w:t>
            </w:r>
            <w:r>
              <w:rPr>
                <w:color w:val="000000"/>
                <w:sz w:val="21"/>
              </w:rPr>
              <w:t>2：主要是容里社区，北至德胜河滨公园、东至宏丰路、南至永业路、西至红珠路和容港路所包围的区域。</w:t>
            </w:r>
          </w:p>
          <w:p>
            <w:pPr>
              <w:jc w:val="both"/>
            </w:pPr>
            <w:r>
              <w:drawing>
                <wp:inline distT="0" distR="0" distB="0" distL="0">
                  <wp:extent cx="3554729" cy="29527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952750"/>
                          </a:xfrm>
                          <a:prstGeom prst="rect">
                            <a:avLst/>
                          </a:prstGeom>
                        </pic:spPr>
                      </pic:pic>
                    </a:graphicData>
                  </a:graphic>
                </wp:inline>
              </w:drawing>
            </w:r>
          </w:p>
          <w:p>
            <w:pPr>
              <w:jc w:val="both"/>
            </w:pPr>
            <w:r>
              <w:rPr>
                <w:b/>
                <w:color w:val="000000"/>
                <w:sz w:val="24"/>
              </w:rPr>
              <w:t>2</w:t>
            </w:r>
            <w:r>
              <w:rPr>
                <w:b/>
                <w:color w:val="000000"/>
                <w:sz w:val="24"/>
              </w:rPr>
              <w:t>、美城巡查运营范围</w:t>
            </w:r>
          </w:p>
          <w:p>
            <w:pPr>
              <w:ind w:firstLine="420"/>
              <w:jc w:val="left"/>
            </w:pPr>
            <w:r>
              <w:rPr>
                <w:color w:val="000000"/>
                <w:sz w:val="21"/>
              </w:rPr>
              <w:t>中标人要根据采购人给出的标准对容桂街道范围（包含数字城管覆盖范围及以外范围、各级考评区域范围在内的容桂街道全境）进行城市管理暗检，对案件结果整理并建档、存档，定期提交检查报告。</w:t>
            </w:r>
          </w:p>
          <w:p>
            <w:pPr>
              <w:jc w:val="left"/>
            </w:pPr>
            <w:r>
              <w:drawing>
                <wp:inline distT="0" distR="0" distB="0" distL="0">
                  <wp:extent cx="3554729" cy="26098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609850"/>
                          </a:xfrm>
                          <a:prstGeom prst="rect">
                            <a:avLst/>
                          </a:prstGeom>
                        </pic:spPr>
                      </pic:pic>
                    </a:graphicData>
                  </a:graphic>
                </wp:inline>
              </w:drawing>
            </w:r>
          </w:p>
          <w:p>
            <w:pPr>
              <w:jc w:val="both"/>
            </w:pPr>
            <w:r>
              <w:rPr>
                <w:b/>
                <w:color w:val="000000"/>
                <w:sz w:val="24"/>
              </w:rPr>
              <w:t>3</w:t>
            </w:r>
            <w:r>
              <w:rPr>
                <w:b/>
                <w:color w:val="000000"/>
                <w:sz w:val="24"/>
              </w:rPr>
              <w:t>、容桂数字城管工作系统模块</w:t>
            </w:r>
          </w:p>
          <w:p>
            <w:pPr>
              <w:ind w:firstLine="420"/>
              <w:jc w:val="left"/>
            </w:pPr>
            <w:r>
              <w:rPr>
                <w:color w:val="000000"/>
                <w:sz w:val="21"/>
              </w:rPr>
              <w:t>通过数字城管平台，完成市暗检考评、区美城考评、佛山市普通国省道及原佛山</w:t>
            </w:r>
            <w:r>
              <w:rPr>
                <w:color w:val="000000"/>
                <w:sz w:val="21"/>
              </w:rPr>
              <w:t>“一环”辅道路域环境（日常养护）检查、顺德区城乡品质提升攻坚系统、信访投诉平台、创文检查及其他考评工作、“行走顺德、美化家园”APP案件处理工作。信访投诉平台包含12345系统、政务平台、政务网论坛、顺德区信访信息系统、容桂文明卫生随手拍、市民上门投诉接访。</w:t>
            </w:r>
          </w:p>
          <w:p>
            <w:pPr>
              <w:jc w:val="both"/>
            </w:pPr>
            <w:r>
              <w:rPr>
                <w:b/>
                <w:color w:val="000000"/>
                <w:sz w:val="24"/>
              </w:rPr>
              <w:t>4</w:t>
            </w:r>
            <w:r>
              <w:rPr>
                <w:b/>
                <w:color w:val="000000"/>
                <w:sz w:val="24"/>
              </w:rPr>
              <w:t>、总体要求</w:t>
            </w:r>
          </w:p>
          <w:p>
            <w:pPr>
              <w:ind w:firstLine="420"/>
              <w:jc w:val="left"/>
            </w:pPr>
            <w:r>
              <w:rPr>
                <w:color w:val="000000"/>
                <w:sz w:val="21"/>
              </w:rPr>
              <w:t>（</w:t>
            </w:r>
            <w:r>
              <w:rPr>
                <w:color w:val="000000"/>
                <w:sz w:val="21"/>
              </w:rPr>
              <w:t>1）社会化运营人员应在容桂街道主管单位的总体指导下开展工作，严格遵守各项工作规范，并无条件接受采购人的日常监督和检查；</w:t>
            </w:r>
          </w:p>
          <w:p>
            <w:pPr>
              <w:ind w:firstLine="420"/>
              <w:jc w:val="left"/>
            </w:pPr>
            <w:r>
              <w:rPr>
                <w:color w:val="000000"/>
                <w:sz w:val="21"/>
              </w:rPr>
              <w:t>（</w:t>
            </w:r>
            <w:r>
              <w:rPr>
                <w:color w:val="000000"/>
                <w:sz w:val="21"/>
              </w:rPr>
              <w:t>2）社会化运营队伍必须具有科学合理的组织机构体系，实行层级管理体系，保证管理、指挥、质量控制要求在组织架构上实现；</w:t>
            </w:r>
          </w:p>
          <w:p>
            <w:pPr>
              <w:ind w:firstLine="420"/>
              <w:jc w:val="left"/>
            </w:pPr>
            <w:r>
              <w:rPr>
                <w:color w:val="000000"/>
                <w:sz w:val="21"/>
              </w:rPr>
              <w:t>（</w:t>
            </w:r>
            <w:r>
              <w:rPr>
                <w:color w:val="000000"/>
                <w:sz w:val="21"/>
              </w:rPr>
              <w:t>3）社会化运营队伍必须制定内部管理清退制度，实行奖优惩劣措施，保证社会化运营人员的素质；</w:t>
            </w:r>
          </w:p>
          <w:p>
            <w:pPr>
              <w:ind w:firstLine="420"/>
              <w:jc w:val="left"/>
            </w:pPr>
            <w:r>
              <w:rPr>
                <w:color w:val="000000"/>
                <w:sz w:val="21"/>
              </w:rPr>
              <w:t>（</w:t>
            </w:r>
            <w:r>
              <w:rPr>
                <w:color w:val="000000"/>
                <w:sz w:val="21"/>
              </w:rPr>
              <w:t>4）社会化运营队伍必须建立严格的内部质量控制体系，落实专人或机构负责对社会化运营人员的工作质量实行实时监控；对投诉、工作失误等问题实行跟踪、反馈制度，建立质量问题处罚机制；</w:t>
            </w:r>
          </w:p>
          <w:p>
            <w:pPr>
              <w:ind w:firstLine="420"/>
              <w:jc w:val="left"/>
            </w:pPr>
            <w:r>
              <w:rPr>
                <w:color w:val="000000"/>
                <w:sz w:val="21"/>
              </w:rPr>
              <w:t>（</w:t>
            </w:r>
            <w:r>
              <w:rPr>
                <w:color w:val="000000"/>
                <w:sz w:val="21"/>
              </w:rPr>
              <w:t>5）制定合理的社会化运营人员配置方案，保障人员的合理调度，根据工作时间的要求，制定合理安排交接班制度，保障人员的合理组织；</w:t>
            </w:r>
          </w:p>
          <w:p>
            <w:pPr>
              <w:ind w:firstLine="420"/>
              <w:jc w:val="left"/>
            </w:pPr>
            <w:r>
              <w:rPr>
                <w:color w:val="000000"/>
                <w:sz w:val="21"/>
              </w:rPr>
              <w:t>（</w:t>
            </w:r>
            <w:r>
              <w:rPr>
                <w:color w:val="000000"/>
                <w:sz w:val="21"/>
              </w:rPr>
              <w:t>6）社会化运营队伍必须建立完善的培训制度，培训包括上岗培训、日常技能培训等，人员必须经培训合格后才上岗工作；</w:t>
            </w:r>
          </w:p>
          <w:p>
            <w:pPr>
              <w:ind w:firstLine="420"/>
              <w:jc w:val="left"/>
            </w:pPr>
            <w:r>
              <w:rPr>
                <w:color w:val="000000"/>
                <w:sz w:val="21"/>
              </w:rPr>
              <w:t>（</w:t>
            </w:r>
            <w:r>
              <w:rPr>
                <w:color w:val="000000"/>
                <w:sz w:val="21"/>
              </w:rPr>
              <w:t>7）中标人必须严格遵照法律、法规、规章和规定的要求，与社会化运营人员队伍签订劳动合同，并按照相关劳动法律、法规的规定办理等，贯彻劳动法律、法规中有关工作时间和休息、休假、工资等规定；</w:t>
            </w:r>
          </w:p>
          <w:p>
            <w:pPr>
              <w:ind w:firstLine="420"/>
              <w:jc w:val="left"/>
            </w:pPr>
            <w:r>
              <w:rPr>
                <w:color w:val="000000"/>
                <w:sz w:val="21"/>
              </w:rPr>
              <w:t>（</w:t>
            </w:r>
            <w:r>
              <w:rPr>
                <w:color w:val="000000"/>
                <w:sz w:val="21"/>
              </w:rPr>
              <w:t>8）中标人须具有针对服务中断的特别应急机制、方案，该方案经采购人确认后，双方保存备案；</w:t>
            </w:r>
          </w:p>
          <w:p>
            <w:pPr>
              <w:ind w:firstLine="420"/>
              <w:jc w:val="left"/>
            </w:pPr>
            <w:r>
              <w:rPr>
                <w:color w:val="000000"/>
                <w:sz w:val="21"/>
              </w:rPr>
              <w:t>（</w:t>
            </w:r>
            <w:r>
              <w:rPr>
                <w:color w:val="000000"/>
                <w:sz w:val="21"/>
              </w:rPr>
              <w:t>9）社会化运营人员必须持工作证上岗，城管系统内违纪（规）被开除的人员，中标人不得录用从事社会化运营相关工作。</w:t>
            </w:r>
          </w:p>
          <w:p>
            <w:pPr>
              <w:ind w:firstLine="420"/>
              <w:jc w:val="left"/>
            </w:pPr>
            <w:r>
              <w:rPr>
                <w:color w:val="000000"/>
                <w:sz w:val="21"/>
              </w:rPr>
              <w:t>（</w:t>
            </w:r>
            <w:r>
              <w:rPr>
                <w:color w:val="000000"/>
                <w:sz w:val="21"/>
              </w:rPr>
              <w:t>10）中标人须制定信息安全和保密管理方案，保障项目运营过程的信息不致泄漏。</w:t>
            </w:r>
          </w:p>
          <w:p>
            <w:pPr>
              <w:ind w:firstLine="420"/>
              <w:jc w:val="left"/>
            </w:pPr>
            <w:r>
              <w:rPr>
                <w:color w:val="000000"/>
                <w:sz w:val="21"/>
              </w:rPr>
              <w:t>（</w:t>
            </w:r>
            <w:r>
              <w:rPr>
                <w:color w:val="000000"/>
                <w:sz w:val="21"/>
              </w:rPr>
              <w:t>11）信息采集员巡查过程中发现少量城市部件发生变化，中标人须配合采购人完成部件数据更新。</w:t>
            </w:r>
          </w:p>
          <w:p>
            <w:pPr>
              <w:ind w:firstLine="420"/>
              <w:jc w:val="left"/>
            </w:pPr>
            <w:r>
              <w:rPr>
                <w:color w:val="000000"/>
                <w:sz w:val="21"/>
              </w:rPr>
              <w:t>（</w:t>
            </w:r>
            <w:r>
              <w:rPr>
                <w:color w:val="000000"/>
                <w:sz w:val="21"/>
              </w:rPr>
              <w:t>12）</w:t>
            </w:r>
            <w:r>
              <w:rPr>
                <w:color w:val="000000"/>
                <w:sz w:val="21"/>
              </w:rPr>
              <w:t>通过数字城管平台，完成市暗检考评、区美城考评、佛山市普通国省道及原佛山</w:t>
            </w:r>
            <w:r>
              <w:rPr>
                <w:color w:val="000000"/>
                <w:sz w:val="21"/>
              </w:rPr>
              <w:t>“一环”辅道路域环境（日常养护）检查、创文检查及其他考评工作、“行走顺德、美化家园”APP案件处理工作。全面、直接辐射向26个居村、职能部门，同时26个居村、职能部门带动（考核）辖下的环卫、绿化、市容、市政等管养、施工单位及前线责任人，形成垂直传导、层级联动的“大考核”模式。</w:t>
            </w:r>
          </w:p>
          <w:p>
            <w:pPr>
              <w:ind w:firstLine="420"/>
              <w:jc w:val="left"/>
            </w:pPr>
            <w:r>
              <w:rPr>
                <w:color w:val="000000"/>
                <w:sz w:val="21"/>
              </w:rPr>
              <w:t>（</w:t>
            </w:r>
            <w:r>
              <w:rPr>
                <w:color w:val="000000"/>
                <w:sz w:val="21"/>
              </w:rPr>
              <w:t>13）满足佛山市数字化城管考评要求，巡查全容桂范围内的考核区域，并完成上级交办的考核任务。</w:t>
            </w:r>
          </w:p>
          <w:p>
            <w:pPr>
              <w:jc w:val="both"/>
            </w:pPr>
            <w:r>
              <w:rPr>
                <w:b/>
                <w:color w:val="000000"/>
                <w:sz w:val="24"/>
              </w:rPr>
              <w:t>5</w:t>
            </w:r>
            <w:r>
              <w:rPr>
                <w:b/>
                <w:color w:val="000000"/>
                <w:sz w:val="24"/>
              </w:rPr>
              <w:t>、主要人员配置</w:t>
            </w:r>
          </w:p>
          <w:p>
            <w:pPr>
              <w:ind w:firstLine="420"/>
              <w:jc w:val="left"/>
            </w:pPr>
            <w:r>
              <w:rPr>
                <w:color w:val="000000"/>
                <w:sz w:val="21"/>
              </w:rPr>
              <w:t>本项目中标人须按采购人指定的工作区域派遣数字城管运营服务人员，社会化运营服务人员的管理、培训、作业等工作均由中标人自行负责。按要求的工作时间内，员工只能在采购人指定地点从事本项目相关工作，不得兼职、兼任其他项目。容桂街道数字城管社会化运营服务人员共</w:t>
            </w:r>
            <w:r>
              <w:rPr>
                <w:color w:val="000000"/>
                <w:sz w:val="21"/>
              </w:rPr>
              <w:t>36人，包括信息采集员、信息监督员、受理派遣员及视频数据处理员、美城考评员、美城巡查专员、大气污染（扬尘）防治巡查员及客运车辆监督员、组长、值班长、业务技术指导员和项目负责人，人员具体情况如下：</w:t>
            </w:r>
          </w:p>
          <w:tbl>
            <w:tblPr>
              <w:tblBorders>
                <w:top w:val="none" w:color="000000" w:sz="4"/>
                <w:left w:val="none" w:color="000000" w:sz="4"/>
                <w:bottom w:val="none" w:color="000000" w:sz="4"/>
                <w:right w:val="none" w:color="000000" w:sz="4"/>
                <w:insideH w:val="none"/>
                <w:insideV w:val="none"/>
              </w:tblBorders>
            </w:tblPr>
            <w:tblGrid>
              <w:gridCol w:w="3070"/>
              <w:gridCol w:w="2528"/>
            </w:tblGrid>
            <w:tr>
              <w:tc>
                <w:tcPr>
                  <w:tcW w:type="dxa" w:w="3070"/>
                  <w:tcBorders>
                    <w:top w:val="single" w:color="000000" w:sz="8"/>
                    <w:left w:val="single" w:color="000000" w:sz="8"/>
                    <w:bottom w:val="single" w:color="000000" w:sz="4"/>
                    <w:right w:val="single" w:color="000000" w:sz="4"/>
                  </w:tcBorders>
                  <w:shd w:fill="F2F2F2"/>
                  <w:vAlign w:val="top"/>
                </w:tcPr>
                <w:p>
                  <w:pPr>
                    <w:jc w:val="left"/>
                  </w:pPr>
                  <w:r>
                    <w:rPr>
                      <w:color w:val="000000"/>
                      <w:sz w:val="21"/>
                    </w:rPr>
                    <w:t>人员类别</w:t>
                  </w:r>
                </w:p>
              </w:tc>
              <w:tc>
                <w:tcPr>
                  <w:tcW w:type="dxa" w:w="2528"/>
                  <w:tcBorders>
                    <w:top w:val="single" w:color="000000" w:sz="8"/>
                    <w:left w:val="none" w:color="000000" w:sz="4"/>
                    <w:bottom w:val="single" w:color="000000" w:sz="4"/>
                    <w:right w:val="single" w:color="000000" w:sz="8"/>
                  </w:tcBorders>
                  <w:shd w:fill="F2F2F2"/>
                  <w:vAlign w:val="top"/>
                </w:tcPr>
                <w:p>
                  <w:pPr>
                    <w:jc w:val="left"/>
                  </w:pPr>
                  <w:r>
                    <w:rPr>
                      <w:color w:val="000000"/>
                      <w:sz w:val="21"/>
                    </w:rPr>
                    <w:t>人员数量（人）</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信息采集员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15</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信息监督员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受理派遣员及视频数据处理员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8</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美城考评员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4</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美城巡查专员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2</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大气污染（扬尘）防治巡查员及客运车辆监督员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组长</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2</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值班长</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业务技术指导员</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w:t>
                  </w:r>
                </w:p>
              </w:tc>
            </w:tr>
            <w:tr>
              <w:tc>
                <w:tcPr>
                  <w:tcW w:type="dxa" w:w="3070"/>
                  <w:tcBorders>
                    <w:top w:val="none" w:color="000000" w:sz="4"/>
                    <w:left w:val="single" w:color="000000" w:sz="8"/>
                    <w:bottom w:val="single" w:color="000000" w:sz="4"/>
                    <w:right w:val="single" w:color="000000" w:sz="4"/>
                  </w:tcBorders>
                  <w:vAlign w:val="top"/>
                </w:tcPr>
                <w:p>
                  <w:pPr>
                    <w:jc w:val="left"/>
                  </w:pPr>
                  <w:r>
                    <w:rPr>
                      <w:color w:val="000000"/>
                      <w:sz w:val="21"/>
                    </w:rPr>
                    <w:t>项目负责人</w:t>
                  </w:r>
                </w:p>
              </w:tc>
              <w:tc>
                <w:tcPr>
                  <w:tcW w:type="dxa" w:w="2528"/>
                  <w:tcBorders>
                    <w:top w:val="none" w:color="000000" w:sz="4"/>
                    <w:left w:val="none" w:color="000000" w:sz="4"/>
                    <w:bottom w:val="single" w:color="000000" w:sz="4"/>
                    <w:right w:val="single" w:color="000000" w:sz="8"/>
                  </w:tcBorders>
                  <w:vAlign w:val="top"/>
                </w:tcPr>
                <w:p>
                  <w:pPr>
                    <w:jc w:val="left"/>
                  </w:pPr>
                  <w:r>
                    <w:rPr>
                      <w:color w:val="000000"/>
                      <w:sz w:val="21"/>
                    </w:rPr>
                    <w:t>1</w:t>
                  </w:r>
                </w:p>
              </w:tc>
            </w:tr>
            <w:tr>
              <w:tc>
                <w:tcPr>
                  <w:tcW w:type="dxa" w:w="3070"/>
                  <w:tcBorders>
                    <w:top w:val="none" w:color="000000" w:sz="4"/>
                    <w:left w:val="single" w:color="000000" w:sz="8"/>
                    <w:bottom w:val="single" w:color="000000" w:sz="8"/>
                    <w:right w:val="single" w:color="000000" w:sz="4"/>
                  </w:tcBorders>
                  <w:vAlign w:val="top"/>
                </w:tcPr>
                <w:p>
                  <w:pPr>
                    <w:jc w:val="left"/>
                  </w:pPr>
                  <w:r>
                    <w:rPr>
                      <w:color w:val="000000"/>
                      <w:sz w:val="21"/>
                    </w:rPr>
                    <w:t>合计</w:t>
                  </w:r>
                </w:p>
              </w:tc>
              <w:tc>
                <w:tcPr>
                  <w:tcW w:type="dxa" w:w="2528"/>
                  <w:tcBorders>
                    <w:top w:val="none" w:color="000000" w:sz="4"/>
                    <w:left w:val="none" w:color="000000" w:sz="4"/>
                    <w:bottom w:val="single" w:color="000000" w:sz="8"/>
                    <w:right w:val="single" w:color="000000" w:sz="8"/>
                  </w:tcBorders>
                  <w:vAlign w:val="top"/>
                </w:tcPr>
                <w:p>
                  <w:pPr>
                    <w:jc w:val="left"/>
                  </w:pPr>
                  <w:r>
                    <w:rPr>
                      <w:color w:val="000000"/>
                      <w:sz w:val="21"/>
                    </w:rPr>
                    <w:t>36</w:t>
                  </w:r>
                </w:p>
              </w:tc>
            </w:tr>
          </w:tbl>
          <w:p>
            <w:pPr>
              <w:jc w:val="left"/>
            </w:pPr>
          </w:p>
          <w:p>
            <w:pPr>
              <w:jc w:val="both"/>
            </w:pPr>
            <w:r>
              <w:rPr>
                <w:b/>
                <w:color w:val="000000"/>
                <w:sz w:val="24"/>
              </w:rPr>
              <w:t>6</w:t>
            </w:r>
            <w:r>
              <w:rPr>
                <w:b/>
                <w:color w:val="000000"/>
                <w:sz w:val="24"/>
              </w:rPr>
              <w:t>、人员素质要求</w:t>
            </w:r>
          </w:p>
          <w:p>
            <w:pPr>
              <w:ind w:firstLine="420"/>
              <w:jc w:val="left"/>
            </w:pPr>
            <w:r>
              <w:rPr>
                <w:color w:val="000000"/>
                <w:sz w:val="21"/>
              </w:rPr>
              <w:t>（</w:t>
            </w:r>
            <w:r>
              <w:rPr>
                <w:color w:val="000000"/>
                <w:sz w:val="21"/>
              </w:rPr>
              <w:t>1）、信息采集员要求：</w:t>
            </w:r>
          </w:p>
          <w:p>
            <w:pPr>
              <w:ind w:firstLine="420"/>
              <w:jc w:val="left"/>
            </w:pPr>
            <w:r>
              <w:rPr>
                <w:color w:val="000000"/>
                <w:sz w:val="21"/>
              </w:rPr>
              <w:t>1）文化程度：中专、高中（职高）文化程度以上，下岗失业失土人员优先，复退军人优先。</w:t>
            </w:r>
          </w:p>
          <w:p>
            <w:pPr>
              <w:ind w:firstLine="420"/>
              <w:jc w:val="left"/>
            </w:pPr>
            <w:r>
              <w:rPr>
                <w:color w:val="000000"/>
                <w:sz w:val="21"/>
              </w:rPr>
              <w:t>2）工作经验：一年（含）以上数字城管工作经验优先。</w:t>
            </w:r>
          </w:p>
          <w:p>
            <w:pPr>
              <w:ind w:firstLine="420"/>
              <w:jc w:val="left"/>
            </w:pPr>
            <w:r>
              <w:rPr>
                <w:color w:val="000000"/>
                <w:sz w:val="21"/>
              </w:rPr>
              <w:t>3）性别：不限，男性为主。</w:t>
            </w:r>
          </w:p>
          <w:p>
            <w:pPr>
              <w:ind w:firstLine="420"/>
              <w:jc w:val="left"/>
            </w:pPr>
            <w:r>
              <w:rPr>
                <w:color w:val="000000"/>
                <w:sz w:val="21"/>
              </w:rPr>
              <w:t>4）健康状况：身体条件能适应全天候连续户外巡查值勤，无明显身体缺陷。</w:t>
            </w:r>
          </w:p>
          <w:p>
            <w:pPr>
              <w:ind w:firstLine="420"/>
              <w:jc w:val="left"/>
            </w:pPr>
            <w:r>
              <w:rPr>
                <w:color w:val="000000"/>
                <w:sz w:val="21"/>
              </w:rPr>
              <w:t>5）其他要求：作风正派，有吃苦精神，有为数字城管服务的职业道德，无犯罪记录和明显不良嗜好。</w:t>
            </w:r>
          </w:p>
          <w:p>
            <w:pPr>
              <w:ind w:firstLine="420"/>
              <w:jc w:val="left"/>
            </w:pPr>
            <w:r>
              <w:rPr>
                <w:color w:val="000000"/>
                <w:sz w:val="21"/>
              </w:rPr>
              <w:t>6）组建的信息采集员队伍60%以上为本地户口。</w:t>
            </w:r>
          </w:p>
          <w:p>
            <w:pPr>
              <w:ind w:firstLine="420"/>
              <w:jc w:val="left"/>
            </w:pPr>
            <w:r>
              <w:rPr>
                <w:color w:val="000000"/>
                <w:sz w:val="21"/>
              </w:rPr>
              <w:t>（</w:t>
            </w:r>
            <w:r>
              <w:rPr>
                <w:color w:val="000000"/>
                <w:sz w:val="21"/>
              </w:rPr>
              <w:t>2）信息监督员要求：</w:t>
            </w:r>
          </w:p>
          <w:p>
            <w:pPr>
              <w:ind w:firstLine="420"/>
              <w:jc w:val="left"/>
            </w:pPr>
            <w:r>
              <w:rPr>
                <w:color w:val="000000"/>
                <w:sz w:val="21"/>
              </w:rPr>
              <w:t>1）文化程度：大专或以上文化程度。</w:t>
            </w:r>
          </w:p>
          <w:p>
            <w:pPr>
              <w:ind w:firstLine="420"/>
              <w:jc w:val="left"/>
            </w:pPr>
            <w:r>
              <w:rPr>
                <w:color w:val="000000"/>
                <w:sz w:val="21"/>
              </w:rPr>
              <w:t>2）工作经验：一年（含）以上数字城管工作经验优先。</w:t>
            </w:r>
          </w:p>
          <w:p>
            <w:pPr>
              <w:ind w:firstLine="420"/>
              <w:jc w:val="left"/>
            </w:pPr>
            <w:r>
              <w:rPr>
                <w:color w:val="000000"/>
                <w:sz w:val="21"/>
              </w:rPr>
              <w:t>3）性别：不限，男性为主。</w:t>
            </w:r>
          </w:p>
          <w:p>
            <w:pPr>
              <w:ind w:firstLine="420"/>
              <w:jc w:val="left"/>
            </w:pPr>
            <w:r>
              <w:rPr>
                <w:color w:val="000000"/>
                <w:sz w:val="21"/>
              </w:rPr>
              <w:t>4）健康状况：身体条件能适应全天候连续户外巡查值勤，无明显身体缺陷。</w:t>
            </w:r>
          </w:p>
          <w:p>
            <w:pPr>
              <w:ind w:firstLine="420"/>
              <w:jc w:val="left"/>
            </w:pPr>
            <w:r>
              <w:rPr>
                <w:color w:val="000000"/>
                <w:sz w:val="21"/>
              </w:rPr>
              <w:t>5）其他要求：作风正派，有吃苦精神，有为数字城管服务的职业道德，无犯罪记录和明显不良嗜好。</w:t>
            </w:r>
          </w:p>
          <w:p>
            <w:pPr>
              <w:ind w:firstLine="420"/>
              <w:jc w:val="left"/>
            </w:pPr>
            <w:r>
              <w:rPr>
                <w:color w:val="000000"/>
                <w:sz w:val="21"/>
              </w:rPr>
              <w:t>6）容桂街道本地人优先。</w:t>
            </w:r>
          </w:p>
          <w:p>
            <w:pPr>
              <w:ind w:firstLine="420"/>
              <w:jc w:val="left"/>
            </w:pPr>
            <w:r>
              <w:rPr>
                <w:color w:val="000000"/>
                <w:sz w:val="21"/>
              </w:rPr>
              <w:t>（</w:t>
            </w:r>
            <w:r>
              <w:rPr>
                <w:color w:val="000000"/>
                <w:sz w:val="21"/>
              </w:rPr>
              <w:t>3）受理派遣员及视频数据处理员要求：</w:t>
            </w:r>
          </w:p>
          <w:p>
            <w:pPr>
              <w:ind w:firstLine="420"/>
              <w:jc w:val="left"/>
            </w:pPr>
            <w:r>
              <w:rPr>
                <w:color w:val="000000"/>
                <w:sz w:val="21"/>
              </w:rPr>
              <w:t>1）一年（含）以上的数字城管工作经验优先。</w:t>
            </w:r>
          </w:p>
          <w:p>
            <w:pPr>
              <w:ind w:firstLine="420"/>
              <w:jc w:val="left"/>
            </w:pPr>
            <w:r>
              <w:rPr>
                <w:color w:val="000000"/>
                <w:sz w:val="21"/>
              </w:rPr>
              <w:t>2）全日制大专及以上学历，能熟悉计算机应用知识。</w:t>
            </w:r>
          </w:p>
          <w:p>
            <w:pPr>
              <w:ind w:firstLine="420"/>
              <w:jc w:val="left"/>
            </w:pPr>
            <w:r>
              <w:rPr>
                <w:color w:val="000000"/>
                <w:sz w:val="21"/>
              </w:rPr>
              <w:t>3）口齿清晰、普通话和粤语流利、有较强的表达能力。</w:t>
            </w:r>
          </w:p>
          <w:p>
            <w:pPr>
              <w:ind w:firstLine="420"/>
              <w:jc w:val="left"/>
            </w:pPr>
            <w:r>
              <w:rPr>
                <w:color w:val="000000"/>
                <w:sz w:val="21"/>
              </w:rPr>
              <w:t>4）具有良好的沟通能力、客户服务意识与工作责任心，富有团队合作精神。</w:t>
            </w:r>
          </w:p>
          <w:p>
            <w:pPr>
              <w:ind w:firstLine="420"/>
              <w:jc w:val="left"/>
            </w:pPr>
            <w:r>
              <w:rPr>
                <w:color w:val="000000"/>
                <w:sz w:val="21"/>
              </w:rPr>
              <w:t>5）熟练运用常用办公软件，中文打字每分钟50字以上。</w:t>
            </w:r>
          </w:p>
          <w:p>
            <w:pPr>
              <w:ind w:firstLine="420"/>
              <w:jc w:val="left"/>
            </w:pPr>
            <w:r>
              <w:rPr>
                <w:color w:val="000000"/>
                <w:sz w:val="21"/>
              </w:rPr>
              <w:t>6）能适应24小时三班轮班工作。</w:t>
            </w:r>
          </w:p>
          <w:p>
            <w:pPr>
              <w:ind w:firstLine="420"/>
              <w:jc w:val="left"/>
            </w:pPr>
            <w:r>
              <w:rPr>
                <w:color w:val="000000"/>
                <w:sz w:val="21"/>
              </w:rPr>
              <w:t>7）熟悉容桂街道城市建设基本情况（如行政区域划分、道路等）。</w:t>
            </w:r>
          </w:p>
          <w:p>
            <w:pPr>
              <w:ind w:firstLine="420"/>
              <w:jc w:val="left"/>
            </w:pPr>
            <w:r>
              <w:rPr>
                <w:color w:val="000000"/>
                <w:sz w:val="21"/>
              </w:rPr>
              <w:t>8）容桂街道本地人优先。</w:t>
            </w:r>
          </w:p>
          <w:p>
            <w:pPr>
              <w:ind w:firstLine="420"/>
              <w:jc w:val="left"/>
            </w:pPr>
            <w:r>
              <w:rPr>
                <w:color w:val="000000"/>
                <w:sz w:val="21"/>
              </w:rPr>
              <w:t>（</w:t>
            </w:r>
            <w:r>
              <w:rPr>
                <w:color w:val="000000"/>
                <w:sz w:val="21"/>
              </w:rPr>
              <w:t>4）美城考评员要求：</w:t>
            </w:r>
          </w:p>
          <w:p>
            <w:pPr>
              <w:ind w:firstLine="420"/>
              <w:jc w:val="left"/>
            </w:pPr>
            <w:r>
              <w:rPr>
                <w:color w:val="000000"/>
                <w:sz w:val="21"/>
              </w:rPr>
              <w:t>1）一年（含）以上的数字城管工作经验优先。</w:t>
            </w:r>
          </w:p>
          <w:p>
            <w:pPr>
              <w:ind w:firstLine="420"/>
              <w:jc w:val="left"/>
            </w:pPr>
            <w:r>
              <w:rPr>
                <w:color w:val="000000"/>
                <w:sz w:val="21"/>
              </w:rPr>
              <w:t>2）全日制大专及以上学历，能熟悉计算机应用知识。</w:t>
            </w:r>
          </w:p>
          <w:p>
            <w:pPr>
              <w:ind w:firstLine="420"/>
              <w:jc w:val="left"/>
            </w:pPr>
            <w:r>
              <w:rPr>
                <w:color w:val="000000"/>
                <w:sz w:val="21"/>
              </w:rPr>
              <w:t>3）口齿清晰、普通话和粤语流利、有较强的表达能力。</w:t>
            </w:r>
          </w:p>
          <w:p>
            <w:pPr>
              <w:ind w:firstLine="420"/>
              <w:jc w:val="left"/>
            </w:pPr>
            <w:r>
              <w:rPr>
                <w:color w:val="000000"/>
                <w:sz w:val="21"/>
              </w:rPr>
              <w:t>4）具有良好的沟通能力、客户服务意识与工作责任心，富有团队合作精神。</w:t>
            </w:r>
          </w:p>
          <w:p>
            <w:pPr>
              <w:ind w:firstLine="420"/>
              <w:jc w:val="left"/>
            </w:pPr>
            <w:r>
              <w:rPr>
                <w:color w:val="000000"/>
                <w:sz w:val="21"/>
              </w:rPr>
              <w:t>5）熟练运用常用办公软件，中文打字每分钟50字以上。</w:t>
            </w:r>
          </w:p>
          <w:p>
            <w:pPr>
              <w:ind w:firstLine="420"/>
              <w:jc w:val="left"/>
            </w:pPr>
            <w:r>
              <w:rPr>
                <w:color w:val="000000"/>
                <w:sz w:val="21"/>
              </w:rPr>
              <w:t>6）能适应24小时三班轮班工作。</w:t>
            </w:r>
          </w:p>
          <w:p>
            <w:pPr>
              <w:ind w:firstLine="420"/>
              <w:jc w:val="left"/>
            </w:pPr>
            <w:r>
              <w:rPr>
                <w:color w:val="000000"/>
                <w:sz w:val="21"/>
              </w:rPr>
              <w:t>7）熟悉容桂街道城市建设基本情况（如行政区域划分、道路等）。</w:t>
            </w:r>
          </w:p>
          <w:p>
            <w:pPr>
              <w:ind w:firstLine="420"/>
              <w:jc w:val="left"/>
            </w:pPr>
            <w:r>
              <w:rPr>
                <w:color w:val="000000"/>
                <w:sz w:val="21"/>
              </w:rPr>
              <w:t>（</w:t>
            </w:r>
            <w:r>
              <w:rPr>
                <w:color w:val="000000"/>
                <w:sz w:val="21"/>
              </w:rPr>
              <w:t>5）美城巡查专员</w:t>
            </w:r>
          </w:p>
          <w:p>
            <w:pPr>
              <w:ind w:firstLine="420"/>
              <w:jc w:val="left"/>
            </w:pPr>
            <w:r>
              <w:rPr>
                <w:color w:val="000000"/>
                <w:sz w:val="21"/>
              </w:rPr>
              <w:t>1）一年（含）以上的数字城管工作经验优先。</w:t>
            </w:r>
          </w:p>
          <w:p>
            <w:pPr>
              <w:ind w:firstLine="420"/>
              <w:jc w:val="left"/>
            </w:pPr>
            <w:r>
              <w:rPr>
                <w:color w:val="000000"/>
                <w:sz w:val="21"/>
              </w:rPr>
              <w:t>2）全日制大专及以上学历，能熟悉计算机应用知识。</w:t>
            </w:r>
          </w:p>
          <w:p>
            <w:pPr>
              <w:ind w:firstLine="420"/>
              <w:jc w:val="left"/>
            </w:pPr>
            <w:r>
              <w:rPr>
                <w:color w:val="000000"/>
                <w:sz w:val="21"/>
              </w:rPr>
              <w:t>3）需具备城管相关工作综合管理经验，熟悉各项城管工作流程。</w:t>
            </w:r>
          </w:p>
          <w:p>
            <w:pPr>
              <w:ind w:firstLine="420"/>
              <w:jc w:val="left"/>
            </w:pPr>
            <w:r>
              <w:rPr>
                <w:color w:val="000000"/>
                <w:sz w:val="21"/>
              </w:rPr>
              <w:t>4）口齿清晰、普通话和粤语流利、有较强的表达能力。</w:t>
            </w:r>
          </w:p>
          <w:p>
            <w:pPr>
              <w:ind w:firstLine="420"/>
              <w:jc w:val="left"/>
            </w:pPr>
            <w:r>
              <w:rPr>
                <w:color w:val="000000"/>
                <w:sz w:val="21"/>
              </w:rPr>
              <w:t>5）具有良好的沟通能力、能适应长时间室外巡查工作。</w:t>
            </w:r>
          </w:p>
          <w:p>
            <w:pPr>
              <w:ind w:firstLine="420"/>
              <w:jc w:val="left"/>
            </w:pPr>
            <w:r>
              <w:rPr>
                <w:color w:val="000000"/>
                <w:sz w:val="21"/>
              </w:rPr>
              <w:t>6）熟悉容桂街道城市建设基本情况（如行政区域划分、道路等）。</w:t>
            </w:r>
          </w:p>
          <w:p>
            <w:pPr>
              <w:ind w:firstLine="420"/>
              <w:jc w:val="left"/>
            </w:pPr>
            <w:r>
              <w:rPr>
                <w:color w:val="000000"/>
                <w:sz w:val="21"/>
              </w:rPr>
              <w:t>7）容桂街道本地人优先。</w:t>
            </w:r>
          </w:p>
          <w:p>
            <w:pPr>
              <w:ind w:firstLine="420"/>
              <w:jc w:val="left"/>
            </w:pPr>
            <w:r>
              <w:rPr>
                <w:color w:val="000000"/>
                <w:sz w:val="21"/>
              </w:rPr>
              <w:t>（</w:t>
            </w:r>
            <w:r>
              <w:rPr>
                <w:color w:val="000000"/>
                <w:sz w:val="21"/>
              </w:rPr>
              <w:t>6）大气污染（扬尘）防治巡查员及客运车辆监督员</w:t>
            </w:r>
          </w:p>
          <w:p>
            <w:pPr>
              <w:ind w:firstLine="420"/>
              <w:jc w:val="left"/>
            </w:pPr>
            <w:r>
              <w:rPr>
                <w:color w:val="000000"/>
                <w:sz w:val="21"/>
              </w:rPr>
              <w:t>1）一年（含）以上的数字城管工作经验优先、具有大气污染（扬尘）防治工作经验优先。</w:t>
            </w:r>
          </w:p>
          <w:p>
            <w:pPr>
              <w:ind w:firstLine="420"/>
              <w:jc w:val="left"/>
            </w:pPr>
            <w:r>
              <w:rPr>
                <w:color w:val="000000"/>
                <w:sz w:val="21"/>
              </w:rPr>
              <w:t>2）全日制大专及以上学历，能熟悉计算机应用知识。</w:t>
            </w:r>
          </w:p>
          <w:p>
            <w:pPr>
              <w:ind w:firstLine="420"/>
              <w:jc w:val="left"/>
            </w:pPr>
            <w:r>
              <w:rPr>
                <w:color w:val="000000"/>
                <w:sz w:val="21"/>
              </w:rPr>
              <w:t>3）需具备城管相关工作综合管理经验，熟悉各项城管工作流程。</w:t>
            </w:r>
          </w:p>
          <w:p>
            <w:pPr>
              <w:ind w:firstLine="420"/>
              <w:jc w:val="left"/>
            </w:pPr>
            <w:r>
              <w:rPr>
                <w:color w:val="000000"/>
                <w:sz w:val="21"/>
              </w:rPr>
              <w:t>4）口齿清晰、普通话和粤语流利、有较强的表达能力。</w:t>
            </w:r>
          </w:p>
          <w:p>
            <w:pPr>
              <w:ind w:firstLine="420"/>
              <w:jc w:val="left"/>
            </w:pPr>
            <w:r>
              <w:rPr>
                <w:color w:val="000000"/>
                <w:sz w:val="21"/>
              </w:rPr>
              <w:t>5）具有良好的沟通能力、能适应长时间室外巡查工作。</w:t>
            </w:r>
          </w:p>
          <w:p>
            <w:pPr>
              <w:ind w:firstLine="420"/>
              <w:jc w:val="left"/>
            </w:pPr>
            <w:r>
              <w:rPr>
                <w:color w:val="000000"/>
                <w:sz w:val="21"/>
              </w:rPr>
              <w:t>6）具有摩托车、小汽车（C1）驾驶证。</w:t>
            </w:r>
          </w:p>
          <w:p>
            <w:pPr>
              <w:ind w:firstLine="420"/>
              <w:jc w:val="left"/>
            </w:pPr>
            <w:r>
              <w:rPr>
                <w:color w:val="000000"/>
                <w:sz w:val="21"/>
              </w:rPr>
              <w:t>7</w:t>
            </w:r>
            <w:r>
              <w:rPr>
                <w:color w:val="000000"/>
                <w:sz w:val="21"/>
              </w:rPr>
              <w:t>）熟悉容桂街道城市建设基本情况（如行政区域划分、道路等）。</w:t>
            </w:r>
          </w:p>
          <w:p>
            <w:pPr>
              <w:ind w:firstLine="420"/>
              <w:jc w:val="left"/>
            </w:pPr>
            <w:r>
              <w:rPr>
                <w:color w:val="000000"/>
                <w:sz w:val="21"/>
              </w:rPr>
              <w:t>8</w:t>
            </w:r>
            <w:r>
              <w:rPr>
                <w:color w:val="000000"/>
                <w:sz w:val="21"/>
              </w:rPr>
              <w:t>）容桂街道本地人优先。</w:t>
            </w:r>
          </w:p>
          <w:p>
            <w:pPr>
              <w:ind w:firstLine="420"/>
              <w:jc w:val="left"/>
            </w:pPr>
            <w:r>
              <w:rPr>
                <w:color w:val="000000"/>
                <w:sz w:val="21"/>
              </w:rPr>
              <w:t>（</w:t>
            </w:r>
            <w:r>
              <w:rPr>
                <w:color w:val="000000"/>
                <w:sz w:val="21"/>
              </w:rPr>
              <w:t>7）组长要求：</w:t>
            </w:r>
          </w:p>
          <w:p>
            <w:pPr>
              <w:ind w:firstLine="420"/>
              <w:jc w:val="left"/>
            </w:pPr>
            <w:r>
              <w:rPr>
                <w:color w:val="000000"/>
                <w:sz w:val="21"/>
              </w:rPr>
              <w:t>1）一年（含）以上的数字城管组长工作经验优先。</w:t>
            </w:r>
          </w:p>
          <w:p>
            <w:pPr>
              <w:ind w:firstLine="420"/>
              <w:jc w:val="left"/>
            </w:pPr>
            <w:r>
              <w:rPr>
                <w:color w:val="000000"/>
                <w:sz w:val="21"/>
              </w:rPr>
              <w:t>2）全日制大专及以上学历，能熟悉计算机应用知识。</w:t>
            </w:r>
          </w:p>
          <w:p>
            <w:pPr>
              <w:ind w:firstLine="420"/>
              <w:jc w:val="left"/>
            </w:pPr>
            <w:r>
              <w:rPr>
                <w:color w:val="000000"/>
                <w:sz w:val="21"/>
              </w:rPr>
              <w:t>3）需具备城管相关工作综合管理经验，熟悉各项城管工作流程，熟悉国家、地方政府有关城市管理方面的相关法律法规，把握全局，与用户紧密协调，制定完善的工作计划，并严格贯彻执行。</w:t>
            </w:r>
          </w:p>
          <w:p>
            <w:pPr>
              <w:ind w:firstLine="420"/>
              <w:jc w:val="left"/>
            </w:pPr>
            <w:r>
              <w:rPr>
                <w:color w:val="000000"/>
                <w:sz w:val="21"/>
              </w:rPr>
              <w:t>4）口齿清晰、普通话和粤语流利、有较强的表达能力。</w:t>
            </w:r>
          </w:p>
          <w:p>
            <w:pPr>
              <w:ind w:firstLine="420"/>
              <w:jc w:val="left"/>
            </w:pPr>
            <w:r>
              <w:rPr>
                <w:color w:val="000000"/>
                <w:sz w:val="21"/>
              </w:rPr>
              <w:t>5）具有良好的沟通能力、客户服务意识与工作责任心，富有团队合作精神。</w:t>
            </w:r>
          </w:p>
          <w:p>
            <w:pPr>
              <w:ind w:firstLine="420"/>
              <w:jc w:val="left"/>
            </w:pPr>
            <w:r>
              <w:rPr>
                <w:color w:val="000000"/>
                <w:sz w:val="21"/>
              </w:rPr>
              <w:t>6）熟悉容桂街道城市建设基本情况（如行政区域划分、道路等）。</w:t>
            </w:r>
          </w:p>
          <w:p>
            <w:pPr>
              <w:ind w:firstLine="420"/>
              <w:jc w:val="left"/>
            </w:pPr>
            <w:r>
              <w:rPr>
                <w:color w:val="000000"/>
                <w:sz w:val="21"/>
              </w:rPr>
              <w:t>7）容桂街道本地人优先。</w:t>
            </w:r>
          </w:p>
          <w:p>
            <w:pPr>
              <w:ind w:firstLine="420"/>
              <w:jc w:val="left"/>
            </w:pPr>
            <w:r>
              <w:rPr>
                <w:color w:val="000000"/>
                <w:sz w:val="21"/>
              </w:rPr>
              <w:t>（</w:t>
            </w:r>
            <w:r>
              <w:rPr>
                <w:color w:val="000000"/>
                <w:sz w:val="21"/>
              </w:rPr>
              <w:t>8）值班长要求：</w:t>
            </w:r>
          </w:p>
          <w:p>
            <w:pPr>
              <w:ind w:firstLine="420"/>
              <w:jc w:val="left"/>
            </w:pPr>
            <w:r>
              <w:rPr>
                <w:color w:val="000000"/>
                <w:sz w:val="21"/>
              </w:rPr>
              <w:t>1）一年（含）以上的数字城管值班长工作经验优先。</w:t>
            </w:r>
          </w:p>
          <w:p>
            <w:pPr>
              <w:ind w:firstLine="420"/>
              <w:jc w:val="left"/>
            </w:pPr>
            <w:r>
              <w:rPr>
                <w:color w:val="000000"/>
                <w:sz w:val="21"/>
              </w:rPr>
              <w:t>2）全日制大专及以上学历，能熟悉计算机应用知识。</w:t>
            </w:r>
          </w:p>
          <w:p>
            <w:pPr>
              <w:ind w:firstLine="420"/>
              <w:jc w:val="left"/>
            </w:pPr>
            <w:r>
              <w:rPr>
                <w:color w:val="000000"/>
                <w:sz w:val="21"/>
              </w:rPr>
              <w:t>3）需具备城管相关工作综合管理经验，熟悉各项城管工作流程，熟悉国家、地方政府有关城市管理方面的相关法律法规，把握全局，与用户紧密协调，制定完善的工作计划，并严格贯彻执行。</w:t>
            </w:r>
          </w:p>
          <w:p>
            <w:pPr>
              <w:ind w:firstLine="420"/>
              <w:jc w:val="left"/>
            </w:pPr>
            <w:r>
              <w:rPr>
                <w:color w:val="000000"/>
                <w:sz w:val="21"/>
              </w:rPr>
              <w:t>4）口齿清晰、普通话和粤语流利、有较强的表达能力。</w:t>
            </w:r>
          </w:p>
          <w:p>
            <w:pPr>
              <w:ind w:firstLine="420"/>
              <w:jc w:val="left"/>
            </w:pPr>
            <w:r>
              <w:rPr>
                <w:color w:val="000000"/>
                <w:sz w:val="21"/>
              </w:rPr>
              <w:t>5）具有良好的沟通能力、客户服务意识与工作责任心，富有团队合作精神。</w:t>
            </w:r>
          </w:p>
          <w:p>
            <w:pPr>
              <w:ind w:firstLine="420"/>
              <w:jc w:val="left"/>
            </w:pPr>
            <w:r>
              <w:rPr>
                <w:color w:val="000000"/>
                <w:sz w:val="21"/>
              </w:rPr>
              <w:t>6）熟悉容桂街道城市建设基本情况（如行政区域划分、道路等）。</w:t>
            </w:r>
          </w:p>
          <w:p>
            <w:pPr>
              <w:ind w:firstLine="420"/>
              <w:jc w:val="left"/>
            </w:pPr>
            <w:r>
              <w:rPr>
                <w:color w:val="000000"/>
                <w:sz w:val="21"/>
              </w:rPr>
              <w:t>7）容桂街道本地人优先。</w:t>
            </w:r>
          </w:p>
          <w:p>
            <w:pPr>
              <w:ind w:firstLine="420"/>
              <w:jc w:val="left"/>
            </w:pPr>
            <w:r>
              <w:rPr>
                <w:color w:val="000000"/>
                <w:sz w:val="21"/>
              </w:rPr>
              <w:t>（</w:t>
            </w:r>
            <w:r>
              <w:rPr>
                <w:color w:val="000000"/>
                <w:sz w:val="21"/>
              </w:rPr>
              <w:t>9）业务技术指导员要求：</w:t>
            </w:r>
          </w:p>
          <w:p>
            <w:pPr>
              <w:ind w:firstLine="420"/>
              <w:jc w:val="left"/>
            </w:pPr>
            <w:r>
              <w:rPr>
                <w:color w:val="000000"/>
                <w:sz w:val="21"/>
              </w:rPr>
              <w:t>1）负责通过明检、暗查等方式，对信息采集员、受理派遣员工作进行现场巡查、抽查，把控各环节的工作质量；</w:t>
            </w:r>
          </w:p>
          <w:p>
            <w:pPr>
              <w:ind w:firstLine="420"/>
              <w:jc w:val="left"/>
            </w:pPr>
            <w:r>
              <w:rPr>
                <w:color w:val="000000"/>
                <w:sz w:val="21"/>
              </w:rPr>
              <w:t>2）负责根据作业质量跟踪，包括质量控制体系的本地化改良、质量问题统计与分析等；</w:t>
            </w:r>
          </w:p>
          <w:p>
            <w:pPr>
              <w:ind w:firstLine="420"/>
              <w:jc w:val="left"/>
            </w:pPr>
            <w:r>
              <w:rPr>
                <w:color w:val="000000"/>
                <w:sz w:val="21"/>
              </w:rPr>
              <w:t>3）负责汇总检查数字城管各模块工作中的问题点，设计并开展针对性的业务培训、人员技能查漏补缺；</w:t>
            </w:r>
          </w:p>
          <w:p>
            <w:pPr>
              <w:ind w:firstLine="420"/>
              <w:jc w:val="left"/>
            </w:pPr>
            <w:r>
              <w:rPr>
                <w:color w:val="000000"/>
                <w:sz w:val="21"/>
              </w:rPr>
              <w:t>4）负责分析工作进度需求，提供技术培训支持，包括技术标准的本地化改良、当地作业流程改进优化、现场各类技术培训及问题答疑；</w:t>
            </w:r>
          </w:p>
          <w:p>
            <w:pPr>
              <w:ind w:firstLine="420"/>
              <w:jc w:val="left"/>
            </w:pPr>
            <w:r>
              <w:rPr>
                <w:color w:val="000000"/>
                <w:sz w:val="21"/>
              </w:rPr>
              <w:t>5）负责跟进数字城管系统、数据问题及优化需求，整理相关问题和优化方式，与相关人员沟通落实；</w:t>
            </w:r>
          </w:p>
          <w:p>
            <w:pPr>
              <w:ind w:firstLine="420"/>
              <w:jc w:val="left"/>
            </w:pPr>
            <w:r>
              <w:rPr>
                <w:color w:val="000000"/>
                <w:sz w:val="21"/>
              </w:rPr>
              <w:t>6）根据佛山市、顺德区修订的各项考核标准进行培训和跟踪；</w:t>
            </w:r>
          </w:p>
          <w:p>
            <w:pPr>
              <w:ind w:firstLine="420"/>
              <w:jc w:val="left"/>
            </w:pPr>
            <w:r>
              <w:rPr>
                <w:color w:val="000000"/>
                <w:sz w:val="21"/>
              </w:rPr>
              <w:t>7）根据采购人所提出的各项工作要求，制定相关培训材料，对信息采集及监督指挥团队进行培训和跟踪落实；</w:t>
            </w:r>
          </w:p>
          <w:p>
            <w:pPr>
              <w:ind w:firstLine="420"/>
              <w:jc w:val="left"/>
            </w:pPr>
            <w:r>
              <w:rPr>
                <w:color w:val="000000"/>
                <w:sz w:val="21"/>
              </w:rPr>
              <w:t>8）收集、整理并分析信息采集和监督指挥工作存在的问题，出具相关工作报告及整改建议，并进行跟踪落实。</w:t>
            </w:r>
          </w:p>
          <w:p>
            <w:pPr>
              <w:ind w:firstLine="420"/>
              <w:jc w:val="left"/>
            </w:pPr>
            <w:r>
              <w:rPr>
                <w:color w:val="000000"/>
                <w:sz w:val="21"/>
              </w:rPr>
              <w:t>（</w:t>
            </w:r>
            <w:r>
              <w:rPr>
                <w:color w:val="000000"/>
                <w:sz w:val="21"/>
              </w:rPr>
              <w:t>10）项目负责人要求：</w:t>
            </w:r>
          </w:p>
          <w:p>
            <w:pPr>
              <w:ind w:firstLine="420"/>
              <w:jc w:val="left"/>
            </w:pPr>
            <w:r>
              <w:rPr>
                <w:color w:val="000000"/>
                <w:sz w:val="21"/>
              </w:rPr>
              <w:t>1）负责项目人员招聘与配置、业务培训与开发、绩效管理、薪酬福利管理、</w:t>
            </w:r>
            <w:r>
              <w:rPr>
                <w:color w:val="000000"/>
                <w:sz w:val="21"/>
              </w:rPr>
              <w:t>劳动关系管理</w:t>
            </w:r>
            <w:r>
              <w:rPr>
                <w:color w:val="000000"/>
                <w:sz w:val="21"/>
              </w:rPr>
              <w:t>。</w:t>
            </w:r>
          </w:p>
          <w:p>
            <w:pPr>
              <w:ind w:firstLine="420"/>
              <w:jc w:val="left"/>
            </w:pPr>
            <w:r>
              <w:rPr>
                <w:color w:val="000000"/>
                <w:sz w:val="21"/>
              </w:rPr>
              <w:t>2）负责沟通、协调，准确理解采购人对容桂街道数字城管日常工作的要求，并向信息采集团队、坐席团队宣传贯彻执行。</w:t>
            </w:r>
          </w:p>
          <w:p>
            <w:pPr>
              <w:ind w:firstLine="420"/>
              <w:jc w:val="left"/>
            </w:pPr>
            <w:r>
              <w:rPr>
                <w:color w:val="000000"/>
                <w:sz w:val="21"/>
              </w:rPr>
              <w:t>3）负责容桂街道数字城管社会化运营服务团队的全面日常管理工作。</w:t>
            </w:r>
          </w:p>
          <w:p>
            <w:pPr>
              <w:ind w:firstLine="420"/>
              <w:jc w:val="left"/>
            </w:pPr>
            <w:r>
              <w:rPr>
                <w:color w:val="000000"/>
                <w:sz w:val="21"/>
              </w:rPr>
              <w:t>4）根据容桂街道开展的专项整治工作任务，安排数字城管社会化运营服务团队配合执行，并提供合理化工作建议。</w:t>
            </w:r>
          </w:p>
          <w:p>
            <w:pPr>
              <w:ind w:firstLine="420"/>
              <w:jc w:val="left"/>
            </w:pPr>
            <w:r>
              <w:rPr>
                <w:color w:val="000000"/>
                <w:sz w:val="21"/>
              </w:rPr>
              <w:t>5）在统计期结束后的一个月内向采购人提供容桂街道数字城管月度、季度、年度分析报告，分析数字城管在各统计期内所取得的成绩及存在的问题，并提出可行性建议供采购人参考。</w:t>
            </w:r>
          </w:p>
          <w:p>
            <w:pPr>
              <w:ind w:firstLine="420"/>
              <w:jc w:val="left"/>
            </w:pPr>
            <w:r>
              <w:rPr>
                <w:color w:val="000000"/>
                <w:sz w:val="21"/>
              </w:rPr>
              <w:t>6）负责管理监督坐席员、信息采集员的日常工作质量及工作纪律，确保数字城管社会化运营服务团队高效开展各项工作。</w:t>
            </w:r>
          </w:p>
          <w:p>
            <w:pPr>
              <w:ind w:firstLine="420"/>
              <w:jc w:val="left"/>
            </w:pPr>
            <w:r>
              <w:rPr>
                <w:color w:val="000000"/>
                <w:sz w:val="21"/>
              </w:rPr>
              <w:t>7）负责与容桂街道数字城管指挥中心主任或指挥长对接，并沟通协调相关数字城管运营工作。</w:t>
            </w:r>
          </w:p>
          <w:p>
            <w:pPr>
              <w:ind w:firstLine="420"/>
              <w:jc w:val="left"/>
            </w:pPr>
            <w:r>
              <w:rPr>
                <w:color w:val="000000"/>
                <w:sz w:val="21"/>
              </w:rPr>
              <w:t>8）负责数字城管社会化运营服务团队的绩效考核，奖励先进、鞭策落后、淘汰不合格的服务人员。</w:t>
            </w:r>
          </w:p>
          <w:p>
            <w:pPr>
              <w:ind w:firstLine="420"/>
              <w:jc w:val="left"/>
            </w:pPr>
            <w:r>
              <w:rPr>
                <w:color w:val="000000"/>
                <w:sz w:val="21"/>
              </w:rPr>
              <w:t>9）负责研究其他数字城管运营项目的先进经验，并结合容桂街道的实际情况，为容桂街道数字城管高效运营提供合理化的工作建议。</w:t>
            </w:r>
          </w:p>
          <w:p>
            <w:pPr>
              <w:ind w:firstLine="420"/>
              <w:jc w:val="left"/>
            </w:pPr>
            <w:r>
              <w:rPr>
                <w:color w:val="000000"/>
                <w:sz w:val="21"/>
              </w:rPr>
              <w:t>10）负责定期组织信息采集员和坐席员进行岗位技能提升培训及日常安全培训，为前述人员参加佛山市、顺德区数字城管指挥中心举办的各类学习、培训、会议等活动提供交通安排。</w:t>
            </w:r>
          </w:p>
          <w:p>
            <w:pPr>
              <w:jc w:val="both"/>
            </w:pPr>
            <w:r>
              <w:rPr>
                <w:b/>
                <w:color w:val="000000"/>
                <w:sz w:val="24"/>
              </w:rPr>
              <w:t>7</w:t>
            </w:r>
            <w:r>
              <w:rPr>
                <w:b/>
                <w:color w:val="000000"/>
                <w:sz w:val="24"/>
              </w:rPr>
              <w:t>、人员劳动保障要求</w:t>
            </w:r>
          </w:p>
          <w:p>
            <w:pPr>
              <w:ind w:firstLine="420"/>
              <w:jc w:val="left"/>
            </w:pPr>
            <w:r>
              <w:rPr>
                <w:color w:val="000000"/>
                <w:sz w:val="21"/>
              </w:rPr>
              <w:t>社会化运营人员不得少于</w:t>
            </w:r>
            <w:r>
              <w:rPr>
                <w:color w:val="000000"/>
                <w:sz w:val="21"/>
              </w:rPr>
              <w:t>36人。中标人应保证社会化运营人员的月度实收工资总额不得低于每月投标报价的55%；采集员、采集监督员月度实收工资总额不得低于投入本项目所有社会化运营人员的月度实收工资总额的 37%；受理派遣员、美城考评员、美城巡查专员、大气污染（防尘）防治巡查员的月度实收工资总额不得低于投入本项目所有社会化运营人员的月度实收工资总额的 41%。社会化运营人员的年薪比例不得低于本项目总合同的75%。（人员的月度实收工资为银行出具并盖章确认的工资对账单显示的实际到账工资，含高温补贴、绩效奖金等，不包含五险一金）。</w:t>
            </w:r>
          </w:p>
          <w:p>
            <w:pPr>
              <w:ind w:firstLine="420"/>
              <w:jc w:val="left"/>
            </w:pPr>
            <w:r>
              <w:rPr>
                <w:color w:val="000000"/>
                <w:sz w:val="21"/>
              </w:rPr>
              <w:t>（</w:t>
            </w:r>
            <w:r>
              <w:rPr>
                <w:color w:val="000000"/>
                <w:sz w:val="21"/>
              </w:rPr>
              <w:t>1）社会化运营人员享有取得劳动报酬、休息休假、获得劳动安全卫生保护、享受社会保险和福利等劳动权利，同时应当履行完成劳动任务、遵守规章制度和职业道德等劳动义务；中标人须根据工作性质进行职位评估，从而确定薪酬等级体系。建议人员薪酬待遇（仅作参考），具体以中标人实际发放为准。</w:t>
            </w:r>
          </w:p>
          <w:tbl>
            <w:tblPr>
              <w:tblBorders>
                <w:top w:val="none" w:color="000000" w:sz="4"/>
                <w:left w:val="none" w:color="000000" w:sz="4"/>
                <w:bottom w:val="none" w:color="000000" w:sz="4"/>
                <w:right w:val="none" w:color="000000" w:sz="4"/>
                <w:insideH w:val="none"/>
                <w:insideV w:val="none"/>
              </w:tblBorders>
            </w:tblPr>
            <w:tblGrid>
              <w:gridCol w:w="1553"/>
              <w:gridCol w:w="4045"/>
            </w:tblGrid>
            <w:tr>
              <w:tc>
                <w:tcPr>
                  <w:tcW w:type="dxa" w:w="1553"/>
                  <w:tcBorders>
                    <w:top w:val="single" w:color="000000" w:sz="8"/>
                    <w:left w:val="single" w:color="000000" w:sz="8"/>
                    <w:bottom w:val="single" w:color="000000" w:sz="4"/>
                    <w:right w:val="single" w:color="000000" w:sz="4"/>
                  </w:tcBorders>
                  <w:vAlign w:val="top"/>
                </w:tcPr>
                <w:p>
                  <w:pPr>
                    <w:jc w:val="left"/>
                  </w:pPr>
                  <w:r>
                    <w:rPr>
                      <w:color w:val="000000"/>
                      <w:sz w:val="21"/>
                    </w:rPr>
                    <w:t>人员类别</w:t>
                  </w:r>
                </w:p>
              </w:tc>
              <w:tc>
                <w:tcPr>
                  <w:tcW w:type="dxa" w:w="4045"/>
                  <w:tcBorders>
                    <w:top w:val="single" w:color="000000" w:sz="8"/>
                    <w:left w:val="none" w:color="000000" w:sz="4"/>
                    <w:bottom w:val="single" w:color="000000" w:sz="4"/>
                    <w:right w:val="single" w:color="000000" w:sz="8"/>
                  </w:tcBorders>
                  <w:vAlign w:val="top"/>
                </w:tcPr>
                <w:p>
                  <w:pPr>
                    <w:jc w:val="left"/>
                  </w:pPr>
                  <w:r>
                    <w:rPr>
                      <w:color w:val="000000"/>
                      <w:sz w:val="21"/>
                    </w:rPr>
                    <w:t>建议人员薪酬待遇（仅作参考）</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信息采集员</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1、基本工资3400元/月（不含应缴社保费、住房公积金）；</w:t>
                  </w:r>
                </w:p>
                <w:p>
                  <w:pPr>
                    <w:jc w:val="left"/>
                  </w:pPr>
                  <w:r>
                    <w:rPr>
                      <w:color w:val="000000"/>
                      <w:sz w:val="21"/>
                    </w:rPr>
                    <w:t>4、公司按相关规定购买社保；</w:t>
                  </w:r>
                </w:p>
                <w:p>
                  <w:pPr>
                    <w:jc w:val="left"/>
                  </w:pPr>
                  <w:r>
                    <w:rPr>
                      <w:color w:val="000000"/>
                      <w:sz w:val="21"/>
                    </w:rPr>
                    <w:t>5、按相关规定购买住房公积金；</w:t>
                  </w:r>
                </w:p>
                <w:p>
                  <w:pPr>
                    <w:jc w:val="left"/>
                  </w:pPr>
                  <w:r>
                    <w:rPr>
                      <w:color w:val="000000"/>
                      <w:sz w:val="21"/>
                    </w:rPr>
                    <w:t>6、法定高温费；</w:t>
                  </w:r>
                </w:p>
                <w:p>
                  <w:pPr>
                    <w:jc w:val="left"/>
                  </w:pPr>
                  <w:r>
                    <w:rPr>
                      <w:color w:val="000000"/>
                      <w:sz w:val="21"/>
                    </w:rPr>
                    <w:t>7、年终绩效奖；</w:t>
                  </w:r>
                </w:p>
                <w:p>
                  <w:pPr>
                    <w:jc w:val="left"/>
                  </w:pPr>
                  <w:r>
                    <w:rPr>
                      <w:color w:val="000000"/>
                      <w:sz w:val="21"/>
                    </w:rPr>
                    <w:t>8、加班费（若有）。</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信息监督员</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1、基本工资4600元/月（不含应缴社保费、住房公积金）；</w:t>
                  </w:r>
                </w:p>
                <w:p>
                  <w:pPr>
                    <w:jc w:val="left"/>
                  </w:pPr>
                  <w:r>
                    <w:rPr>
                      <w:color w:val="000000"/>
                      <w:sz w:val="21"/>
                    </w:rPr>
                    <w:t>4、公司按相关规定购买社保；</w:t>
                  </w:r>
                </w:p>
                <w:p>
                  <w:pPr>
                    <w:jc w:val="left"/>
                  </w:pPr>
                  <w:r>
                    <w:rPr>
                      <w:color w:val="000000"/>
                      <w:sz w:val="21"/>
                    </w:rPr>
                    <w:t>5、按相关规定购买住房公积金；</w:t>
                  </w:r>
                </w:p>
                <w:p>
                  <w:pPr>
                    <w:jc w:val="left"/>
                  </w:pPr>
                  <w:r>
                    <w:rPr>
                      <w:color w:val="000000"/>
                      <w:sz w:val="21"/>
                    </w:rPr>
                    <w:t>6、法定高温费；</w:t>
                  </w:r>
                </w:p>
                <w:p>
                  <w:pPr>
                    <w:jc w:val="left"/>
                  </w:pPr>
                  <w:r>
                    <w:rPr>
                      <w:color w:val="000000"/>
                      <w:sz w:val="21"/>
                    </w:rPr>
                    <w:t>7、年终绩效奖；</w:t>
                  </w:r>
                </w:p>
                <w:p>
                  <w:pPr>
                    <w:jc w:val="left"/>
                  </w:pPr>
                  <w:r>
                    <w:rPr>
                      <w:color w:val="000000"/>
                      <w:sz w:val="21"/>
                    </w:rPr>
                    <w:t>8、加班费（若有）。</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受理派遣员及视频数据处理员、美城考评员</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1、基本工资4000元/月（不含应缴社保费、住房公积金）；</w:t>
                  </w:r>
                </w:p>
                <w:p>
                  <w:pPr>
                    <w:jc w:val="left"/>
                  </w:pPr>
                  <w:r>
                    <w:rPr>
                      <w:color w:val="000000"/>
                      <w:sz w:val="21"/>
                    </w:rPr>
                    <w:t>2、公司按相关规定购买社保；</w:t>
                  </w:r>
                </w:p>
                <w:p>
                  <w:pPr>
                    <w:jc w:val="left"/>
                  </w:pPr>
                  <w:r>
                    <w:rPr>
                      <w:color w:val="000000"/>
                      <w:sz w:val="21"/>
                    </w:rPr>
                    <w:t>3、按相关规定购买住房公积金；</w:t>
                  </w:r>
                </w:p>
                <w:p>
                  <w:pPr>
                    <w:jc w:val="left"/>
                  </w:pPr>
                  <w:r>
                    <w:rPr>
                      <w:color w:val="000000"/>
                      <w:sz w:val="21"/>
                    </w:rPr>
                    <w:t>4、年终绩效奖；</w:t>
                  </w:r>
                </w:p>
                <w:p>
                  <w:pPr>
                    <w:jc w:val="left"/>
                  </w:pPr>
                  <w:r>
                    <w:rPr>
                      <w:color w:val="000000"/>
                      <w:sz w:val="21"/>
                    </w:rPr>
                    <w:t>5、加班费（若有）</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美城巡查专员、大气污染（扬尘）防治巡查员及客运车辆监督员</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1、基本工资4500元/月（不含应缴社保费、住房公积金）；</w:t>
                  </w:r>
                </w:p>
                <w:p>
                  <w:pPr>
                    <w:jc w:val="left"/>
                  </w:pPr>
                  <w:r>
                    <w:rPr>
                      <w:color w:val="000000"/>
                      <w:sz w:val="21"/>
                    </w:rPr>
                    <w:t>2、交通工具补助150元/月；</w:t>
                  </w:r>
                </w:p>
                <w:p>
                  <w:pPr>
                    <w:jc w:val="left"/>
                  </w:pPr>
                  <w:r>
                    <w:rPr>
                      <w:color w:val="000000"/>
                      <w:sz w:val="21"/>
                    </w:rPr>
                    <w:t>3、交通燃油补助150元/月；</w:t>
                  </w:r>
                </w:p>
                <w:p>
                  <w:pPr>
                    <w:jc w:val="left"/>
                  </w:pPr>
                  <w:r>
                    <w:rPr>
                      <w:color w:val="000000"/>
                      <w:sz w:val="21"/>
                    </w:rPr>
                    <w:t>4、按相关规定购买社保；</w:t>
                  </w:r>
                </w:p>
                <w:p>
                  <w:pPr>
                    <w:jc w:val="left"/>
                  </w:pPr>
                  <w:r>
                    <w:rPr>
                      <w:color w:val="000000"/>
                      <w:sz w:val="21"/>
                    </w:rPr>
                    <w:t>5、按相关规定购买住房公积金；</w:t>
                  </w:r>
                </w:p>
                <w:p>
                  <w:pPr>
                    <w:jc w:val="left"/>
                  </w:pPr>
                  <w:r>
                    <w:rPr>
                      <w:color w:val="000000"/>
                      <w:sz w:val="21"/>
                    </w:rPr>
                    <w:t>6、法定高温费；</w:t>
                  </w:r>
                </w:p>
                <w:p>
                  <w:pPr>
                    <w:jc w:val="left"/>
                  </w:pPr>
                  <w:r>
                    <w:rPr>
                      <w:color w:val="000000"/>
                      <w:sz w:val="21"/>
                    </w:rPr>
                    <w:t>7、年终绩效奖；</w:t>
                  </w:r>
                </w:p>
                <w:p>
                  <w:pPr>
                    <w:jc w:val="left"/>
                  </w:pPr>
                  <w:r>
                    <w:rPr>
                      <w:color w:val="000000"/>
                      <w:sz w:val="21"/>
                    </w:rPr>
                    <w:t>8、加班费（若有）。</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组长、值班长</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1、基本工资5500元/月（不含应缴社保费、住房公积金）；</w:t>
                  </w:r>
                </w:p>
                <w:p>
                  <w:pPr>
                    <w:jc w:val="left"/>
                  </w:pPr>
                  <w:r>
                    <w:rPr>
                      <w:color w:val="000000"/>
                      <w:sz w:val="21"/>
                    </w:rPr>
                    <w:t>2、按相关规定购买社保；</w:t>
                  </w:r>
                </w:p>
                <w:p>
                  <w:pPr>
                    <w:jc w:val="left"/>
                  </w:pPr>
                  <w:r>
                    <w:rPr>
                      <w:color w:val="000000"/>
                      <w:sz w:val="21"/>
                    </w:rPr>
                    <w:t>3、按相关规定购买住房公积金；</w:t>
                  </w:r>
                </w:p>
                <w:p>
                  <w:pPr>
                    <w:jc w:val="left"/>
                  </w:pPr>
                  <w:r>
                    <w:rPr>
                      <w:color w:val="000000"/>
                      <w:sz w:val="21"/>
                    </w:rPr>
                    <w:t>4、年终绩效奖；</w:t>
                  </w:r>
                </w:p>
                <w:p>
                  <w:pPr>
                    <w:jc w:val="left"/>
                  </w:pPr>
                  <w:r>
                    <w:rPr>
                      <w:color w:val="000000"/>
                      <w:sz w:val="21"/>
                    </w:rPr>
                    <w:t>5、加班费（若有）。</w:t>
                  </w:r>
                </w:p>
              </w:tc>
            </w:tr>
            <w:tr>
              <w:tc>
                <w:tcPr>
                  <w:tcW w:type="dxa" w:w="1553"/>
                  <w:tcBorders>
                    <w:top w:val="none" w:color="000000" w:sz="4"/>
                    <w:left w:val="single" w:color="000000" w:sz="8"/>
                    <w:bottom w:val="single" w:color="000000" w:sz="4"/>
                    <w:right w:val="single" w:color="000000" w:sz="4"/>
                  </w:tcBorders>
                  <w:vAlign w:val="top"/>
                </w:tcPr>
                <w:p>
                  <w:pPr>
                    <w:jc w:val="left"/>
                  </w:pPr>
                  <w:r>
                    <w:rPr>
                      <w:color w:val="000000"/>
                      <w:sz w:val="21"/>
                    </w:rPr>
                    <w:t>业务技术指导员</w:t>
                  </w:r>
                </w:p>
              </w:tc>
              <w:tc>
                <w:tcPr>
                  <w:tcW w:type="dxa" w:w="4045"/>
                  <w:tcBorders>
                    <w:top w:val="none" w:color="000000" w:sz="4"/>
                    <w:left w:val="none" w:color="000000" w:sz="4"/>
                    <w:bottom w:val="single" w:color="000000" w:sz="4"/>
                    <w:right w:val="single" w:color="000000" w:sz="8"/>
                  </w:tcBorders>
                  <w:vAlign w:val="top"/>
                </w:tcPr>
                <w:p>
                  <w:pPr>
                    <w:jc w:val="left"/>
                  </w:pPr>
                  <w:r>
                    <w:rPr>
                      <w:color w:val="000000"/>
                      <w:sz w:val="21"/>
                    </w:rPr>
                    <w:t>1、基本工资7000元/月（不含应缴社保费、住房公积金）；</w:t>
                  </w:r>
                </w:p>
                <w:p>
                  <w:pPr>
                    <w:jc w:val="left"/>
                  </w:pPr>
                  <w:r>
                    <w:rPr>
                      <w:color w:val="000000"/>
                      <w:sz w:val="21"/>
                    </w:rPr>
                    <w:t>2、按相关规定购买社保；</w:t>
                  </w:r>
                </w:p>
                <w:p>
                  <w:pPr>
                    <w:jc w:val="left"/>
                  </w:pPr>
                  <w:r>
                    <w:rPr>
                      <w:color w:val="000000"/>
                      <w:sz w:val="21"/>
                    </w:rPr>
                    <w:t>3、按相关规定购买住房公积金；</w:t>
                  </w:r>
                </w:p>
                <w:p>
                  <w:pPr>
                    <w:jc w:val="left"/>
                  </w:pPr>
                  <w:r>
                    <w:rPr>
                      <w:color w:val="000000"/>
                      <w:sz w:val="21"/>
                    </w:rPr>
                    <w:t>4、年终绩效奖；</w:t>
                  </w:r>
                </w:p>
                <w:p>
                  <w:pPr>
                    <w:jc w:val="left"/>
                  </w:pPr>
                  <w:r>
                    <w:rPr>
                      <w:color w:val="000000"/>
                      <w:sz w:val="21"/>
                    </w:rPr>
                    <w:t>5、加班费（若有）。</w:t>
                  </w:r>
                </w:p>
              </w:tc>
            </w:tr>
            <w:tr>
              <w:tc>
                <w:tcPr>
                  <w:tcW w:type="dxa" w:w="1553"/>
                  <w:tcBorders>
                    <w:top w:val="none" w:color="000000" w:sz="4"/>
                    <w:left w:val="single" w:color="000000" w:sz="8"/>
                    <w:bottom w:val="single" w:color="000000" w:sz="8"/>
                    <w:right w:val="single" w:color="000000" w:sz="4"/>
                  </w:tcBorders>
                  <w:vAlign w:val="top"/>
                </w:tcPr>
                <w:p>
                  <w:pPr>
                    <w:jc w:val="left"/>
                  </w:pPr>
                  <w:r>
                    <w:rPr>
                      <w:color w:val="000000"/>
                      <w:sz w:val="21"/>
                    </w:rPr>
                    <w:t>项目负责人</w:t>
                  </w:r>
                </w:p>
              </w:tc>
              <w:tc>
                <w:tcPr>
                  <w:tcW w:type="dxa" w:w="4045"/>
                  <w:tcBorders>
                    <w:top w:val="none" w:color="000000" w:sz="4"/>
                    <w:left w:val="none" w:color="000000" w:sz="4"/>
                    <w:bottom w:val="single" w:color="000000" w:sz="8"/>
                    <w:right w:val="single" w:color="000000" w:sz="8"/>
                  </w:tcBorders>
                  <w:vAlign w:val="top"/>
                </w:tcPr>
                <w:p>
                  <w:pPr>
                    <w:jc w:val="left"/>
                  </w:pPr>
                  <w:r>
                    <w:rPr>
                      <w:color w:val="000000"/>
                      <w:sz w:val="21"/>
                    </w:rPr>
                    <w:t>1、基本工资9000元/月（不含应缴社保费、住房公积金）；</w:t>
                  </w:r>
                </w:p>
                <w:p>
                  <w:pPr>
                    <w:jc w:val="left"/>
                  </w:pPr>
                  <w:r>
                    <w:rPr>
                      <w:color w:val="000000"/>
                      <w:sz w:val="21"/>
                    </w:rPr>
                    <w:t>2、按相关规定购买社保；</w:t>
                  </w:r>
                </w:p>
                <w:p>
                  <w:pPr>
                    <w:jc w:val="left"/>
                  </w:pPr>
                  <w:r>
                    <w:rPr>
                      <w:color w:val="000000"/>
                      <w:sz w:val="21"/>
                    </w:rPr>
                    <w:t>3、按相关规定购买住房公积金；</w:t>
                  </w:r>
                </w:p>
                <w:p>
                  <w:pPr>
                    <w:jc w:val="left"/>
                  </w:pPr>
                  <w:r>
                    <w:rPr>
                      <w:color w:val="000000"/>
                      <w:sz w:val="21"/>
                    </w:rPr>
                    <w:t>4、年终绩效奖；</w:t>
                  </w:r>
                </w:p>
                <w:p>
                  <w:pPr>
                    <w:jc w:val="left"/>
                  </w:pPr>
                  <w:r>
                    <w:rPr>
                      <w:color w:val="000000"/>
                      <w:sz w:val="21"/>
                    </w:rPr>
                    <w:t>5、加班费（若有）。</w:t>
                  </w:r>
                </w:p>
              </w:tc>
            </w:tr>
          </w:tbl>
          <w:p>
            <w:pPr>
              <w:ind w:firstLine="420"/>
              <w:jc w:val="left"/>
            </w:pPr>
            <w:r>
              <w:rPr>
                <w:color w:val="000000"/>
                <w:sz w:val="21"/>
              </w:rPr>
              <w:t>（</w:t>
            </w:r>
            <w:r>
              <w:rPr>
                <w:color w:val="000000"/>
                <w:sz w:val="21"/>
              </w:rPr>
              <w:t>2）中标人必须按国家规定向社会化运营队伍所有适龄人员缴纳社保、住房公积金；</w:t>
            </w:r>
          </w:p>
          <w:p>
            <w:pPr>
              <w:ind w:firstLine="420"/>
              <w:jc w:val="left"/>
            </w:pPr>
            <w:r>
              <w:rPr>
                <w:color w:val="000000"/>
                <w:sz w:val="21"/>
              </w:rPr>
              <w:t>（</w:t>
            </w:r>
            <w:r>
              <w:rPr>
                <w:color w:val="000000"/>
                <w:sz w:val="21"/>
              </w:rPr>
              <w:t>3）除法定社保外，中标人还必须为外业人员购买商业意外保险，其中采集员、监督员最高保额不低于20万元，美城巡查员和大气污染（扬尘）防治巡查员不低于50万元；</w:t>
            </w:r>
          </w:p>
          <w:p>
            <w:pPr>
              <w:ind w:firstLine="420"/>
              <w:jc w:val="left"/>
            </w:pPr>
            <w:r>
              <w:rPr>
                <w:color w:val="000000"/>
                <w:sz w:val="21"/>
              </w:rPr>
              <w:t>（</w:t>
            </w:r>
            <w:r>
              <w:rPr>
                <w:color w:val="000000"/>
                <w:sz w:val="21"/>
              </w:rPr>
              <w:t>4）对于员工加班，必须按照公司管理规定支付加班费；年终时，按照公司管理规定支付年终奖金；</w:t>
            </w:r>
          </w:p>
          <w:p>
            <w:pPr>
              <w:ind w:firstLine="420"/>
              <w:jc w:val="left"/>
            </w:pPr>
            <w:r>
              <w:rPr>
                <w:color w:val="000000"/>
                <w:sz w:val="21"/>
              </w:rPr>
              <w:t>（</w:t>
            </w:r>
            <w:r>
              <w:rPr>
                <w:color w:val="000000"/>
                <w:sz w:val="21"/>
              </w:rPr>
              <w:t>5）中标人必须建立员工轮休制度，保证员工能享受国家规定的劳动假期；</w:t>
            </w:r>
          </w:p>
          <w:p>
            <w:pPr>
              <w:ind w:firstLine="420"/>
              <w:jc w:val="left"/>
            </w:pPr>
            <w:r>
              <w:rPr>
                <w:color w:val="000000"/>
                <w:sz w:val="21"/>
              </w:rPr>
              <w:t>（</w:t>
            </w:r>
            <w:r>
              <w:rPr>
                <w:color w:val="000000"/>
                <w:sz w:val="21"/>
              </w:rPr>
              <w:t>6）中标人须与所有社会化运营人员签订劳动合同，按国家规定向所有社会化运营人员准时发放工资和其他各项薪酬福利。如发生劳资纠纷、工伤事故或触犯国家法律等，由中标人承担一切经济责任及法律责任，并不得影响本项目的运营工作。</w:t>
            </w:r>
          </w:p>
          <w:p>
            <w:pPr>
              <w:jc w:val="both"/>
            </w:pPr>
            <w:r>
              <w:rPr>
                <w:b/>
                <w:color w:val="000000"/>
                <w:sz w:val="24"/>
              </w:rPr>
              <w:t>8</w:t>
            </w:r>
            <w:r>
              <w:rPr>
                <w:b/>
                <w:color w:val="000000"/>
                <w:sz w:val="24"/>
              </w:rPr>
              <w:t>、信息采集工作要求</w:t>
            </w:r>
          </w:p>
          <w:p>
            <w:pPr>
              <w:jc w:val="both"/>
            </w:pPr>
            <w:r>
              <w:rPr>
                <w:b/>
                <w:color w:val="000000"/>
                <w:sz w:val="24"/>
              </w:rPr>
              <w:t>8.1</w:t>
            </w:r>
            <w:r>
              <w:rPr>
                <w:b/>
                <w:color w:val="000000"/>
                <w:sz w:val="24"/>
              </w:rPr>
              <w:t>信息采集工作内容要求：</w:t>
            </w:r>
          </w:p>
          <w:p>
            <w:pPr>
              <w:ind w:firstLine="420"/>
              <w:jc w:val="left"/>
            </w:pPr>
            <w:r>
              <w:rPr>
                <w:color w:val="000000"/>
                <w:sz w:val="21"/>
              </w:rPr>
              <w:t>信息采集员是数字化城市管理信息采集上报的主要力量，也是数字城管流程形成闭环的关键。依据容桂街道数字城管系统现行统一的管理标准，在</w:t>
            </w:r>
            <w:r>
              <w:rPr>
                <w:color w:val="000000"/>
                <w:sz w:val="21"/>
              </w:rPr>
              <w:t>“数字城管”覆盖区域内，以人工巡查的方式，进行信息采集的社会化运营。具体工作如下（不仅限于此）：</w:t>
            </w:r>
          </w:p>
          <w:p>
            <w:pPr>
              <w:ind w:firstLine="420"/>
              <w:jc w:val="left"/>
            </w:pPr>
            <w:r>
              <w:rPr>
                <w:color w:val="000000"/>
                <w:sz w:val="21"/>
              </w:rPr>
              <w:t>1）负责对城市部件、事件类问题信息的限时采集；</w:t>
            </w:r>
          </w:p>
          <w:p>
            <w:pPr>
              <w:ind w:firstLine="420"/>
              <w:jc w:val="left"/>
            </w:pPr>
            <w:r>
              <w:rPr>
                <w:color w:val="000000"/>
                <w:sz w:val="21"/>
              </w:rPr>
              <w:t>按照容桂街道城市部件和事件分类标准，限时采集城市管理各类问题。常见城市管理问题包括：市容市貌、环境秩序、环境卫生、园林绿化、灯光照明、垃圾运输、宣传广告、城市道路交通标志标线附属设施、城市排水设施、河道漂浮物、日常路面保洁、水体清洁、街面私搭乱建、占道经营、装饰性树挂等，共涉及</w:t>
            </w:r>
            <w:r>
              <w:rPr>
                <w:color w:val="000000"/>
                <w:sz w:val="21"/>
              </w:rPr>
              <w:t>7大类111小类城市部件，6大类55小类城市事件。</w:t>
            </w:r>
          </w:p>
          <w:p>
            <w:pPr>
              <w:ind w:firstLine="420"/>
              <w:jc w:val="left"/>
            </w:pPr>
            <w:r>
              <w:rPr>
                <w:color w:val="000000"/>
                <w:sz w:val="21"/>
              </w:rPr>
              <w:t>2）乡村振兴案件收集处理和采集处理上级交办的案件；</w:t>
            </w:r>
          </w:p>
          <w:p>
            <w:pPr>
              <w:ind w:firstLine="420"/>
              <w:jc w:val="left"/>
            </w:pPr>
            <w:r>
              <w:rPr>
                <w:color w:val="000000"/>
                <w:sz w:val="21"/>
              </w:rPr>
              <w:t>3）接听投诉电话；</w:t>
            </w:r>
          </w:p>
          <w:p>
            <w:pPr>
              <w:ind w:firstLine="420"/>
              <w:jc w:val="left"/>
            </w:pPr>
            <w:r>
              <w:rPr>
                <w:color w:val="000000"/>
                <w:sz w:val="21"/>
              </w:rPr>
              <w:t>4）对热线投诉、视频监控、领导交办等途径反馈的城市管理问题进行核实；</w:t>
            </w:r>
          </w:p>
          <w:p>
            <w:pPr>
              <w:ind w:firstLine="420"/>
              <w:jc w:val="left"/>
            </w:pPr>
            <w:r>
              <w:rPr>
                <w:color w:val="000000"/>
                <w:sz w:val="21"/>
              </w:rPr>
              <w:t>5）对责任单位处理报结的问题在结案前进行核查；</w:t>
            </w:r>
          </w:p>
          <w:p>
            <w:pPr>
              <w:ind w:firstLine="420"/>
              <w:jc w:val="left"/>
            </w:pPr>
            <w:r>
              <w:rPr>
                <w:color w:val="000000"/>
                <w:sz w:val="21"/>
              </w:rPr>
              <w:t>6）对责任网格内力所能及的市容环境脏乱问题做到“举手之劳”，具体包括一些城市管理事务的自处理和现场劝阻。</w:t>
            </w:r>
          </w:p>
          <w:p>
            <w:pPr>
              <w:ind w:firstLine="420"/>
              <w:jc w:val="left"/>
            </w:pPr>
            <w:r>
              <w:rPr>
                <w:color w:val="000000"/>
                <w:sz w:val="21"/>
              </w:rPr>
              <w:t>自处理包括：</w:t>
            </w:r>
            <w:r>
              <w:rPr>
                <w:color w:val="000000"/>
                <w:sz w:val="21"/>
              </w:rPr>
              <w:t>①街面可撕掉的小广告；②绿地或主干道的小木板广告；③垃圾箱小门打开或内胆移位；④垃圾箱外的小袋装垃圾清理；⑤井盖轻微错位（在能力范围内）；⑥交通护拦轻微移位、脱节、侧倒（非水泥柱等）；⑦网络通讯交接箱门打开（设施不坏）；⑧树枝折断影响交通；</w:t>
            </w:r>
          </w:p>
          <w:p>
            <w:pPr>
              <w:ind w:firstLine="420"/>
              <w:jc w:val="left"/>
            </w:pPr>
            <w:r>
              <w:rPr>
                <w:color w:val="000000"/>
                <w:sz w:val="21"/>
              </w:rPr>
              <w:t>现场劝阻包括：</w:t>
            </w:r>
            <w:r>
              <w:rPr>
                <w:color w:val="000000"/>
                <w:sz w:val="21"/>
              </w:rPr>
              <w:t>①非装饰性树挂；②沿街凉挂；③店外经营；④占道广告牌；⑤无照经营游商；⑥废弃设施占道堆放；⑦非泊车位的停车（车主正准备停）单个现象，自行车停在泊车线外；⑧主干道单个流浪乞讨。</w:t>
            </w:r>
          </w:p>
          <w:p>
            <w:pPr>
              <w:ind w:firstLine="420"/>
              <w:jc w:val="left"/>
            </w:pPr>
            <w:r>
              <w:rPr>
                <w:color w:val="000000"/>
                <w:sz w:val="21"/>
              </w:rPr>
              <w:t>7）对政府关注的专项内容提供专项普查服务；</w:t>
            </w:r>
          </w:p>
          <w:p>
            <w:pPr>
              <w:ind w:firstLine="420"/>
              <w:jc w:val="left"/>
            </w:pPr>
            <w:r>
              <w:rPr>
                <w:color w:val="000000"/>
                <w:sz w:val="21"/>
              </w:rPr>
              <w:t>8）针对台风、暴雨等灾害天气提供快速的紧急情况普查服务；</w:t>
            </w:r>
          </w:p>
          <w:p>
            <w:pPr>
              <w:ind w:firstLine="420"/>
              <w:jc w:val="left"/>
            </w:pPr>
            <w:r>
              <w:rPr>
                <w:color w:val="000000"/>
                <w:sz w:val="21"/>
              </w:rPr>
              <w:t>9）在日常巡查过程中，如发现城市部件变化，免费提供部件数据更新服务；</w:t>
            </w:r>
          </w:p>
          <w:p>
            <w:pPr>
              <w:ind w:firstLine="420"/>
              <w:jc w:val="left"/>
            </w:pPr>
            <w:r>
              <w:rPr>
                <w:color w:val="000000"/>
                <w:sz w:val="21"/>
              </w:rPr>
              <w:t>10）定期提供“数字城管”数据分析、趋势分析服务；</w:t>
            </w:r>
          </w:p>
          <w:p>
            <w:pPr>
              <w:ind w:firstLine="420"/>
              <w:jc w:val="left"/>
            </w:pPr>
            <w:r>
              <w:rPr>
                <w:color w:val="000000"/>
                <w:sz w:val="21"/>
              </w:rPr>
              <w:t>11）负责辖区数字城管监督指挥中心领导及信息采集员队伍负责人交办的其他任务。</w:t>
            </w:r>
          </w:p>
          <w:p>
            <w:pPr>
              <w:ind w:firstLine="420"/>
              <w:jc w:val="left"/>
            </w:pPr>
            <w:r>
              <w:rPr>
                <w:color w:val="000000"/>
                <w:sz w:val="21"/>
              </w:rPr>
              <w:t>12）案件预处理。查看案件发生位置、案件图片、案件描述等信息、根据属地管理等预定的规划及个人经验，判断该案件归属。</w:t>
            </w:r>
          </w:p>
          <w:p>
            <w:pPr>
              <w:ind w:firstLine="420"/>
              <w:jc w:val="left"/>
            </w:pPr>
            <w:r>
              <w:rPr>
                <w:color w:val="000000"/>
                <w:sz w:val="21"/>
              </w:rPr>
              <w:t>13）建立起各村居、权属部门等权属派遣表，在oa办公系统建立美城考评发送人群组，并根据工作深化不断对人员通讯信息进行更新。</w:t>
            </w:r>
          </w:p>
          <w:p>
            <w:pPr>
              <w:jc w:val="both"/>
            </w:pPr>
            <w:r>
              <w:rPr>
                <w:b/>
                <w:color w:val="000000"/>
                <w:sz w:val="24"/>
              </w:rPr>
              <w:t>8.2</w:t>
            </w:r>
            <w:r>
              <w:rPr>
                <w:b/>
                <w:color w:val="000000"/>
                <w:sz w:val="24"/>
              </w:rPr>
              <w:t>信息采集工作时间要求</w:t>
            </w:r>
          </w:p>
          <w:p>
            <w:pPr>
              <w:ind w:firstLine="420"/>
              <w:jc w:val="left"/>
            </w:pPr>
            <w:r>
              <w:rPr>
                <w:color w:val="000000"/>
                <w:sz w:val="21"/>
              </w:rPr>
              <w:t>信息采集巡查工作时间应与数字城管运行时间同步，工作时间为</w:t>
            </w:r>
            <w:r>
              <w:rPr>
                <w:color w:val="000000"/>
                <w:sz w:val="21"/>
              </w:rPr>
              <w:t>8：30－17：30，如采购人工作需要，上述运营服务人员可进行 24小时轮班工作制。并要结合容桂街道的工作要求安排节假日值班及调整工作时间等。防汛、抗雷、防灾或重大活动、对重点区域需延长巡查时间或需进行专项普查的，应无条件服从。</w:t>
            </w:r>
          </w:p>
          <w:p>
            <w:pPr>
              <w:jc w:val="both"/>
            </w:pPr>
            <w:r>
              <w:rPr>
                <w:b/>
                <w:color w:val="000000"/>
                <w:sz w:val="24"/>
              </w:rPr>
              <w:t>8.3</w:t>
            </w:r>
            <w:r>
              <w:rPr>
                <w:b/>
                <w:color w:val="000000"/>
                <w:sz w:val="24"/>
              </w:rPr>
              <w:t>信息采集质量要求</w:t>
            </w:r>
          </w:p>
          <w:p>
            <w:pPr>
              <w:ind w:firstLine="420"/>
              <w:jc w:val="left"/>
            </w:pPr>
            <w:r>
              <w:rPr>
                <w:color w:val="000000"/>
                <w:sz w:val="21"/>
              </w:rPr>
              <w:t>1）月平均上报有效率达到90%。（公式：有效上报率=有效上报数/实际上报数×100%）。</w:t>
            </w:r>
          </w:p>
          <w:p>
            <w:pPr>
              <w:ind w:firstLine="420"/>
              <w:jc w:val="left"/>
            </w:pPr>
            <w:r>
              <w:rPr>
                <w:color w:val="000000"/>
                <w:sz w:val="21"/>
              </w:rPr>
              <w:t>2）保证各类数据的准确性，要求上传信息(包括核查和核实)差错率（按月统计）不超过5%。</w:t>
            </w:r>
          </w:p>
          <w:p>
            <w:pPr>
              <w:ind w:firstLine="420"/>
              <w:jc w:val="left"/>
            </w:pPr>
            <w:r>
              <w:rPr>
                <w:color w:val="000000"/>
                <w:sz w:val="21"/>
              </w:rPr>
              <w:t>3）控制漏报，要求工作区域内所有事部件问题应在第一时间内上报，由指挥中心和相关部门巡查校核确认，构成漏报事实的比率不超过5%。</w:t>
            </w:r>
          </w:p>
          <w:p>
            <w:pPr>
              <w:jc w:val="both"/>
            </w:pPr>
            <w:r>
              <w:rPr>
                <w:b/>
                <w:color w:val="000000"/>
                <w:sz w:val="24"/>
              </w:rPr>
              <w:t>8.4</w:t>
            </w:r>
            <w:r>
              <w:rPr>
                <w:b/>
                <w:color w:val="000000"/>
                <w:sz w:val="24"/>
              </w:rPr>
              <w:t>信息采集密度要求</w:t>
            </w:r>
          </w:p>
          <w:p>
            <w:pPr>
              <w:ind w:firstLine="420"/>
              <w:jc w:val="left"/>
            </w:pPr>
            <w:r>
              <w:rPr>
                <w:color w:val="000000"/>
                <w:sz w:val="21"/>
              </w:rPr>
              <w:t>1）每个工作网格，配置固定人员，设定固定巡查路线，保证巡查间隔时间，间隔密度合格率达到85％或以上。（公式：间隔密度合格率＝（1-被抽查不合格采集员数/该采集公司采集员总数）×100%）。</w:t>
            </w:r>
          </w:p>
          <w:p>
            <w:pPr>
              <w:ind w:firstLine="420"/>
              <w:jc w:val="left"/>
            </w:pPr>
            <w:r>
              <w:rPr>
                <w:color w:val="000000"/>
                <w:sz w:val="21"/>
              </w:rPr>
              <w:t>2）巡查过程中保证繁华地区和主干道路每日巡查不少于3次，次支道路和里巷道路每日巡查不少于2次，居民区巡查每周不少于2次。</w:t>
            </w:r>
          </w:p>
          <w:p>
            <w:pPr>
              <w:jc w:val="both"/>
            </w:pPr>
            <w:r>
              <w:rPr>
                <w:b/>
                <w:color w:val="000000"/>
                <w:sz w:val="24"/>
              </w:rPr>
              <w:t>8.5</w:t>
            </w:r>
            <w:r>
              <w:rPr>
                <w:b/>
                <w:color w:val="000000"/>
                <w:sz w:val="24"/>
              </w:rPr>
              <w:t>巡查数据传输时间要求</w:t>
            </w:r>
          </w:p>
          <w:p>
            <w:pPr>
              <w:ind w:firstLine="420"/>
              <w:jc w:val="left"/>
            </w:pPr>
            <w:r>
              <w:rPr>
                <w:color w:val="000000"/>
                <w:sz w:val="21"/>
              </w:rPr>
              <w:t>指挥中心发出的核查、核定指令回复需在</w:t>
            </w:r>
            <w:r>
              <w:rPr>
                <w:color w:val="000000"/>
                <w:sz w:val="21"/>
              </w:rPr>
              <w:t>1小时内予以回复，突发、重大事件核查指令需在30分钟内予以回复，其余时间段以限定时间为准，按时核查率达到95％或以上、核查回复率达到98%或以上。</w:t>
            </w:r>
          </w:p>
          <w:p>
            <w:pPr>
              <w:jc w:val="both"/>
            </w:pPr>
            <w:r>
              <w:rPr>
                <w:b/>
                <w:color w:val="000000"/>
                <w:sz w:val="24"/>
              </w:rPr>
              <w:t>10</w:t>
            </w:r>
            <w:r>
              <w:rPr>
                <w:b/>
                <w:color w:val="000000"/>
                <w:sz w:val="24"/>
              </w:rPr>
              <w:t>、美城巡查专员工作要求</w:t>
            </w:r>
          </w:p>
          <w:p>
            <w:pPr>
              <w:ind w:firstLine="420"/>
              <w:jc w:val="left"/>
            </w:pPr>
            <w:r>
              <w:rPr>
                <w:color w:val="000000"/>
                <w:sz w:val="21"/>
              </w:rPr>
              <w:t>1）外包单位监督</w:t>
            </w:r>
          </w:p>
          <w:p>
            <w:pPr>
              <w:ind w:firstLine="420"/>
              <w:jc w:val="left"/>
            </w:pPr>
            <w:r>
              <w:rPr>
                <w:color w:val="000000"/>
                <w:sz w:val="21"/>
              </w:rPr>
              <w:t>对佛山市顺德区容桂综合行政执法办公室监督管理的城市管理外包单位（市政工程公司、环卫保洁公司、园林绿化公司等）的工作进行检查。</w:t>
            </w:r>
          </w:p>
          <w:p>
            <w:pPr>
              <w:ind w:firstLine="420"/>
              <w:jc w:val="left"/>
            </w:pPr>
            <w:r>
              <w:rPr>
                <w:color w:val="000000"/>
                <w:sz w:val="21"/>
              </w:rPr>
              <w:t>2）容桂街道全域城市管理问题暗检。</w:t>
            </w:r>
          </w:p>
          <w:p>
            <w:pPr>
              <w:ind w:firstLine="420"/>
              <w:jc w:val="left"/>
            </w:pPr>
            <w:r>
              <w:rPr>
                <w:color w:val="000000"/>
                <w:sz w:val="21"/>
              </w:rPr>
              <w:t>对容桂街道范围（包含数字城管覆盖范围及以外范围、各级考评区域范围在内的容桂街道全境）进行城市管理暗检，对案件结果整理并建档、存档，定期提交检查报告。</w:t>
            </w:r>
          </w:p>
          <w:p>
            <w:pPr>
              <w:ind w:firstLine="420"/>
              <w:jc w:val="left"/>
            </w:pPr>
            <w:r>
              <w:rPr>
                <w:color w:val="000000"/>
                <w:sz w:val="21"/>
              </w:rPr>
              <w:t>3）城市管理黑点数据建库及数据更新维护。</w:t>
            </w:r>
          </w:p>
          <w:p>
            <w:pPr>
              <w:ind w:firstLine="420"/>
              <w:jc w:val="left"/>
            </w:pPr>
            <w:r>
              <w:rPr>
                <w:color w:val="000000"/>
                <w:sz w:val="21"/>
              </w:rPr>
              <w:t>对城市管理黑点、重点问题进行进行数据建库，并对及时数据进行更新维护。</w:t>
            </w:r>
          </w:p>
          <w:p>
            <w:pPr>
              <w:ind w:firstLine="420"/>
              <w:jc w:val="left"/>
            </w:pPr>
            <w:r>
              <w:rPr>
                <w:color w:val="000000"/>
                <w:sz w:val="21"/>
              </w:rPr>
              <w:t>4）“迎检”工作协助</w:t>
            </w:r>
          </w:p>
          <w:p>
            <w:pPr>
              <w:ind w:firstLine="420"/>
              <w:jc w:val="left"/>
            </w:pPr>
            <w:r>
              <w:rPr>
                <w:color w:val="000000"/>
                <w:sz w:val="21"/>
              </w:rPr>
              <w:t>配合参与各级城市管理部门的检查工作。</w:t>
            </w:r>
          </w:p>
          <w:p>
            <w:pPr>
              <w:ind w:firstLine="420"/>
              <w:jc w:val="left"/>
            </w:pPr>
            <w:r>
              <w:rPr>
                <w:color w:val="000000"/>
                <w:sz w:val="21"/>
              </w:rPr>
              <w:t>5）其他相关工作</w:t>
            </w:r>
          </w:p>
          <w:p>
            <w:pPr>
              <w:ind w:firstLine="420"/>
              <w:jc w:val="left"/>
            </w:pPr>
            <w:r>
              <w:rPr>
                <w:color w:val="000000"/>
                <w:sz w:val="21"/>
              </w:rPr>
              <w:t>其他相关的运营工作根据采购人实际情况进行安排。</w:t>
            </w:r>
          </w:p>
          <w:p>
            <w:pPr>
              <w:jc w:val="both"/>
            </w:pPr>
            <w:r>
              <w:rPr>
                <w:b/>
                <w:color w:val="000000"/>
                <w:sz w:val="24"/>
              </w:rPr>
              <w:t>1</w:t>
            </w:r>
            <w:r>
              <w:rPr>
                <w:b/>
                <w:color w:val="000000"/>
                <w:sz w:val="24"/>
              </w:rPr>
              <w:t>1</w:t>
            </w:r>
            <w:r>
              <w:rPr>
                <w:b/>
                <w:color w:val="000000"/>
                <w:sz w:val="24"/>
              </w:rPr>
              <w:t>、大气污染（扬尘）防治巡查员</w:t>
            </w:r>
            <w:r>
              <w:rPr>
                <w:b/>
                <w:color w:val="000000"/>
                <w:sz w:val="24"/>
              </w:rPr>
              <w:t>及客运车辆监督员工作要求</w:t>
            </w:r>
          </w:p>
          <w:p>
            <w:pPr>
              <w:ind w:firstLine="420"/>
              <w:jc w:val="left"/>
            </w:pPr>
            <w:r>
              <w:rPr>
                <w:color w:val="000000"/>
                <w:sz w:val="21"/>
              </w:rPr>
              <w:t>（</w:t>
            </w:r>
            <w:r>
              <w:rPr>
                <w:color w:val="000000"/>
                <w:sz w:val="21"/>
              </w:rPr>
              <w:t>1）扬尘源数据建库及数据更新维护</w:t>
            </w:r>
          </w:p>
          <w:p>
            <w:pPr>
              <w:ind w:firstLine="420"/>
              <w:jc w:val="left"/>
            </w:pPr>
            <w:r>
              <w:rPr>
                <w:color w:val="000000"/>
                <w:sz w:val="21"/>
              </w:rPr>
              <w:t>对容桂街道范围（包含数字城管覆盖范围及以外范围、各级考评区域范围在内的容桂街道全境）所有在在建工地、闲置地块、渣土场、道路施工、住宅施工等扬尘源进行数据建库并定时更新。</w:t>
            </w:r>
          </w:p>
          <w:p>
            <w:pPr>
              <w:ind w:firstLine="420"/>
              <w:jc w:val="left"/>
            </w:pPr>
            <w:r>
              <w:rPr>
                <w:color w:val="000000"/>
                <w:sz w:val="21"/>
              </w:rPr>
              <w:t>（</w:t>
            </w:r>
            <w:r>
              <w:rPr>
                <w:color w:val="000000"/>
                <w:sz w:val="21"/>
              </w:rPr>
              <w:t>2）扬尘源实地巡查</w:t>
            </w:r>
          </w:p>
          <w:p>
            <w:pPr>
              <w:ind w:firstLine="420"/>
              <w:jc w:val="left"/>
            </w:pPr>
            <w:r>
              <w:rPr>
                <w:color w:val="000000"/>
                <w:sz w:val="21"/>
              </w:rPr>
              <w:t>对容桂街道范围（包含数字城管覆盖范围及以外范围、各级考评区域范围在内的容桂街道全境）所有在建工地、闲置地块、渣土场、道路施工、住宅施工等扬尘源进行实地巡查，将巡查情况进行记录。</w:t>
            </w:r>
          </w:p>
          <w:p>
            <w:pPr>
              <w:ind w:firstLine="420"/>
              <w:jc w:val="left"/>
            </w:pPr>
            <w:r>
              <w:rPr>
                <w:color w:val="000000"/>
                <w:sz w:val="21"/>
              </w:rPr>
              <w:t>（</w:t>
            </w:r>
            <w:r>
              <w:rPr>
                <w:color w:val="000000"/>
                <w:sz w:val="21"/>
              </w:rPr>
              <w:t>3）无人机巡查</w:t>
            </w:r>
          </w:p>
          <w:p>
            <w:pPr>
              <w:ind w:firstLine="420"/>
              <w:jc w:val="left"/>
            </w:pPr>
            <w:r>
              <w:rPr>
                <w:color w:val="000000"/>
                <w:sz w:val="21"/>
              </w:rPr>
              <w:t>对容桂街道范围（包含数字城管覆盖范围及以外范围、各级考评区域范围在内的容桂街道全境）所有在建工地、闲置地块、渣土场、道路施工、住宅施工等扬尘源进行无人机巡查，将巡查情况进行记录。</w:t>
            </w:r>
          </w:p>
          <w:p>
            <w:pPr>
              <w:ind w:firstLine="420"/>
              <w:jc w:val="left"/>
            </w:pPr>
            <w:r>
              <w:rPr>
                <w:color w:val="000000"/>
                <w:sz w:val="21"/>
              </w:rPr>
              <w:t>（</w:t>
            </w:r>
            <w:r>
              <w:rPr>
                <w:color w:val="000000"/>
                <w:sz w:val="21"/>
              </w:rPr>
              <w:t>4）案件建立及交办、督办</w:t>
            </w:r>
          </w:p>
          <w:p>
            <w:pPr>
              <w:ind w:firstLine="420"/>
              <w:jc w:val="left"/>
            </w:pPr>
            <w:r>
              <w:rPr>
                <w:color w:val="000000"/>
                <w:sz w:val="21"/>
              </w:rPr>
              <w:t>对上述巡查所发现的问题进行整理，建立案件并交办到相应的职能部门。并对已交办到职能部门的案件进行跟踪、督办。</w:t>
            </w:r>
          </w:p>
          <w:p>
            <w:pPr>
              <w:ind w:firstLine="420"/>
              <w:jc w:val="left"/>
            </w:pPr>
            <w:r>
              <w:rPr>
                <w:color w:val="000000"/>
                <w:sz w:val="21"/>
              </w:rPr>
              <w:t>（</w:t>
            </w:r>
            <w:r>
              <w:rPr>
                <w:color w:val="000000"/>
                <w:sz w:val="21"/>
              </w:rPr>
              <w:t>5）档案整理</w:t>
            </w:r>
          </w:p>
          <w:p>
            <w:pPr>
              <w:ind w:firstLine="420"/>
              <w:jc w:val="left"/>
            </w:pPr>
            <w:r>
              <w:rPr>
                <w:color w:val="000000"/>
                <w:sz w:val="21"/>
              </w:rPr>
              <w:t>对本项目所涉及的巡查记录、巡查结果、案件等资料统一整理台账，每宗督查案件进行</w:t>
            </w:r>
            <w:r>
              <w:rPr>
                <w:color w:val="000000"/>
                <w:sz w:val="21"/>
              </w:rPr>
              <w:t>“一案一档”，每月更新上报。</w:t>
            </w:r>
          </w:p>
          <w:p>
            <w:pPr>
              <w:ind w:firstLine="420"/>
              <w:jc w:val="left"/>
            </w:pPr>
            <w:r>
              <w:rPr>
                <w:color w:val="000000"/>
                <w:sz w:val="21"/>
              </w:rPr>
              <w:t>（</w:t>
            </w:r>
            <w:r>
              <w:rPr>
                <w:color w:val="000000"/>
                <w:sz w:val="21"/>
              </w:rPr>
              <w:t>6）信息转办及报送</w:t>
            </w:r>
          </w:p>
          <w:p>
            <w:pPr>
              <w:ind w:firstLine="420"/>
              <w:jc w:val="left"/>
            </w:pPr>
            <w:r>
              <w:rPr>
                <w:color w:val="000000"/>
                <w:sz w:val="21"/>
              </w:rPr>
              <w:t>负责上级督办案件的交办并回复，及时发布上级启动的预警信息，按上级要求汇总报送大气管控信息。</w:t>
            </w:r>
          </w:p>
          <w:p>
            <w:pPr>
              <w:numPr>
                <w:ilvl w:val="0"/>
                <w:numId w:val="1"/>
              </w:numPr>
              <w:jc w:val="left"/>
            </w:pPr>
            <w:r>
              <w:rPr>
                <w:b/>
                <w:color w:val="000000"/>
                <w:sz w:val="24"/>
              </w:rPr>
              <w:t>受理派遣员及视频数据处理员</w:t>
            </w:r>
            <w:r>
              <w:rPr>
                <w:b/>
                <w:color w:val="000000"/>
                <w:sz w:val="24"/>
              </w:rPr>
              <w:t>工作要求</w:t>
            </w:r>
          </w:p>
          <w:p>
            <w:pPr>
              <w:numPr>
                <w:ilvl w:val="1"/>
                <w:numId w:val="1"/>
              </w:numPr>
              <w:jc w:val="left"/>
            </w:pPr>
            <w:r>
              <w:rPr>
                <w:b/>
                <w:color w:val="000000"/>
                <w:sz w:val="24"/>
              </w:rPr>
              <w:t>通过数字城管视频监控系统，实时进度工地、城管</w:t>
            </w:r>
            <w:r>
              <w:rPr>
                <w:b/>
                <w:color w:val="000000"/>
                <w:sz w:val="24"/>
              </w:rPr>
              <w:t>“黑点”、环保污染源等重点区域；</w:t>
            </w:r>
          </w:p>
          <w:p>
            <w:pPr>
              <w:numPr>
                <w:ilvl w:val="1"/>
                <w:numId w:val="1"/>
              </w:numPr>
              <w:jc w:val="left"/>
            </w:pPr>
            <w:r>
              <w:rPr>
                <w:b/>
                <w:color w:val="000000"/>
                <w:sz w:val="24"/>
              </w:rPr>
              <w:t>针对违规、违法情况进行案件记录，并整理相关证据提交采购人；</w:t>
            </w:r>
          </w:p>
          <w:p>
            <w:pPr>
              <w:numPr>
                <w:ilvl w:val="1"/>
                <w:numId w:val="1"/>
              </w:numPr>
              <w:jc w:val="left"/>
            </w:pPr>
            <w:r>
              <w:rPr>
                <w:b/>
                <w:color w:val="000000"/>
                <w:sz w:val="24"/>
              </w:rPr>
              <w:t>协助采购人跟进相关案件处理事宜；</w:t>
            </w:r>
          </w:p>
          <w:p>
            <w:pPr>
              <w:numPr>
                <w:ilvl w:val="1"/>
                <w:numId w:val="1"/>
              </w:numPr>
              <w:jc w:val="left"/>
            </w:pPr>
            <w:r>
              <w:rPr>
                <w:b/>
                <w:color w:val="000000"/>
                <w:sz w:val="24"/>
              </w:rPr>
              <w:t>其他相关工作。</w:t>
            </w:r>
          </w:p>
          <w:p>
            <w:pPr>
              <w:jc w:val="both"/>
            </w:pPr>
            <w:r>
              <w:rPr>
                <w:b/>
                <w:color w:val="000000"/>
                <w:sz w:val="24"/>
              </w:rPr>
              <w:t>1</w:t>
            </w:r>
            <w:r>
              <w:rPr>
                <w:b/>
                <w:color w:val="000000"/>
                <w:sz w:val="24"/>
              </w:rPr>
              <w:t>2</w:t>
            </w:r>
            <w:r>
              <w:rPr>
                <w:b/>
                <w:color w:val="000000"/>
                <w:sz w:val="24"/>
              </w:rPr>
              <w:t>、监督指挥工作要求</w:t>
            </w:r>
          </w:p>
          <w:p>
            <w:pPr>
              <w:jc w:val="both"/>
            </w:pPr>
            <w:r>
              <w:rPr>
                <w:b/>
                <w:color w:val="000000"/>
                <w:sz w:val="24"/>
              </w:rPr>
              <w:t>1</w:t>
            </w:r>
            <w:r>
              <w:rPr>
                <w:b/>
                <w:color w:val="000000"/>
                <w:sz w:val="24"/>
              </w:rPr>
              <w:t>2</w:t>
            </w:r>
            <w:r>
              <w:rPr>
                <w:b/>
                <w:color w:val="000000"/>
                <w:sz w:val="24"/>
              </w:rPr>
              <w:t>.1</w:t>
            </w:r>
            <w:r>
              <w:rPr>
                <w:b/>
                <w:color w:val="000000"/>
                <w:sz w:val="24"/>
              </w:rPr>
              <w:t>、监督指挥工作内容要求</w:t>
            </w:r>
          </w:p>
          <w:p>
            <w:pPr>
              <w:ind w:firstLine="420"/>
              <w:jc w:val="left"/>
            </w:pPr>
            <w:r>
              <w:rPr>
                <w:color w:val="000000"/>
                <w:sz w:val="21"/>
              </w:rPr>
              <w:t>监督指挥涉及受理员、派遣员和值班长三种工作岗位，其中受理员负责接听、记录及整理各类投诉、问题、信息等。派遣员负责将受理员受理的各种城市管理案件分派给专业部门进行处理。值班长是监督指挥工作的主要负责人，负责对受理员、派遣员的监督管理，并负责与业主单位进行沟通，解决在受理派遣过程中遇到的各类城市管理问题。</w:t>
            </w:r>
          </w:p>
          <w:p>
            <w:pPr>
              <w:ind w:firstLine="420"/>
              <w:jc w:val="left"/>
            </w:pPr>
            <w:r>
              <w:rPr>
                <w:color w:val="000000"/>
                <w:sz w:val="21"/>
              </w:rPr>
              <w:t>（</w:t>
            </w:r>
            <w:r>
              <w:rPr>
                <w:color w:val="000000"/>
                <w:sz w:val="21"/>
              </w:rPr>
              <w:t>1）受理员工作内容如下（不仅限于此）：</w:t>
            </w:r>
          </w:p>
          <w:p>
            <w:pPr>
              <w:ind w:firstLine="420"/>
              <w:jc w:val="left"/>
            </w:pPr>
            <w:r>
              <w:rPr>
                <w:color w:val="000000"/>
                <w:sz w:val="21"/>
              </w:rPr>
              <w:t>1）接听社会公众来电及投诉热线；</w:t>
            </w:r>
          </w:p>
          <w:p>
            <w:pPr>
              <w:ind w:firstLine="420"/>
              <w:jc w:val="left"/>
            </w:pPr>
            <w:r>
              <w:rPr>
                <w:color w:val="000000"/>
                <w:sz w:val="21"/>
              </w:rPr>
              <w:t>2）接受各级领导及有关部门转来的城市管理问题，并做好登记；</w:t>
            </w:r>
          </w:p>
          <w:p>
            <w:pPr>
              <w:ind w:firstLine="420"/>
              <w:jc w:val="left"/>
            </w:pPr>
            <w:r>
              <w:rPr>
                <w:color w:val="000000"/>
                <w:sz w:val="21"/>
              </w:rPr>
              <w:t>3）接收信息采集员通过信息采集器上报的所有城市管理问题信息，并做好登记；</w:t>
            </w:r>
          </w:p>
          <w:p>
            <w:pPr>
              <w:ind w:firstLine="420"/>
              <w:jc w:val="left"/>
            </w:pPr>
            <w:r>
              <w:rPr>
                <w:color w:val="000000"/>
                <w:sz w:val="21"/>
              </w:rPr>
              <w:t>4）根据接收到的问题信息的性质进行分类，将跨区域跨部门的重大案件与其他案件区分开；</w:t>
            </w:r>
          </w:p>
          <w:p>
            <w:pPr>
              <w:ind w:firstLine="420"/>
              <w:jc w:val="left"/>
            </w:pPr>
            <w:r>
              <w:rPr>
                <w:color w:val="000000"/>
                <w:sz w:val="21"/>
              </w:rPr>
              <w:t>5）根据属地管理原则将非重大问题及时流转到相应的区数字城管监督指挥中心进行受理；</w:t>
            </w:r>
          </w:p>
          <w:p>
            <w:pPr>
              <w:ind w:firstLine="420"/>
              <w:jc w:val="left"/>
            </w:pPr>
            <w:r>
              <w:rPr>
                <w:color w:val="000000"/>
                <w:sz w:val="21"/>
              </w:rPr>
              <w:t>6）汇总整理街镇相关部门解决城市部件、事件问题的评价结果；</w:t>
            </w:r>
          </w:p>
          <w:p>
            <w:pPr>
              <w:ind w:firstLine="420"/>
              <w:jc w:val="left"/>
            </w:pPr>
            <w:r>
              <w:rPr>
                <w:color w:val="000000"/>
                <w:sz w:val="21"/>
              </w:rPr>
              <w:t>7）完成各级领导交办的其他事项。</w:t>
            </w:r>
          </w:p>
          <w:p>
            <w:pPr>
              <w:ind w:firstLine="420"/>
              <w:jc w:val="left"/>
            </w:pPr>
            <w:r>
              <w:rPr>
                <w:color w:val="000000"/>
                <w:sz w:val="21"/>
              </w:rPr>
              <w:t>（</w:t>
            </w:r>
            <w:r>
              <w:rPr>
                <w:color w:val="000000"/>
                <w:sz w:val="21"/>
              </w:rPr>
              <w:t>2）派遣员工作内容如下（不仅限于此）：</w:t>
            </w:r>
          </w:p>
          <w:p>
            <w:pPr>
              <w:ind w:firstLine="420"/>
              <w:jc w:val="left"/>
            </w:pPr>
            <w:r>
              <w:rPr>
                <w:color w:val="000000"/>
                <w:sz w:val="21"/>
              </w:rPr>
              <w:t>1）接收受理员流转来的城市管理案件信息；</w:t>
            </w:r>
          </w:p>
          <w:p>
            <w:pPr>
              <w:ind w:firstLine="420"/>
              <w:jc w:val="left"/>
            </w:pPr>
            <w:r>
              <w:rPr>
                <w:color w:val="000000"/>
                <w:sz w:val="21"/>
              </w:rPr>
              <w:t>2）对所有流转来的案件信息根据其性质进行判断分类，上报相应部门；</w:t>
            </w:r>
          </w:p>
          <w:p>
            <w:pPr>
              <w:ind w:firstLine="420"/>
              <w:jc w:val="left"/>
            </w:pPr>
            <w:r>
              <w:rPr>
                <w:color w:val="000000"/>
                <w:sz w:val="21"/>
              </w:rPr>
              <w:t>3）对非重大问题的案件信息按归属部门进行分类，并分派到各相关专业部门并进行监督办理；</w:t>
            </w:r>
          </w:p>
          <w:p>
            <w:pPr>
              <w:ind w:firstLine="420"/>
              <w:jc w:val="left"/>
            </w:pPr>
            <w:r>
              <w:rPr>
                <w:color w:val="000000"/>
                <w:sz w:val="21"/>
              </w:rPr>
              <w:t>4）接收专业部门发送的接受任务信息，并对该案件进行监督记时，对案件处理情况进行跟踪；</w:t>
            </w:r>
          </w:p>
          <w:p>
            <w:pPr>
              <w:ind w:firstLine="420"/>
              <w:jc w:val="left"/>
            </w:pPr>
            <w:r>
              <w:rPr>
                <w:color w:val="000000"/>
                <w:sz w:val="21"/>
              </w:rPr>
              <w:t>5）接受专业部门的问题处理反馈信息并进行登记，将信息反馈给监督指挥中心；</w:t>
            </w:r>
          </w:p>
          <w:p>
            <w:pPr>
              <w:ind w:firstLine="420"/>
              <w:jc w:val="left"/>
            </w:pPr>
            <w:r>
              <w:rPr>
                <w:color w:val="000000"/>
                <w:sz w:val="21"/>
              </w:rPr>
              <w:t>6）与专业部门就未处理好的重大问题案件的性质和情况进行协调，对由协调后流转过来的能解决的重大问题，监督专业部门进行办理，对不能有效解决的案件，及时上报上级部门；</w:t>
            </w:r>
          </w:p>
          <w:p>
            <w:pPr>
              <w:ind w:firstLine="420"/>
              <w:jc w:val="left"/>
            </w:pPr>
            <w:r>
              <w:rPr>
                <w:color w:val="000000"/>
                <w:sz w:val="21"/>
              </w:rPr>
              <w:t>7）对监督指挥中心反映的未处理好的案件进行审批，是否属于重大问题，进行具体的处理协调，对非重大问题案件进行监督跟踪；</w:t>
            </w:r>
          </w:p>
          <w:p>
            <w:pPr>
              <w:ind w:firstLine="420"/>
              <w:jc w:val="left"/>
            </w:pPr>
            <w:r>
              <w:rPr>
                <w:color w:val="000000"/>
                <w:sz w:val="21"/>
              </w:rPr>
              <w:t>8）完成各级领导交办的其他事项。</w:t>
            </w:r>
          </w:p>
          <w:p>
            <w:pPr>
              <w:ind w:firstLine="420"/>
              <w:jc w:val="left"/>
            </w:pPr>
            <w:r>
              <w:rPr>
                <w:color w:val="000000"/>
                <w:sz w:val="21"/>
              </w:rPr>
              <w:t>（</w:t>
            </w:r>
            <w:r>
              <w:rPr>
                <w:color w:val="000000"/>
                <w:sz w:val="21"/>
              </w:rPr>
              <w:t>3）组长工作内容如下（不仅限于此）</w:t>
            </w:r>
          </w:p>
          <w:p>
            <w:pPr>
              <w:ind w:firstLine="420"/>
              <w:jc w:val="left"/>
            </w:pPr>
            <w:r>
              <w:rPr>
                <w:color w:val="000000"/>
                <w:sz w:val="21"/>
              </w:rPr>
              <w:t>1）负责对受理员、派遣员进行考勤，填写好工作日志；</w:t>
            </w:r>
          </w:p>
          <w:p>
            <w:pPr>
              <w:ind w:firstLine="420"/>
              <w:jc w:val="left"/>
            </w:pPr>
            <w:r>
              <w:rPr>
                <w:color w:val="000000"/>
                <w:sz w:val="21"/>
              </w:rPr>
              <w:t>2）对受理员、派遣员解决不了的疑难问题或公众提出的具有代表性的问题，进行解答；对于要求进行回复的电话，根据处理的具体情况及时给予回复；</w:t>
            </w:r>
          </w:p>
          <w:p>
            <w:pPr>
              <w:ind w:firstLine="420"/>
              <w:jc w:val="left"/>
            </w:pPr>
            <w:r>
              <w:rPr>
                <w:color w:val="000000"/>
                <w:sz w:val="21"/>
              </w:rPr>
              <w:t>3）对由受理员流转过来并经信息采集员现场核实过的与公众反映情况不一致且不符合立案条件的案件进行注销；</w:t>
            </w:r>
          </w:p>
          <w:p>
            <w:pPr>
              <w:ind w:firstLine="420"/>
              <w:jc w:val="left"/>
            </w:pPr>
            <w:r>
              <w:rPr>
                <w:color w:val="000000"/>
                <w:sz w:val="21"/>
              </w:rPr>
              <w:t>4）发现城市管理部件信息更新情况不属实的，及时将信息反馈给相关职能（专业）部门，并责令其重做；</w:t>
            </w:r>
          </w:p>
          <w:p>
            <w:pPr>
              <w:ind w:firstLine="420"/>
              <w:jc w:val="left"/>
            </w:pPr>
            <w:r>
              <w:rPr>
                <w:color w:val="000000"/>
                <w:sz w:val="21"/>
              </w:rPr>
              <w:t>5）对核查结果与处理结果一致的案件进行结案；</w:t>
            </w:r>
          </w:p>
          <w:p>
            <w:pPr>
              <w:ind w:firstLine="420"/>
              <w:jc w:val="left"/>
            </w:pPr>
            <w:r>
              <w:rPr>
                <w:color w:val="000000"/>
                <w:sz w:val="21"/>
              </w:rPr>
              <w:t>6）完成领导交办的其他事项。</w:t>
            </w:r>
          </w:p>
          <w:p>
            <w:pPr>
              <w:ind w:firstLine="420"/>
              <w:jc w:val="left"/>
            </w:pPr>
            <w:r>
              <w:rPr>
                <w:color w:val="000000"/>
                <w:sz w:val="21"/>
              </w:rPr>
              <w:t>（</w:t>
            </w:r>
            <w:r>
              <w:rPr>
                <w:color w:val="000000"/>
                <w:sz w:val="21"/>
              </w:rPr>
              <w:t>4）值班长工作内容如下（不仅限于此）</w:t>
            </w:r>
          </w:p>
          <w:p>
            <w:pPr>
              <w:ind w:firstLine="420"/>
              <w:jc w:val="left"/>
            </w:pPr>
            <w:r>
              <w:rPr>
                <w:color w:val="000000"/>
                <w:sz w:val="21"/>
              </w:rPr>
              <w:t>1）负责对组长进行考勤，填写好工作日志；</w:t>
            </w:r>
          </w:p>
          <w:p>
            <w:pPr>
              <w:ind w:firstLine="420"/>
              <w:jc w:val="left"/>
            </w:pPr>
            <w:r>
              <w:rPr>
                <w:color w:val="000000"/>
                <w:sz w:val="21"/>
              </w:rPr>
              <w:t>2）对组长解决不了的疑难问题或公众提出的具有代表性的问题，进行解答；对于要求进行回复的电话，根据处理的具体情况及时给予回复；</w:t>
            </w:r>
          </w:p>
          <w:p>
            <w:pPr>
              <w:ind w:firstLine="420"/>
              <w:jc w:val="left"/>
            </w:pPr>
            <w:r>
              <w:rPr>
                <w:color w:val="000000"/>
                <w:sz w:val="21"/>
              </w:rPr>
              <w:t>3）发现城市管理部件信息更新情况不属实的，及时将信息反馈给相关职能（专业）部门，并责令其重做；</w:t>
            </w:r>
          </w:p>
          <w:p>
            <w:pPr>
              <w:ind w:firstLine="420"/>
              <w:jc w:val="left"/>
            </w:pPr>
            <w:r>
              <w:rPr>
                <w:color w:val="000000"/>
                <w:sz w:val="21"/>
              </w:rPr>
              <w:t>4）对上报的城市管理事件、部件问题进行立案审批；对由顺德区容桂环运城管局发现的问题，直接进行立案审批；判断案件是否紧急，将紧急案件交有关应急部门进行处理，将非紧急案件交派遣人员处理；</w:t>
            </w:r>
          </w:p>
          <w:p>
            <w:pPr>
              <w:ind w:firstLine="420"/>
              <w:jc w:val="left"/>
            </w:pPr>
            <w:r>
              <w:rPr>
                <w:color w:val="000000"/>
                <w:sz w:val="21"/>
              </w:rPr>
              <w:t>5）对核查结果与处理结果一致的案件进行结案；</w:t>
            </w:r>
          </w:p>
          <w:p>
            <w:pPr>
              <w:ind w:firstLine="420"/>
              <w:jc w:val="left"/>
            </w:pPr>
            <w:r>
              <w:rPr>
                <w:color w:val="000000"/>
                <w:sz w:val="21"/>
              </w:rPr>
              <w:t>6）完成领导交办的其他事项。</w:t>
            </w:r>
          </w:p>
          <w:p>
            <w:pPr>
              <w:ind w:firstLine="420"/>
              <w:jc w:val="left"/>
            </w:pPr>
            <w:r>
              <w:rPr>
                <w:color w:val="000000"/>
                <w:sz w:val="21"/>
              </w:rPr>
              <w:t>（</w:t>
            </w:r>
            <w:r>
              <w:rPr>
                <w:color w:val="000000"/>
                <w:sz w:val="21"/>
              </w:rPr>
              <w:t>5）美城考评员工作要求（不仅限于此）：</w:t>
            </w:r>
          </w:p>
          <w:p>
            <w:pPr>
              <w:ind w:firstLine="420"/>
              <w:jc w:val="left"/>
            </w:pPr>
            <w:r>
              <w:rPr>
                <w:color w:val="000000"/>
                <w:sz w:val="21"/>
              </w:rPr>
              <w:t>每天进行手动导入案件、案件预处理、处理村居</w:t>
            </w:r>
            <w:r>
              <w:rPr>
                <w:color w:val="000000"/>
                <w:sz w:val="21"/>
              </w:rPr>
              <w:t>/部门反馈意见。</w:t>
            </w:r>
          </w:p>
          <w:p>
            <w:pPr>
              <w:ind w:firstLine="420"/>
              <w:jc w:val="left"/>
            </w:pPr>
            <w:r>
              <w:rPr>
                <w:color w:val="000000"/>
                <w:sz w:val="21"/>
              </w:rPr>
              <w:t>1）手动导入案件</w:t>
            </w:r>
          </w:p>
          <w:p>
            <w:pPr>
              <w:ind w:firstLine="420"/>
              <w:jc w:val="left"/>
            </w:pPr>
            <w:r>
              <w:rPr>
                <w:color w:val="000000"/>
                <w:sz w:val="21"/>
              </w:rPr>
              <w:t>将顺德区</w:t>
            </w:r>
            <w:r>
              <w:rPr>
                <w:color w:val="000000"/>
                <w:sz w:val="21"/>
              </w:rPr>
              <w:t>“美城行动”中容桂的扣分问题，手动导入容桂街道美城考评系统，以便做进一步的案件预处理工作、下派村居、统计排名等工作。</w:t>
            </w:r>
          </w:p>
          <w:p>
            <w:pPr>
              <w:ind w:firstLine="420"/>
              <w:jc w:val="left"/>
            </w:pPr>
            <w:r>
              <w:rPr>
                <w:color w:val="000000"/>
                <w:sz w:val="21"/>
              </w:rPr>
              <w:t>2）案件预处理</w:t>
            </w:r>
          </w:p>
          <w:p>
            <w:pPr>
              <w:ind w:firstLine="420"/>
              <w:jc w:val="left"/>
            </w:pPr>
            <w:r>
              <w:rPr>
                <w:color w:val="000000"/>
                <w:sz w:val="21"/>
              </w:rPr>
              <w:t>查看案件发生位置、案件图片、案件描述等信息，根据预订的规则加上自己的经验，判断该案件是否属于村居案件，属于哪个村居，哪个责任部门，哪个股室网格等信息。确认无误之后，将案件转交给村居、部门负责人的帐号。</w:t>
            </w:r>
          </w:p>
          <w:p>
            <w:pPr>
              <w:ind w:firstLine="420"/>
              <w:jc w:val="left"/>
            </w:pPr>
            <w:r>
              <w:rPr>
                <w:color w:val="000000"/>
                <w:sz w:val="21"/>
              </w:rPr>
              <w:t>3）处理村居、部门反馈意见</w:t>
            </w:r>
          </w:p>
          <w:p>
            <w:pPr>
              <w:ind w:firstLine="420"/>
              <w:jc w:val="left"/>
            </w:pPr>
            <w:r>
              <w:rPr>
                <w:color w:val="000000"/>
                <w:sz w:val="21"/>
              </w:rPr>
              <w:t>案件转交给村居、部门，在规定反馈时间到期之后，要及时查看案件反馈。如果案件不存在异议，则归档计分；如果有异议，则按照反馈意见视情况处理。并且每周、每月向采购人提交容桂街道美城考评分析报告。</w:t>
            </w:r>
          </w:p>
          <w:p>
            <w:pPr>
              <w:ind w:firstLine="420"/>
              <w:jc w:val="left"/>
            </w:pPr>
            <w:r>
              <w:rPr>
                <w:color w:val="000000"/>
                <w:sz w:val="21"/>
              </w:rPr>
              <w:t>4）其他相关工作</w:t>
            </w:r>
          </w:p>
          <w:p>
            <w:pPr>
              <w:ind w:firstLine="420"/>
              <w:jc w:val="left"/>
            </w:pPr>
            <w:r>
              <w:rPr>
                <w:color w:val="000000"/>
                <w:sz w:val="21"/>
              </w:rPr>
              <w:t>其他相关的运营工作根据采购人实际情况进行安排。</w:t>
            </w:r>
          </w:p>
          <w:p>
            <w:pPr>
              <w:jc w:val="both"/>
            </w:pPr>
            <w:r>
              <w:rPr>
                <w:b/>
                <w:color w:val="000000"/>
                <w:sz w:val="24"/>
              </w:rPr>
              <w:t>1</w:t>
            </w:r>
            <w:r>
              <w:rPr>
                <w:b/>
                <w:color w:val="000000"/>
                <w:sz w:val="24"/>
              </w:rPr>
              <w:t>2</w:t>
            </w:r>
            <w:r>
              <w:rPr>
                <w:b/>
                <w:color w:val="000000"/>
                <w:sz w:val="24"/>
              </w:rPr>
              <w:t>.2</w:t>
            </w:r>
            <w:r>
              <w:rPr>
                <w:b/>
                <w:color w:val="000000"/>
                <w:sz w:val="24"/>
              </w:rPr>
              <w:t>、工作时间要求：</w:t>
            </w:r>
          </w:p>
          <w:p>
            <w:pPr>
              <w:ind w:firstLine="420"/>
              <w:jc w:val="left"/>
            </w:pPr>
            <w:r>
              <w:rPr>
                <w:color w:val="000000"/>
                <w:sz w:val="21"/>
              </w:rPr>
              <w:t>工作时间应与数字城管运行时间同步，工作时间为</w:t>
            </w:r>
            <w:r>
              <w:rPr>
                <w:color w:val="000000"/>
                <w:sz w:val="21"/>
              </w:rPr>
              <w:t>8：30－17：30，并要结合容桂街道的工作要求安排节假日值班及调整工作时间等。如采购人工作需要，上述运营服务人员可进行 24小时轮班工作制。遇防汛、抗雷、防灾等特殊时间，需延长工作时间，中标人应无条件服从。</w:t>
            </w:r>
          </w:p>
          <w:p>
            <w:pPr>
              <w:jc w:val="both"/>
            </w:pPr>
            <w:r>
              <w:rPr>
                <w:b/>
                <w:color w:val="000000"/>
                <w:sz w:val="24"/>
              </w:rPr>
              <w:t>1</w:t>
            </w:r>
            <w:r>
              <w:rPr>
                <w:b/>
                <w:color w:val="000000"/>
                <w:sz w:val="24"/>
              </w:rPr>
              <w:t>3</w:t>
            </w:r>
            <w:r>
              <w:rPr>
                <w:b/>
                <w:color w:val="000000"/>
                <w:sz w:val="24"/>
              </w:rPr>
              <w:t>、数字城管装备要求</w:t>
            </w:r>
          </w:p>
          <w:p>
            <w:pPr>
              <w:jc w:val="both"/>
            </w:pPr>
            <w:r>
              <w:rPr>
                <w:b/>
                <w:color w:val="000000"/>
                <w:sz w:val="24"/>
              </w:rPr>
              <w:t>1</w:t>
            </w:r>
            <w:r>
              <w:rPr>
                <w:b/>
                <w:color w:val="000000"/>
                <w:sz w:val="24"/>
              </w:rPr>
              <w:t>3</w:t>
            </w:r>
            <w:r>
              <w:rPr>
                <w:b/>
                <w:color w:val="000000"/>
                <w:sz w:val="24"/>
              </w:rPr>
              <w:t>.1</w:t>
            </w:r>
            <w:r>
              <w:rPr>
                <w:b/>
                <w:color w:val="000000"/>
                <w:sz w:val="24"/>
              </w:rPr>
              <w:t>、信息采集器管理要求</w:t>
            </w:r>
          </w:p>
          <w:p>
            <w:pPr>
              <w:ind w:firstLine="420"/>
              <w:jc w:val="left"/>
            </w:pPr>
            <w:r>
              <w:rPr>
                <w:color w:val="000000"/>
                <w:sz w:val="21"/>
              </w:rPr>
              <w:t>1）对于信息采集人员，信息采集器为“城管通” （城管手机）；</w:t>
            </w:r>
          </w:p>
          <w:p>
            <w:pPr>
              <w:ind w:firstLine="420"/>
              <w:jc w:val="left"/>
            </w:pPr>
            <w:r>
              <w:rPr>
                <w:color w:val="000000"/>
                <w:sz w:val="21"/>
              </w:rPr>
              <w:t>2）社会化运营人员所需的采集器（城管手机）由中标人按人员配置及工作区域的实际情况足额提供，并保证功能正常使用；月租、维修费等费用中标人承担。</w:t>
            </w:r>
          </w:p>
          <w:p>
            <w:pPr>
              <w:ind w:firstLine="420"/>
              <w:jc w:val="left"/>
            </w:pPr>
            <w:r>
              <w:rPr>
                <w:color w:val="000000"/>
                <w:sz w:val="21"/>
              </w:rPr>
              <w:t>3）中标人应加强信息采集器的日常管理，必须按照实名制登记使用，落实专人负责管理，同时要制定信息采集器管理使用制度，保障信息采集器正常的使用。</w:t>
            </w:r>
          </w:p>
          <w:p>
            <w:pPr>
              <w:jc w:val="both"/>
            </w:pPr>
            <w:r>
              <w:rPr>
                <w:b/>
                <w:color w:val="000000"/>
                <w:sz w:val="24"/>
              </w:rPr>
              <w:t>1</w:t>
            </w:r>
            <w:r>
              <w:rPr>
                <w:b/>
                <w:color w:val="000000"/>
                <w:sz w:val="24"/>
              </w:rPr>
              <w:t>3</w:t>
            </w:r>
            <w:r>
              <w:rPr>
                <w:b/>
                <w:color w:val="000000"/>
                <w:sz w:val="24"/>
              </w:rPr>
              <w:t>.2</w:t>
            </w:r>
            <w:r>
              <w:rPr>
                <w:b/>
                <w:color w:val="000000"/>
                <w:sz w:val="24"/>
              </w:rPr>
              <w:t>、</w:t>
            </w:r>
            <w:r>
              <w:rPr>
                <w:b/>
                <w:sz w:val="28"/>
              </w:rPr>
              <w:t xml:space="preserve"> </w:t>
            </w:r>
            <w:r>
              <w:rPr>
                <w:b/>
                <w:color w:val="000000"/>
                <w:sz w:val="24"/>
              </w:rPr>
              <w:t>外业社会化运营人员装备</w:t>
            </w:r>
          </w:p>
          <w:p>
            <w:pPr>
              <w:ind w:firstLine="420"/>
              <w:jc w:val="left"/>
            </w:pPr>
            <w:r>
              <w:rPr>
                <w:color w:val="000000"/>
                <w:sz w:val="21"/>
              </w:rPr>
              <w:t>外业社会化运营人员（信息采集员、信息监督员）工作时每人需配备信息采集器（城管手机）一部，。另外还须配备雨衣、工作背包、工作手册、笔、手电、卷尺、水壶等。</w:t>
            </w:r>
          </w:p>
          <w:p>
            <w:pPr>
              <w:jc w:val="both"/>
            </w:pPr>
            <w:r>
              <w:rPr>
                <w:b/>
                <w:color w:val="000000"/>
                <w:sz w:val="24"/>
              </w:rPr>
              <w:t>1</w:t>
            </w:r>
            <w:r>
              <w:rPr>
                <w:b/>
                <w:color w:val="000000"/>
                <w:sz w:val="24"/>
              </w:rPr>
              <w:t>3</w:t>
            </w:r>
            <w:r>
              <w:rPr>
                <w:b/>
                <w:color w:val="000000"/>
                <w:sz w:val="24"/>
              </w:rPr>
              <w:t>.3</w:t>
            </w:r>
            <w:r>
              <w:rPr>
                <w:b/>
                <w:color w:val="000000"/>
                <w:sz w:val="24"/>
              </w:rPr>
              <w:t>交通装备</w:t>
            </w:r>
          </w:p>
          <w:p>
            <w:pPr>
              <w:ind w:firstLine="420"/>
              <w:jc w:val="left"/>
            </w:pPr>
            <w:r>
              <w:rPr>
                <w:color w:val="000000"/>
                <w:sz w:val="21"/>
              </w:rPr>
              <w:t>中标人租赁或购置（自有或全新购置须登记在中标人或其法定代表人名下，租赁须以中标人名义签署租赁协议）不少于</w:t>
            </w:r>
            <w:r>
              <w:rPr>
                <w:color w:val="000000"/>
                <w:sz w:val="21"/>
              </w:rPr>
              <w:t>1台五座或五座以上小汽车，作为村居考评、美城巡查、大气污染（扬尘）防治巡查工作等特殊路段的巡查所需的交通工具，并自行负责相关的租赁、保险、保养、维修、加油、作业停车等费用。</w:t>
            </w:r>
          </w:p>
          <w:p>
            <w:pPr>
              <w:ind w:firstLine="420"/>
              <w:jc w:val="left"/>
            </w:pPr>
            <w:r>
              <w:rPr>
                <w:color w:val="000000"/>
                <w:sz w:val="21"/>
              </w:rPr>
              <w:t>社会化运营人员工作时，中标人可提供机动车交通工具、自行车或安排搭乘公共交通工具。中标人应充分考虑远距离作业的交通问题。</w:t>
            </w:r>
          </w:p>
          <w:p>
            <w:pPr>
              <w:jc w:val="both"/>
            </w:pPr>
            <w:r>
              <w:rPr>
                <w:b/>
                <w:color w:val="000000"/>
                <w:sz w:val="24"/>
              </w:rPr>
              <w:t>1</w:t>
            </w:r>
            <w:r>
              <w:rPr>
                <w:b/>
                <w:color w:val="000000"/>
                <w:sz w:val="24"/>
              </w:rPr>
              <w:t>3</w:t>
            </w:r>
            <w:r>
              <w:rPr>
                <w:b/>
                <w:color w:val="000000"/>
                <w:sz w:val="24"/>
              </w:rPr>
              <w:t>.</w:t>
            </w:r>
            <w:r>
              <w:rPr>
                <w:b/>
                <w:color w:val="000000"/>
                <w:sz w:val="24"/>
              </w:rPr>
              <w:t>4</w:t>
            </w:r>
            <w:r>
              <w:rPr>
                <w:b/>
                <w:color w:val="000000"/>
                <w:sz w:val="24"/>
              </w:rPr>
              <w:t>、 办公</w:t>
            </w:r>
            <w:r>
              <w:rPr>
                <w:b/>
                <w:color w:val="000000"/>
                <w:sz w:val="24"/>
              </w:rPr>
              <w:t>装备</w:t>
            </w:r>
          </w:p>
          <w:p>
            <w:pPr>
              <w:ind w:firstLine="420"/>
              <w:jc w:val="left"/>
            </w:pPr>
            <w:r>
              <w:rPr>
                <w:color w:val="000000"/>
                <w:sz w:val="21"/>
              </w:rPr>
              <w:t>根据服务要求配备相应的办公设备（如电脑、打印机、办公文具等）并做好办公设备的日常维护，以保证各项工作的顺利开展。</w:t>
            </w:r>
          </w:p>
          <w:p>
            <w:pPr>
              <w:jc w:val="both"/>
            </w:pPr>
            <w:r>
              <w:rPr>
                <w:b/>
                <w:color w:val="000000"/>
                <w:sz w:val="24"/>
              </w:rPr>
              <w:t>1</w:t>
            </w:r>
            <w:r>
              <w:rPr>
                <w:b/>
                <w:color w:val="000000"/>
                <w:sz w:val="24"/>
              </w:rPr>
              <w:t>4</w:t>
            </w:r>
            <w:r>
              <w:rPr>
                <w:b/>
                <w:color w:val="000000"/>
                <w:sz w:val="24"/>
              </w:rPr>
              <w:t>、服务质量考核要求</w:t>
            </w:r>
          </w:p>
          <w:p>
            <w:pPr>
              <w:jc w:val="both"/>
            </w:pPr>
            <w:r>
              <w:rPr>
                <w:b/>
                <w:color w:val="000000"/>
                <w:sz w:val="24"/>
              </w:rPr>
              <w:t>1</w:t>
            </w:r>
            <w:r>
              <w:rPr>
                <w:b/>
                <w:color w:val="000000"/>
                <w:sz w:val="24"/>
              </w:rPr>
              <w:t>4</w:t>
            </w:r>
            <w:r>
              <w:rPr>
                <w:b/>
                <w:color w:val="000000"/>
                <w:sz w:val="24"/>
              </w:rPr>
              <w:t>.1</w:t>
            </w:r>
            <w:r>
              <w:rPr>
                <w:b/>
                <w:color w:val="000000"/>
                <w:sz w:val="24"/>
              </w:rPr>
              <w:t>、基本要求：</w:t>
            </w:r>
          </w:p>
          <w:p>
            <w:pPr>
              <w:ind w:firstLine="420"/>
              <w:jc w:val="left"/>
            </w:pPr>
            <w:r>
              <w:rPr>
                <w:color w:val="000000"/>
                <w:sz w:val="21"/>
              </w:rPr>
              <w:t>为保证</w:t>
            </w:r>
            <w:r>
              <w:rPr>
                <w:color w:val="000000"/>
                <w:sz w:val="21"/>
              </w:rPr>
              <w:t>“数字城管”社会化运营能在公平、公正、公开的环境下执行，中标人必须严格按照采购文件及采购人制定的监管方案要求接受采购人、采购人主管单位、社会公众、媒体的全面监督，基本要求如下：</w:t>
            </w:r>
          </w:p>
          <w:p>
            <w:pPr>
              <w:ind w:firstLine="420"/>
              <w:jc w:val="left"/>
            </w:pPr>
            <w:r>
              <w:rPr>
                <w:color w:val="000000"/>
                <w:sz w:val="21"/>
              </w:rPr>
              <w:t>（</w:t>
            </w:r>
            <w:r>
              <w:rPr>
                <w:color w:val="000000"/>
                <w:sz w:val="21"/>
              </w:rPr>
              <w:t>1）中标人须建立综合及专项工作报告制度，定期书面向采购人主管单位汇报社会化运营工作，提交《工作情况及改进报告》，如实按主管单位要求提交人员信息、员工培训、员工考核、工资发放、设备器材维护等管理情况，接受采购人主管单位的工作指导，按主管单位要求按期如实报告考评情况，并落实本行业其它相关工作；</w:t>
            </w:r>
          </w:p>
          <w:p>
            <w:pPr>
              <w:ind w:firstLine="420"/>
              <w:jc w:val="left"/>
            </w:pPr>
            <w:r>
              <w:rPr>
                <w:color w:val="000000"/>
                <w:sz w:val="21"/>
              </w:rPr>
              <w:t>（</w:t>
            </w:r>
            <w:r>
              <w:rPr>
                <w:color w:val="000000"/>
                <w:sz w:val="21"/>
              </w:rPr>
              <w:t>2）制定《社会化运营服务质量考核标准》，采购人通过明查及暗查方式，按照考核标准对中标人的服务质量进行考核。考核采用扣分制，考核分数与按季度发放的社会化运营服务费挂钩，如服务质量低下，则核减该季度服务费；</w:t>
            </w:r>
          </w:p>
          <w:p>
            <w:pPr>
              <w:ind w:firstLine="420"/>
              <w:jc w:val="left"/>
            </w:pPr>
            <w:r>
              <w:rPr>
                <w:color w:val="000000"/>
                <w:sz w:val="21"/>
              </w:rPr>
              <w:t>（</w:t>
            </w:r>
            <w:r>
              <w:rPr>
                <w:color w:val="000000"/>
                <w:sz w:val="21"/>
              </w:rPr>
              <w:t>3）制定《考评舞弊行为处罚规定》，在对中标人的日常监管中，如发现中标人在考评中舞弊，经核实后，按照相关处罚条款进行处罚，中标人须无条件服从。</w:t>
            </w:r>
          </w:p>
          <w:p>
            <w:pPr>
              <w:jc w:val="both"/>
            </w:pPr>
            <w:r>
              <w:rPr>
                <w:b/>
                <w:color w:val="000000"/>
                <w:sz w:val="24"/>
              </w:rPr>
              <w:t>1</w:t>
            </w:r>
            <w:r>
              <w:rPr>
                <w:b/>
                <w:color w:val="000000"/>
                <w:sz w:val="24"/>
              </w:rPr>
              <w:t>4</w:t>
            </w:r>
            <w:r>
              <w:rPr>
                <w:b/>
                <w:color w:val="000000"/>
                <w:sz w:val="24"/>
              </w:rPr>
              <w:t>.2</w:t>
            </w:r>
            <w:r>
              <w:rPr>
                <w:b/>
                <w:color w:val="000000"/>
                <w:sz w:val="24"/>
              </w:rPr>
              <w:t>、服务质量考核方法：</w:t>
            </w:r>
          </w:p>
          <w:p>
            <w:pPr>
              <w:ind w:firstLine="420"/>
              <w:jc w:val="left"/>
            </w:pPr>
            <w:r>
              <w:rPr>
                <w:color w:val="000000"/>
                <w:sz w:val="21"/>
              </w:rPr>
              <w:t>（</w:t>
            </w:r>
            <w:r>
              <w:rPr>
                <w:color w:val="000000"/>
                <w:sz w:val="21"/>
              </w:rPr>
              <w:t>1）检查考评监督机构：</w:t>
            </w:r>
          </w:p>
          <w:p>
            <w:pPr>
              <w:ind w:firstLine="420"/>
              <w:jc w:val="left"/>
            </w:pPr>
            <w:r>
              <w:rPr>
                <w:color w:val="000000"/>
                <w:sz w:val="21"/>
              </w:rPr>
              <w:t>由采购方有关人员组成考评监督小组。</w:t>
            </w:r>
          </w:p>
          <w:p>
            <w:pPr>
              <w:ind w:firstLine="420"/>
              <w:jc w:val="left"/>
            </w:pPr>
            <w:r>
              <w:rPr>
                <w:color w:val="000000"/>
                <w:sz w:val="21"/>
              </w:rPr>
              <w:t>（</w:t>
            </w:r>
            <w:r>
              <w:rPr>
                <w:color w:val="000000"/>
                <w:sz w:val="21"/>
              </w:rPr>
              <w:t>2）检查考评方法及方式：</w:t>
            </w:r>
          </w:p>
          <w:p>
            <w:pPr>
              <w:ind w:firstLine="420"/>
              <w:jc w:val="left"/>
            </w:pPr>
            <w:r>
              <w:rPr>
                <w:color w:val="000000"/>
                <w:sz w:val="21"/>
              </w:rPr>
              <w:t>检查考核采取不定期、不定次随机检查、抽样检查与普查相结合的办法。检查考核的结果作为对数字化城市管理监督指挥中心质量评价、服务费用发放的依据。</w:t>
            </w:r>
          </w:p>
          <w:p>
            <w:pPr>
              <w:ind w:firstLine="420"/>
              <w:jc w:val="left"/>
            </w:pPr>
            <w:r>
              <w:rPr>
                <w:color w:val="000000"/>
                <w:sz w:val="21"/>
              </w:rPr>
              <w:t>检查程序：现场检查</w:t>
            </w:r>
            <w:r>
              <w:rPr>
                <w:color w:val="000000"/>
                <w:sz w:val="21"/>
              </w:rPr>
              <w:t>——数据比对——扣罚通知——公布结果。</w:t>
            </w:r>
          </w:p>
          <w:p>
            <w:pPr>
              <w:ind w:firstLine="420"/>
              <w:jc w:val="left"/>
            </w:pPr>
            <w:r>
              <w:rPr>
                <w:color w:val="000000"/>
                <w:sz w:val="21"/>
              </w:rPr>
              <w:t>（</w:t>
            </w:r>
            <w:r>
              <w:rPr>
                <w:color w:val="000000"/>
                <w:sz w:val="21"/>
              </w:rPr>
              <w:t>3）考评采用月度检查、季度、年度检查相结合的方式</w:t>
            </w:r>
          </w:p>
          <w:p>
            <w:pPr>
              <w:ind w:firstLine="420"/>
              <w:jc w:val="left"/>
            </w:pPr>
            <w:r>
              <w:rPr>
                <w:color w:val="000000"/>
                <w:sz w:val="21"/>
              </w:rPr>
              <w:t>①月度考核：考核小组每月进行不定期检查，采用累积扣分制，总分100分；即每月得分=100-本月累积总扣分，每扣1分在当月服务费用扣1000元，扣分不设上限。若当月，街道数字城管成绩在全区排名第一至五名的，当月月度考核扣罚可减免；若当月，街道数字城管成绩在全区第六名至第七名的（含第六名），根据月度考核得分进行扣罚，不额外增加排名扣罚；若当月，街道数字城管成绩在全区排名低于第七名（不含第七名），每递减一名次，在月度考核得分扣罚的基础上额外增加扣罚10000元/名次，举例：2019年1月份街道数字城管排名第七，则1月份月度考核在每月得分扣罚的基础上，再扣10000元；2月份街道数字城管排名第八，则2月份月度考核在每月得分扣罚的基础上，再扣20000元，以此类推。</w:t>
            </w:r>
          </w:p>
          <w:p>
            <w:pPr>
              <w:ind w:firstLine="420"/>
              <w:jc w:val="left"/>
            </w:pPr>
            <w:r>
              <w:rPr>
                <w:color w:val="000000"/>
                <w:sz w:val="21"/>
              </w:rPr>
              <w:t>②季度考核：季度考核成绩等于本季度内三个月的平均月度成绩，总100分，以90分为基准线，得分高于基准分90分（含90分）的，不进行扣罚；得分低于基准分90分的，每少1分将扣罚当季服务费10000元，不足1分的按1分计，扣分不设上限。</w:t>
            </w:r>
          </w:p>
          <w:p>
            <w:pPr>
              <w:ind w:firstLine="420"/>
              <w:jc w:val="left"/>
            </w:pPr>
            <w:r>
              <w:rPr>
                <w:color w:val="000000"/>
                <w:sz w:val="21"/>
              </w:rPr>
              <w:t>（</w:t>
            </w:r>
            <w:r>
              <w:rPr>
                <w:color w:val="000000"/>
                <w:sz w:val="21"/>
              </w:rPr>
              <w:t>4）月考核分低于80分（不含80分），考评为不合格。一年服务期内，中标人出现累计3个月考评不合格(80分以下)或连续3个月90分以下，或者采购人发现中标人与被考评对象勾结舞弊作假现象，其情节严重并造成严重后果的，则采购人有权无条件终止和解除服务合同，没收履约保证金，一切经济和法律责任由服务方承担。</w:t>
            </w:r>
          </w:p>
          <w:p>
            <w:pPr>
              <w:ind w:firstLine="420"/>
              <w:jc w:val="left"/>
            </w:pPr>
            <w:r>
              <w:rPr>
                <w:color w:val="000000"/>
                <w:sz w:val="21"/>
              </w:rPr>
              <w:t>将总合同金额提取</w:t>
            </w:r>
            <w:r>
              <w:rPr>
                <w:color w:val="000000"/>
                <w:sz w:val="21"/>
              </w:rPr>
              <w:t>10%用作年尾绩效考评金额。顺德区美城行动年度平均考评在全区排名第一至五名的，年度绩效可全额发放；若顺德区美城行动年度平均成绩在全区第六名至第七名的（含第六名），根据年度考核得分进行扣罚，每递减一名次，扣罚10000元/名次；若顺德区美城行动年度平均成绩在全区排名低于第七名（不含第七名），年度绩效不予发放。</w:t>
            </w:r>
          </w:p>
          <w:p>
            <w:pPr>
              <w:ind w:firstLine="420"/>
              <w:jc w:val="left"/>
            </w:pPr>
            <w:r>
              <w:rPr>
                <w:color w:val="000000"/>
                <w:sz w:val="21"/>
              </w:rPr>
              <w:t>（</w:t>
            </w:r>
            <w:r>
              <w:rPr>
                <w:color w:val="000000"/>
                <w:sz w:val="21"/>
              </w:rPr>
              <w:t>5）薪酬待遇考核：采购人有权对本项目服务人员实际获得中标人发放薪酬待遇的情况进行监督和核查，若发现中标人提供虚假薪酬待遇证明材料的，或发现本项目服务人员的薪酬待遇低于承诺的薪酬待遇，或无为服务人员购买社保的，按所涉及的人员数量以每人每月5000.00元的标准扣罚中标人当月的服务费。</w:t>
            </w:r>
          </w:p>
          <w:p>
            <w:pPr>
              <w:ind w:firstLine="420"/>
              <w:jc w:val="left"/>
            </w:pPr>
            <w:r>
              <w:rPr>
                <w:color w:val="000000"/>
                <w:sz w:val="21"/>
              </w:rPr>
              <w:t>注：本项目服务人员的工资需在当月的下个月</w:t>
            </w:r>
            <w:r>
              <w:rPr>
                <w:color w:val="000000"/>
                <w:sz w:val="21"/>
              </w:rPr>
              <w:t>15号前足额发放，并将委托银行发放服务人员工资的清单原件（须盖发放银行印章）、服务人员工资签收确认单原件、购买社保费用单据原件及前述单据复印件（需加盖中标人公章）报送至采购人审核，审核后单据原件退还中标人，单据复印件由采购人保存。未按要求报送上述单据的，中标人当月的服务费暂不支付。</w:t>
            </w:r>
          </w:p>
          <w:p>
            <w:pPr>
              <w:jc w:val="both"/>
            </w:pPr>
            <w:r>
              <w:rPr>
                <w:b/>
                <w:color w:val="000000"/>
                <w:sz w:val="24"/>
              </w:rPr>
              <w:t>1</w:t>
            </w:r>
            <w:r>
              <w:rPr>
                <w:b/>
                <w:color w:val="000000"/>
                <w:sz w:val="24"/>
              </w:rPr>
              <w:t>4</w:t>
            </w:r>
            <w:r>
              <w:rPr>
                <w:b/>
                <w:color w:val="000000"/>
                <w:sz w:val="24"/>
              </w:rPr>
              <w:t>.3</w:t>
            </w:r>
            <w:r>
              <w:rPr>
                <w:b/>
                <w:color w:val="000000"/>
                <w:sz w:val="24"/>
              </w:rPr>
              <w:t>、容桂街道数字城管运营项目考核标准：</w:t>
            </w:r>
          </w:p>
          <w:tbl>
            <w:tblPr>
              <w:tblInd w:type="dxa" w:w="90"/>
              <w:tblBorders>
                <w:top w:val="none" w:color="000000" w:sz="4"/>
                <w:left w:val="none" w:color="000000" w:sz="4"/>
                <w:bottom w:val="none" w:color="000000" w:sz="4"/>
                <w:right w:val="none" w:color="000000" w:sz="4"/>
                <w:insideH w:val="none"/>
                <w:insideV w:val="none"/>
              </w:tblBorders>
            </w:tblPr>
            <w:tblGrid>
              <w:gridCol w:w="192"/>
              <w:gridCol w:w="392"/>
              <w:gridCol w:w="575"/>
              <w:gridCol w:w="584"/>
              <w:gridCol w:w="3139"/>
              <w:gridCol w:w="715"/>
            </w:tblGrid>
            <w:tr>
              <w:tc>
                <w:tcPr>
                  <w:tcW w:type="dxa" w:w="192"/>
                  <w:tcBorders>
                    <w:top w:val="single" w:color="000000" w:sz="8"/>
                    <w:left w:val="single" w:color="000000" w:sz="8"/>
                    <w:bottom w:val="single" w:color="000000" w:sz="4"/>
                    <w:right w:val="single" w:color="000000" w:sz="4"/>
                  </w:tcBorders>
                  <w:vAlign w:val="top"/>
                </w:tcPr>
                <w:p>
                  <w:pPr>
                    <w:jc w:val="center"/>
                  </w:pPr>
                  <w:r>
                    <w:rPr>
                      <w:b/>
                      <w:color w:val="000000"/>
                      <w:sz w:val="21"/>
                    </w:rPr>
                    <w:t>序号</w:t>
                  </w:r>
                </w:p>
              </w:tc>
              <w:tc>
                <w:tcPr>
                  <w:tcW w:type="dxa" w:w="392"/>
                  <w:tcBorders>
                    <w:top w:val="single" w:color="000000" w:sz="8"/>
                    <w:left w:val="none" w:color="000000" w:sz="4"/>
                    <w:bottom w:val="single" w:color="000000" w:sz="4"/>
                    <w:right w:val="single" w:color="000000" w:sz="4"/>
                  </w:tcBorders>
                  <w:vAlign w:val="top"/>
                </w:tcPr>
                <w:p>
                  <w:pPr>
                    <w:jc w:val="center"/>
                  </w:pPr>
                  <w:r>
                    <w:rPr>
                      <w:b/>
                      <w:color w:val="000000"/>
                      <w:sz w:val="21"/>
                    </w:rPr>
                    <w:t>考评分类</w:t>
                  </w:r>
                </w:p>
              </w:tc>
              <w:tc>
                <w:tcPr>
                  <w:tcW w:type="dxa" w:w="575"/>
                  <w:tcBorders>
                    <w:top w:val="single" w:color="000000" w:sz="8"/>
                    <w:left w:val="none" w:color="000000" w:sz="4"/>
                    <w:bottom w:val="single" w:color="000000" w:sz="4"/>
                    <w:right w:val="single" w:color="000000" w:sz="4"/>
                  </w:tcBorders>
                  <w:vAlign w:val="top"/>
                </w:tcPr>
                <w:p>
                  <w:pPr>
                    <w:jc w:val="center"/>
                  </w:pPr>
                  <w:r>
                    <w:rPr>
                      <w:b/>
                      <w:color w:val="000000"/>
                      <w:sz w:val="21"/>
                    </w:rPr>
                    <w:t>考评大项</w:t>
                  </w:r>
                </w:p>
              </w:tc>
              <w:tc>
                <w:tcPr>
                  <w:tcW w:type="dxa" w:w="584"/>
                  <w:tcBorders>
                    <w:top w:val="single" w:color="000000" w:sz="8"/>
                    <w:left w:val="none" w:color="000000" w:sz="4"/>
                    <w:bottom w:val="single" w:color="000000" w:sz="4"/>
                    <w:right w:val="single" w:color="000000" w:sz="4"/>
                  </w:tcBorders>
                  <w:vAlign w:val="top"/>
                </w:tcPr>
                <w:p>
                  <w:pPr>
                    <w:jc w:val="center"/>
                  </w:pPr>
                  <w:r>
                    <w:rPr>
                      <w:b/>
                      <w:color w:val="000000"/>
                      <w:sz w:val="21"/>
                    </w:rPr>
                    <w:t>考评分项</w:t>
                  </w:r>
                </w:p>
              </w:tc>
              <w:tc>
                <w:tcPr>
                  <w:tcW w:type="dxa" w:w="3139"/>
                  <w:tcBorders>
                    <w:top w:val="single" w:color="000000" w:sz="8"/>
                    <w:left w:val="none" w:color="000000" w:sz="4"/>
                    <w:bottom w:val="single" w:color="000000" w:sz="4"/>
                    <w:right w:val="single" w:color="000000" w:sz="4"/>
                  </w:tcBorders>
                  <w:vAlign w:val="top"/>
                </w:tcPr>
                <w:p>
                  <w:pPr>
                    <w:jc w:val="center"/>
                  </w:pPr>
                  <w:r>
                    <w:rPr>
                      <w:b/>
                      <w:color w:val="000000"/>
                      <w:sz w:val="21"/>
                    </w:rPr>
                    <w:t>考</w:t>
                  </w:r>
                  <w:r>
                    <w:rPr>
                      <w:b/>
                      <w:color w:val="000000"/>
                      <w:sz w:val="21"/>
                    </w:rPr>
                    <w:t xml:space="preserve"> </w:t>
                  </w:r>
                  <w:r>
                    <w:rPr>
                      <w:b/>
                      <w:color w:val="000000"/>
                      <w:sz w:val="21"/>
                    </w:rPr>
                    <w:t>评</w:t>
                  </w:r>
                  <w:r>
                    <w:rPr>
                      <w:b/>
                      <w:color w:val="000000"/>
                      <w:sz w:val="21"/>
                    </w:rPr>
                    <w:t xml:space="preserve"> </w:t>
                  </w:r>
                  <w:r>
                    <w:rPr>
                      <w:b/>
                      <w:color w:val="000000"/>
                      <w:sz w:val="21"/>
                    </w:rPr>
                    <w:t>内</w:t>
                  </w:r>
                  <w:r>
                    <w:rPr>
                      <w:b/>
                      <w:color w:val="000000"/>
                      <w:sz w:val="21"/>
                    </w:rPr>
                    <w:t xml:space="preserve"> </w:t>
                  </w:r>
                  <w:r>
                    <w:rPr>
                      <w:b/>
                      <w:color w:val="000000"/>
                      <w:sz w:val="21"/>
                    </w:rPr>
                    <w:t>容</w:t>
                  </w:r>
                </w:p>
              </w:tc>
              <w:tc>
                <w:tcPr>
                  <w:tcW w:type="dxa" w:w="715"/>
                  <w:tcBorders>
                    <w:top w:val="single" w:color="000000" w:sz="8"/>
                    <w:left w:val="none" w:color="000000" w:sz="4"/>
                    <w:bottom w:val="single" w:color="000000" w:sz="4"/>
                    <w:right w:val="single" w:color="000000" w:sz="8"/>
                  </w:tcBorders>
                  <w:vAlign w:val="top"/>
                </w:tcPr>
                <w:p>
                  <w:pPr>
                    <w:jc w:val="center"/>
                  </w:pPr>
                  <w:r>
                    <w:rPr>
                      <w:b/>
                      <w:color w:val="000000"/>
                      <w:sz w:val="21"/>
                    </w:rPr>
                    <w:t>扣分标准（分）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公众投诉（满分</w:t>
                  </w:r>
                  <w:r>
                    <w:rPr>
                      <w:color w:val="000000"/>
                      <w:sz w:val="21"/>
                    </w:rPr>
                    <w:t>13分）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按期结案率（满分</w:t>
                  </w:r>
                  <w:r>
                    <w:rPr>
                      <w:color w:val="000000"/>
                      <w:sz w:val="21"/>
                    </w:rPr>
                    <w:t>5分）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公众投诉案件按期结案率不得低于</w:t>
                  </w:r>
                  <w:r>
                    <w:rPr>
                      <w:color w:val="000000"/>
                      <w:sz w:val="21"/>
                    </w:rPr>
                    <w:t>97%。</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每少</w:t>
                  </w:r>
                  <w:r>
                    <w:rPr>
                      <w:color w:val="000000"/>
                      <w:sz w:val="21"/>
                    </w:rPr>
                    <w:t>1%扣1分（不足1%不计算）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紧急投诉（满分</w:t>
                  </w:r>
                  <w:r>
                    <w:rPr>
                      <w:color w:val="000000"/>
                      <w:sz w:val="21"/>
                    </w:rPr>
                    <w:t>3分）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紧急投诉案件未在案件处置期限内及时处理（注：</w:t>
                  </w:r>
                  <w:r>
                    <w:rPr>
                      <w:color w:val="000000"/>
                      <w:sz w:val="21"/>
                    </w:rPr>
                    <w:t>1、包括超期未结案、超期结案和超期终止的案件均要扣分；2、紧急投诉案件适用类型：为处置时限4小时的无照经营游商、店外经营、噪音类案件。）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满意度（满分</w:t>
                  </w:r>
                  <w:r>
                    <w:rPr>
                      <w:color w:val="000000"/>
                      <w:sz w:val="21"/>
                    </w:rPr>
                    <w:t>2分）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市民对容桂街道责任部门处理案件的满意度情况。（注：考核统计周期内应结案并已结案和终止的公众投诉案件。）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每</w:t>
                  </w:r>
                  <w:r>
                    <w:rPr>
                      <w:color w:val="000000"/>
                      <w:sz w:val="21"/>
                    </w:rPr>
                    <w:t>1%“不满意”的案件扣0.1分（不足1%不计算）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重复投诉（满分</w:t>
                  </w:r>
                  <w:r>
                    <w:rPr>
                      <w:color w:val="000000"/>
                      <w:sz w:val="21"/>
                    </w:rPr>
                    <w:t>3分）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当月市民就同一地点同一问题反复投诉超过</w:t>
                  </w:r>
                  <w:r>
                    <w:rPr>
                      <w:color w:val="000000"/>
                      <w:sz w:val="21"/>
                    </w:rPr>
                    <w:t>15次（注：1、含15次；2、结案、终止的案件一并计算；3、在容桂街道平台公众投诉案件办理时限内，市、区级平台后立案案件不纳入计算。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tcBorders>
                    <w:top w:val="none" w:color="000000" w:sz="4"/>
                    <w:left w:val="none" w:color="000000" w:sz="4"/>
                    <w:bottom w:val="single" w:color="000000" w:sz="4"/>
                    <w:right w:val="single" w:color="000000" w:sz="4"/>
                  </w:tcBorders>
                  <w:vAlign w:val="top"/>
                </w:tcPr>
                <w:p>
                  <w:pPr>
                    <w:jc w:val="left"/>
                  </w:pPr>
                  <w:r>
                    <w:rPr>
                      <w:color w:val="000000"/>
                      <w:sz w:val="21"/>
                    </w:rPr>
                    <w:t>市、区级派遣（满分</w:t>
                  </w:r>
                  <w:r>
                    <w:rPr>
                      <w:color w:val="000000"/>
                      <w:sz w:val="21"/>
                    </w:rPr>
                    <w:t>5分）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市、区级派遣案件处置情况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市、区级平台调度或派遣到容桂街道平台的案件处置情况。</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超时完成率不得高于</w:t>
                  </w:r>
                  <w:r>
                    <w:rPr>
                      <w:color w:val="000000"/>
                      <w:sz w:val="21"/>
                    </w:rPr>
                    <w:t>1%，每增加1%扣0.5分；超时未完成案件处置的，每1%扣1分。（注：不足1%按1%计算。）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tcBorders>
                    <w:top w:val="none" w:color="000000" w:sz="4"/>
                    <w:left w:val="none" w:color="000000" w:sz="4"/>
                    <w:bottom w:val="single" w:color="000000" w:sz="4"/>
                    <w:right w:val="single" w:color="000000" w:sz="4"/>
                  </w:tcBorders>
                  <w:vAlign w:val="top"/>
                </w:tcPr>
                <w:p>
                  <w:pPr>
                    <w:jc w:val="left"/>
                  </w:pPr>
                  <w:r>
                    <w:rPr>
                      <w:color w:val="000000"/>
                      <w:sz w:val="21"/>
                    </w:rPr>
                    <w:t>规范性（满分</w:t>
                  </w:r>
                  <w:r>
                    <w:rPr>
                      <w:color w:val="000000"/>
                      <w:sz w:val="21"/>
                    </w:rPr>
                    <w:t>13分）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规范性</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根据佛山市数字城管业务规范要求，对容桂街道案件在办理过程中的规范性及要求进行评价。（注：考核所有案件，含不纳入考核的案件。）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13分-本项评价得分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机构及队伍建设（满分</w:t>
                  </w:r>
                  <w:r>
                    <w:rPr>
                      <w:color w:val="000000"/>
                      <w:sz w:val="21"/>
                    </w:rPr>
                    <w:t>2分）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机构设置</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容桂街道数字城管机构未达到数字城管机构设置和职责定位的要求，数字城管工作未能正常运行。</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专职信息采集监督员配置</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当月未按照中心城区数字城管覆盖区域每平方公里配置</w:t>
                  </w:r>
                  <w:r>
                    <w:rPr>
                      <w:color w:val="000000"/>
                      <w:sz w:val="21"/>
                    </w:rPr>
                    <w:t>1.5个专职信息采集监督员或非中心城区数字城管覆盖区域每平方公里配置1个专职信息采集监督员。</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督办事项（最高加或扣</w:t>
                  </w:r>
                  <w:r>
                    <w:rPr>
                      <w:color w:val="000000"/>
                      <w:sz w:val="21"/>
                    </w:rPr>
                    <w:t>10分）</w:t>
                  </w: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督办事项</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长期得不到有效解决的重复投诉问题或超期案件</w:t>
                  </w:r>
                  <w:r>
                    <w:rPr>
                      <w:color w:val="000000"/>
                      <w:sz w:val="21"/>
                    </w:rPr>
                    <w:t>,在规定期限内未按要求整改达标。</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最低扣</w:t>
                  </w:r>
                  <w:r>
                    <w:rPr>
                      <w:color w:val="000000"/>
                      <w:sz w:val="21"/>
                    </w:rPr>
                    <w:t>0.5分/宗，最高扣5分/宗。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市考评系统</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领导交办、新闻媒体曝光或其他督办事项。（注：以相关督办事项具体的规定为准。）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最低加或扣</w:t>
                  </w:r>
                  <w:r>
                    <w:rPr>
                      <w:color w:val="000000"/>
                      <w:sz w:val="21"/>
                    </w:rPr>
                    <w:t>1分/宗，最高加或扣5分/宗。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案件处理情（满分</w:t>
                  </w:r>
                  <w:r>
                    <w:rPr>
                      <w:color w:val="000000"/>
                      <w:sz w:val="21"/>
                    </w:rPr>
                    <w:t>80分）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超时完成率（满分</w:t>
                  </w:r>
                  <w:r>
                    <w:rPr>
                      <w:color w:val="000000"/>
                      <w:sz w:val="21"/>
                    </w:rPr>
                    <w:t>25分）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A≤4%时，R＝25；                                    当4%＜A＜54%时，R＝25-(A-4%）÷1%×0.5；                                                  当A≥54%时，R＝0。                                    （注：1、A：超时完成率，R：本项得分；2、包括超期结案、终止等流程案件；3、不足1%按1%计算。）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25分-R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超时未完成率（满分</w:t>
                  </w:r>
                  <w:r>
                    <w:rPr>
                      <w:color w:val="000000"/>
                      <w:sz w:val="21"/>
                    </w:rPr>
                    <w:t>25分）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A＜25%时，R＝25-A÷1%×1；当A≥25%时，R＝0。         （注：1、A：超时未完成率，R：本项得分；2、不足1%按1%计算。）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25分-R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二次派遣率（满分</w:t>
                  </w:r>
                  <w:r>
                    <w:rPr>
                      <w:color w:val="000000"/>
                      <w:sz w:val="21"/>
                    </w:rPr>
                    <w:t>10分）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A≤4%时，R＝10；                                     当4%＜A＜24%时，R＝10-(A-4%）÷1%×0.5；               当A≥24%时，R＝0。                                    （注：1、A：二次派遣数÷结案数，R：本项得分；2、案件办理过程中有两次或以上派遣至最终处置的责任部门的案件为二次派遣；3、包括结案和终止的案件；4、不足1%按1%计算。）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10分-R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未按时操作率（满分</w:t>
                  </w:r>
                  <w:r>
                    <w:rPr>
                      <w:color w:val="000000"/>
                      <w:sz w:val="21"/>
                    </w:rPr>
                    <w:t>10分）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A≤1%时，R＝10；                                     当1%＜A＜3%时，R＝(3%-A）÷2%×10；                     当A≥3%时，R＝0。                                  （注：A：容桂街道未按时操作次数÷容桂街道总操作次数，R：本项得分。）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10分-R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“终止”率（满分5分）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A≤3%时，R＝5；                                        当3%＜A＜8%时，R＝5-(A-3%）÷1%×1；                   当A≥8%时，R＝0。                                     (注：1、A：“终止”率，R：本项得分；2、不足1%按1%计算。）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遗留案件（满分</w:t>
                  </w:r>
                  <w:r>
                    <w:rPr>
                      <w:color w:val="000000"/>
                      <w:sz w:val="21"/>
                    </w:rPr>
                    <w:t>5分）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在统计周期之前已超时，并且在考评结果出来之前仍未结案的案件（注：考核所有一般案件）。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tcBorders>
                    <w:top w:val="none" w:color="000000" w:sz="4"/>
                    <w:left w:val="none" w:color="000000" w:sz="4"/>
                    <w:bottom w:val="single" w:color="000000" w:sz="4"/>
                    <w:right w:val="single" w:color="000000" w:sz="4"/>
                  </w:tcBorders>
                  <w:vAlign w:val="top"/>
                </w:tcPr>
                <w:p>
                  <w:pPr>
                    <w:jc w:val="left"/>
                  </w:pPr>
                  <w:r>
                    <w:rPr>
                      <w:color w:val="000000"/>
                      <w:sz w:val="21"/>
                    </w:rPr>
                    <w:t>案件处置权重（满分</w:t>
                  </w:r>
                  <w:r>
                    <w:rPr>
                      <w:color w:val="000000"/>
                      <w:sz w:val="21"/>
                    </w:rPr>
                    <w:t>10分）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案件处置权重总和对比</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w:t>
                  </w:r>
                  <w:r>
                    <w:rPr>
                      <w:color w:val="000000"/>
                      <w:sz w:val="21"/>
                    </w:rPr>
                    <w:t>A≥B时，R＝10；当A＜B时，R＝A÷B×10。              （注：A：容桂街道所有已结案的案件的处置权重总和；B：所有镇（街道）的“本镇（街道）所有已结案的案件的处置权重总和”的平均值；R：本项得分。）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10分-R</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案件规范情况（满分</w:t>
                  </w:r>
                  <w:r>
                    <w:rPr>
                      <w:color w:val="000000"/>
                      <w:sz w:val="21"/>
                    </w:rPr>
                    <w:t>10分）</w:t>
                  </w: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案件造假</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案件存在造假行为的。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责任单位回复</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责任单位在回复信息中，文字描述、拍摄视频、照片或录制的录音不符合规范的。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立案情况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违反规定进行立案或作废的案件。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登记信息</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案件登记信息有误且未纠正的。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办理意见</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办理意见与事实不相符合或不规范的。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监察召回</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案件申请监察召回后的处理结果与申请理由不一致的。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结案情况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未按结案标准进行结案的案件。（注：未按结案标准进行结案的案件被扣分后，召回至容桂街道再次处理。）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镇（街道）上报</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容桂街道平台将本应由本街道处理的案件上报到区级平台协调处理的。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镇（街道）回退</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区级平台调度或派遣到容桂街道平台的案件，容桂街道平台无故回退或回退理由不成立的。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延期申请</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案件申请延期的条件或提交的材料不符合规定的。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督办事项（最高加或扣</w:t>
                  </w:r>
                  <w:r>
                    <w:rPr>
                      <w:color w:val="000000"/>
                      <w:sz w:val="21"/>
                    </w:rPr>
                    <w:t>10分）</w:t>
                  </w: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督办事项</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长期得不到有效解决的城市管理考评问题，在规定期限内未按要求整改达标的。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最低扣</w:t>
                  </w:r>
                  <w:r>
                    <w:rPr>
                      <w:color w:val="000000"/>
                      <w:sz w:val="21"/>
                    </w:rPr>
                    <w:t>0.5分/宗，最高扣5分/宗。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区考评系统</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领导交办、新闻媒体曝光或其他督办事项。（注：以相关督办事项具体的规定为准。）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最低加或扣</w:t>
                  </w:r>
                  <w:r>
                    <w:rPr>
                      <w:color w:val="000000"/>
                      <w:sz w:val="21"/>
                    </w:rPr>
                    <w:t>5分/宗，最高加或扣10分/宗。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整体组织管理能力</w:t>
                  </w: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制度制定与执行</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制定并完善容桂街道数字城管社会化运营服务项目的章程、人事管理制度、巡查值班制度、案件处理制度、设备管理制度、安全保障制度、保密管理制度。</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1分/每缺一项</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制度执行不到位。</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人员的编制配备</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中标人须按服务项目要求配足人员，登记好人员信息，并将该人员信息整理成表格报至采购人，若有人员离职时应提前向采购人报备。报备自人员离职当日起计，项目主管离职岗位要在</w:t>
                  </w:r>
                  <w:r>
                    <w:rPr>
                      <w:color w:val="000000"/>
                      <w:sz w:val="21"/>
                    </w:rPr>
                    <w:t>3个工作日内补充完毕，其他人员离职岗位要求5个工作日内补充完毕，未提前向采购人报备。</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5分/人</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按要求的工作时间内，全部员工只能在采购人指定地点从事本项目相关工作，不得兼职、兼任其他项目。</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5分/人</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报备后没有按时补充人员。</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5分/人</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人员日常着装</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不佩戴工作证或着装不规范（如穿拖鞋、奇装异服等）。</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人员素质</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言谈举止不规范得体，有不良行为的，单月累计超过</w:t>
                  </w:r>
                  <w:r>
                    <w:rPr>
                      <w:color w:val="000000"/>
                      <w:sz w:val="21"/>
                    </w:rPr>
                    <w:t>3人次。</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人员作业技能培训、考核及员工团建活动</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作业技能培训、考核每月至少组织一次，月内未组织培训、考核。</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人员工作情况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正常上班时间出现迟到、早退、离岗、脱岗</w:t>
                  </w:r>
                  <w:r>
                    <w:rPr>
                      <w:color w:val="000000"/>
                      <w:sz w:val="21"/>
                    </w:rPr>
                    <w:t>10分钟以上。(注：正常上班时间为周一至周五的早上8:30时至中午12:00时，下午14:00时至17：30时。)</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当班期间未按规定时间登陆或退出系统的，或未在规定时间点和地点打卡。</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非正常上班时间，需安排人员在伦教数字城管指挥中心值班。无安排人员值班的或没人接听电话的。</w:t>
                  </w:r>
                  <w:r>
                    <w:rPr>
                      <w:color w:val="000000"/>
                      <w:sz w:val="21"/>
                    </w:rPr>
                    <w:t>[值班时间为中午12:00时至下午14:00时，下午5：30时至次日早上8:30时，周六及周日全天（含法定节假日）。]</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无故缺勤，或遇特殊情况需要延时下班、加班的，不服从采购人工作安排。</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上班时间上网、玩游戏、看视频及从事其他与工作无关的事情。</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室外作业人员因工作手机没充电、故障及其他原因影响到案件办理或导致打卡时间延误，而没有提前向采购人作书面报备。</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未按时按要求完成采购人交办的其他工作任务。</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日常办公设备、经费</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中标人不能保障正常办公运作所需的设备、物品。</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按时上报考评情况、各种材料（数据）</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未按时上报。</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上报各种材料质量</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上报材料出现明显疏漏、错误。</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廉政纪律</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应主动、如实、全部向甲方提供运营信息，包含但不限于本考核标准全部项目的情况，弄虚作假，谎报各种情况、数据、材料。</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3分/次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与考评对象进行非工作必要的、有损中立性的接触。</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接受考评对象宴请或各种方式的馈赠、礼金等不正当利益。</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tcBorders>
                    <w:top w:val="none" w:color="000000" w:sz="4"/>
                    <w:left w:val="none" w:color="000000" w:sz="4"/>
                    <w:bottom w:val="single" w:color="000000" w:sz="4"/>
                    <w:right w:val="single" w:color="000000" w:sz="4"/>
                  </w:tcBorders>
                  <w:vAlign w:val="top"/>
                </w:tcPr>
                <w:p>
                  <w:pPr>
                    <w:jc w:val="left"/>
                  </w:pPr>
                  <w:r>
                    <w:rPr>
                      <w:color w:val="000000"/>
                      <w:sz w:val="21"/>
                    </w:rPr>
                    <w:t>器材设备管理</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属于采购人提供的设备出现人为损坏或滥用的，除按价作出赔偿外，还需扣罚服务费。</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val="restart"/>
                  <w:tcBorders>
                    <w:top w:val="none" w:color="000000" w:sz="4"/>
                    <w:left w:val="none" w:color="000000" w:sz="4"/>
                    <w:bottom w:val="none" w:color="000000" w:sz="4"/>
                    <w:right w:val="single" w:color="000000" w:sz="4"/>
                  </w:tcBorders>
                  <w:vAlign w:val="top"/>
                </w:tcPr>
                <w:p>
                  <w:pPr>
                    <w:jc w:val="left"/>
                  </w:pPr>
                  <w:r>
                    <w:rPr>
                      <w:color w:val="000000"/>
                      <w:sz w:val="21"/>
                    </w:rPr>
                    <w:t>重大事件</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未做好信息保密工作，向外界泄露各种工作信息。</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2分/次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工作人员从事与违法犯罪有关的活动。</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 xml:space="preserve"> </w:t>
                  </w:r>
                  <w:r>
                    <w:rPr>
                      <w:color w:val="000000"/>
                      <w:sz w:val="21"/>
                    </w:rPr>
                    <w:t>5分/（人·次）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各级政府部门检查工作中发现容桂街道数字城管工作存在问题并提出通报批评。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由于工作疏漏而造成重大、突发的城市管理问题未被及时发现处理。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tcBorders>
                    <w:top w:val="none" w:color="000000" w:sz="4"/>
                    <w:left w:val="none" w:color="000000" w:sz="4"/>
                    <w:bottom w:val="single" w:color="000000" w:sz="4"/>
                    <w:right w:val="single" w:color="000000" w:sz="4"/>
                  </w:tcBorders>
                  <w:vAlign w:val="top"/>
                </w:tcPr>
                <w:p>
                  <w:pPr>
                    <w:jc w:val="left"/>
                  </w:p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未按时按质完成采购人安排的工作。</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val="restart"/>
                  <w:tcBorders>
                    <w:top w:val="none" w:color="000000" w:sz="4"/>
                    <w:left w:val="none" w:color="000000" w:sz="4"/>
                    <w:bottom w:val="none" w:color="000000" w:sz="4"/>
                    <w:right w:val="single" w:color="000000" w:sz="4"/>
                  </w:tcBorders>
                  <w:vAlign w:val="top"/>
                </w:tcPr>
                <w:p>
                  <w:pPr>
                    <w:jc w:val="left"/>
                  </w:pPr>
                  <w:r>
                    <w:rPr>
                      <w:color w:val="000000"/>
                      <w:sz w:val="21"/>
                    </w:rPr>
                    <w:t>信息采集员</w:t>
                  </w:r>
                </w:p>
              </w:tc>
              <w:tc>
                <w:tcPr>
                  <w:tcW w:type="dxa" w:w="584"/>
                  <w:vMerge w:val="restart"/>
                  <w:tcBorders>
                    <w:top w:val="none" w:color="000000" w:sz="4"/>
                    <w:left w:val="none" w:color="000000" w:sz="4"/>
                    <w:bottom w:val="none" w:color="000000" w:sz="4"/>
                    <w:right w:val="single" w:color="000000" w:sz="4"/>
                  </w:tcBorders>
                  <w:vAlign w:val="top"/>
                </w:tcPr>
                <w:p>
                  <w:pPr>
                    <w:jc w:val="left"/>
                  </w:pPr>
                  <w:r>
                    <w:rPr>
                      <w:color w:val="000000"/>
                      <w:sz w:val="21"/>
                    </w:rPr>
                    <w:t>工作要求执行情况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未按时按要求完成案件的采集、上报工作。</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 xml:space="preserve"> </w:t>
                  </w:r>
                  <w:r>
                    <w:rPr>
                      <w:color w:val="000000"/>
                      <w:sz w:val="21"/>
                    </w:rPr>
                    <w:t>0.1分/（宗·节点）</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non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未按时按要求完成案件的核查核实工作。</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 xml:space="preserve"> </w:t>
                  </w:r>
                  <w:r>
                    <w:rPr>
                      <w:color w:val="000000"/>
                      <w:sz w:val="21"/>
                    </w:rPr>
                    <w:t>0.1分/（宗·节点）</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non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未能按照网格划分进行日常巡查。</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non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未能配合采购人对村居进行日常考核检查。</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none" w:color="000000" w:sz="4"/>
                    <w:right w:val="single" w:color="000000" w:sz="4"/>
                  </w:tcBorders>
                </w:tcPr>
                <w:p/>
              </w:tc>
              <w:tc>
                <w:tcPr>
                  <w:tcW w:type="dxa" w:w="584"/>
                  <w:vMerge/>
                  <w:tcBorders>
                    <w:top w:val="none" w:color="000000" w:sz="4"/>
                    <w:left w:val="none" w:color="000000" w:sz="4"/>
                    <w:bottom w:val="non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日常巡查工作中对符合采集标准的案件没进行采集。</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信息采集员</w:t>
                  </w: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遵守工作纪律</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当班期间扎堆闲聊。</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以信息采集工作或检查的名义从事与岗位工作无关或超越岗位职责的事。</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当班期间与他人发生谩骂行为。</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当班期间饮酒或酒后上岗。</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 xml:space="preserve"> </w:t>
                  </w:r>
                  <w:r>
                    <w:rPr>
                      <w:color w:val="000000"/>
                      <w:sz w:val="21"/>
                    </w:rPr>
                    <w:t>1分/（人·次）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当班期间与他人发生打架斗殴。</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 xml:space="preserve"> </w:t>
                  </w:r>
                  <w:r>
                    <w:rPr>
                      <w:color w:val="000000"/>
                      <w:sz w:val="21"/>
                    </w:rPr>
                    <w:t>1分/（人·次）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当班期间无故关闭</w:t>
                  </w:r>
                  <w:r>
                    <w:rPr>
                      <w:color w:val="000000"/>
                      <w:sz w:val="21"/>
                    </w:rPr>
                    <w:t>GPS。</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当班期间</w:t>
                  </w:r>
                  <w:r>
                    <w:rPr>
                      <w:color w:val="000000"/>
                      <w:sz w:val="21"/>
                    </w:rPr>
                    <w:t>15分内无法到达所属网格指定区域的，或无法进行联系。</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0.2分/（人·次）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val="restart"/>
                  <w:tcBorders>
                    <w:top w:val="none" w:color="000000" w:sz="4"/>
                    <w:left w:val="none" w:color="000000" w:sz="4"/>
                    <w:bottom w:val="single" w:color="000000" w:sz="4"/>
                    <w:right w:val="single" w:color="000000" w:sz="4"/>
                  </w:tcBorders>
                  <w:vAlign w:val="top"/>
                </w:tcPr>
                <w:p>
                  <w:pPr>
                    <w:jc w:val="left"/>
                  </w:pPr>
                  <w:r>
                    <w:rPr>
                      <w:color w:val="000000"/>
                      <w:sz w:val="21"/>
                    </w:rPr>
                    <w:t>信息监督员、受理派遣员及视频数据处理员、美城考评员、美城巡查专员、大气污染（扬尘）防治巡查员及客运车辆监督员、组长、值班长</w:t>
                  </w:r>
                </w:p>
              </w:tc>
              <w:tc>
                <w:tcPr>
                  <w:tcW w:type="dxa" w:w="584"/>
                  <w:vMerge w:val="restart"/>
                  <w:tcBorders>
                    <w:top w:val="none" w:color="000000" w:sz="4"/>
                    <w:left w:val="none" w:color="000000" w:sz="4"/>
                    <w:bottom w:val="single" w:color="000000" w:sz="4"/>
                    <w:right w:val="single" w:color="000000" w:sz="4"/>
                  </w:tcBorders>
                  <w:vAlign w:val="top"/>
                </w:tcPr>
                <w:p>
                  <w:pPr>
                    <w:jc w:val="left"/>
                  </w:pPr>
                  <w:r>
                    <w:rPr>
                      <w:color w:val="000000"/>
                      <w:sz w:val="21"/>
                    </w:rPr>
                    <w:t>工作要求执行情况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未能按时按要求完成案件的受理、派遣、反馈审核、上报、申诉以及案件的查询、统计汇总工作。</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0.1分/(宗·节点)</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要求录入、报备、申诉、查询、统计汇总佛山市数字化城市管理系统中有关晒水车、保洁车、抑扬车、垃圾压缩车、渣土运输车等车辆的相关管理信息，未配合相关部门进行在线监督工作，被上级发现存在问题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0.2分/辆</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未能对案件进行跟踪督办，造成采购人被通报批评。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4"/>
                    <w:right w:val="single" w:color="000000" w:sz="4"/>
                  </w:tcBorders>
                </w:tcPr>
                <w:p/>
              </w:tc>
              <w:tc>
                <w:tcPr>
                  <w:tcW w:type="dxa" w:w="584"/>
                  <w:vMerge/>
                  <w:tcBorders>
                    <w:top w:val="none" w:color="000000" w:sz="4"/>
                    <w:left w:val="none" w:color="000000" w:sz="4"/>
                    <w:bottom w:val="single" w:color="000000" w:sz="4"/>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不按要求接听办公电话。</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0.2分/次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val="restart"/>
                  <w:tcBorders>
                    <w:top w:val="none" w:color="000000" w:sz="4"/>
                    <w:left w:val="none" w:color="000000" w:sz="4"/>
                    <w:bottom w:val="single" w:color="000000" w:sz="8"/>
                    <w:right w:val="single" w:color="000000" w:sz="4"/>
                  </w:tcBorders>
                  <w:vAlign w:val="top"/>
                </w:tcPr>
                <w:p>
                  <w:pPr>
                    <w:jc w:val="left"/>
                  </w:pPr>
                  <w:r>
                    <w:rPr>
                      <w:color w:val="000000"/>
                      <w:sz w:val="21"/>
                    </w:rPr>
                    <w:t>项目主管</w:t>
                  </w:r>
                </w:p>
              </w:tc>
              <w:tc>
                <w:tcPr>
                  <w:tcW w:type="dxa" w:w="584"/>
                  <w:vMerge w:val="restart"/>
                  <w:tcBorders>
                    <w:top w:val="none" w:color="000000" w:sz="4"/>
                    <w:left w:val="none" w:color="000000" w:sz="4"/>
                    <w:bottom w:val="single" w:color="000000" w:sz="8"/>
                    <w:right w:val="single" w:color="000000" w:sz="4"/>
                  </w:tcBorders>
                  <w:vAlign w:val="top"/>
                </w:tcPr>
                <w:p>
                  <w:pPr>
                    <w:jc w:val="left"/>
                  </w:pPr>
                  <w:r>
                    <w:rPr>
                      <w:color w:val="000000"/>
                      <w:sz w:val="21"/>
                    </w:rPr>
                    <w:t>工作要求执行情况</w:t>
                  </w: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未按时按要求对案件进行立案和结案的审核。</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0.1分/宗</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8"/>
                    <w:right w:val="single" w:color="000000" w:sz="4"/>
                  </w:tcBorders>
                </w:tcPr>
                <w:p/>
              </w:tc>
              <w:tc>
                <w:tcPr>
                  <w:tcW w:type="dxa" w:w="584"/>
                  <w:vMerge/>
                  <w:tcBorders>
                    <w:top w:val="none" w:color="000000" w:sz="4"/>
                    <w:left w:val="none" w:color="000000" w:sz="4"/>
                    <w:bottom w:val="single" w:color="000000" w:sz="8"/>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在统计期结束后的一个月内未向采购人提供容桂街道数字城管月度、季度、年度分析报告，分析数字城管在各统计期内所取得的成绩及存在的问题，并提出可行性建议。</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0.5分/次</w:t>
                  </w:r>
                </w:p>
              </w:tc>
            </w:tr>
            <w:tr>
              <w:tc>
                <w:tcPr>
                  <w:tcW w:type="dxa" w:w="192"/>
                  <w:tcBorders>
                    <w:top w:val="none" w:color="000000" w:sz="4"/>
                    <w:left w:val="single" w:color="000000" w:sz="8"/>
                    <w:bottom w:val="single" w:color="000000" w:sz="4"/>
                    <w:right w:val="single" w:color="000000" w:sz="4"/>
                  </w:tcBorders>
                  <w:vAlign w:val="top"/>
                </w:tcPr>
                <w:p>
                  <w:pPr>
                    <w:jc w:val="left"/>
                  </w:pPr>
                </w:p>
              </w:tc>
              <w:tc>
                <w:tcPr>
                  <w:tcW w:type="dxa" w:w="392"/>
                  <w:tcBorders>
                    <w:top w:val="none" w:color="000000" w:sz="4"/>
                    <w:left w:val="none" w:color="000000" w:sz="4"/>
                    <w:bottom w:val="single" w:color="000000" w:sz="4"/>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8"/>
                    <w:right w:val="single" w:color="000000" w:sz="4"/>
                  </w:tcBorders>
                </w:tcPr>
                <w:p/>
              </w:tc>
              <w:tc>
                <w:tcPr>
                  <w:tcW w:type="dxa" w:w="584"/>
                  <w:vMerge/>
                  <w:tcBorders>
                    <w:top w:val="none" w:color="000000" w:sz="4"/>
                    <w:left w:val="none" w:color="000000" w:sz="4"/>
                    <w:bottom w:val="single" w:color="000000" w:sz="8"/>
                    <w:right w:val="single" w:color="000000" w:sz="4"/>
                  </w:tcBorders>
                </w:tcPr>
                <w:p/>
              </w:tc>
              <w:tc>
                <w:tcPr>
                  <w:tcW w:type="dxa" w:w="3139"/>
                  <w:tcBorders>
                    <w:top w:val="none" w:color="000000" w:sz="4"/>
                    <w:left w:val="none" w:color="000000" w:sz="4"/>
                    <w:bottom w:val="single" w:color="000000" w:sz="4"/>
                    <w:right w:val="single" w:color="000000" w:sz="4"/>
                  </w:tcBorders>
                  <w:vAlign w:val="top"/>
                </w:tcPr>
                <w:p>
                  <w:pPr>
                    <w:jc w:val="left"/>
                  </w:pPr>
                  <w:r>
                    <w:rPr>
                      <w:color w:val="000000"/>
                      <w:sz w:val="21"/>
                    </w:rPr>
                    <w:t>未能对社会化运营服务项目中存在的问题进行及时反馈、上报，造成采购人被通报批评。</w:t>
                  </w:r>
                </w:p>
              </w:tc>
              <w:tc>
                <w:tcPr>
                  <w:tcW w:type="dxa" w:w="715"/>
                  <w:tcBorders>
                    <w:top w:val="none" w:color="000000" w:sz="4"/>
                    <w:left w:val="none" w:color="000000" w:sz="4"/>
                    <w:bottom w:val="single" w:color="000000" w:sz="4"/>
                    <w:right w:val="single" w:color="000000" w:sz="8"/>
                  </w:tcBorders>
                  <w:vAlign w:val="top"/>
                </w:tcPr>
                <w:p>
                  <w:pPr>
                    <w:jc w:val="left"/>
                  </w:pPr>
                  <w:r>
                    <w:rPr>
                      <w:color w:val="000000"/>
                      <w:sz w:val="21"/>
                    </w:rPr>
                    <w:t>1分/次</w:t>
                  </w:r>
                </w:p>
              </w:tc>
            </w:tr>
            <w:tr>
              <w:tc>
                <w:tcPr>
                  <w:tcW w:type="dxa" w:w="192"/>
                  <w:tcBorders>
                    <w:top w:val="none" w:color="000000" w:sz="4"/>
                    <w:left w:val="single" w:color="000000" w:sz="8"/>
                    <w:bottom w:val="single" w:color="000000" w:sz="8"/>
                    <w:right w:val="single" w:color="000000" w:sz="4"/>
                  </w:tcBorders>
                  <w:vAlign w:val="top"/>
                </w:tcPr>
                <w:p>
                  <w:pPr>
                    <w:jc w:val="left"/>
                  </w:pPr>
                </w:p>
              </w:tc>
              <w:tc>
                <w:tcPr>
                  <w:tcW w:type="dxa" w:w="392"/>
                  <w:tcBorders>
                    <w:top w:val="none" w:color="000000" w:sz="4"/>
                    <w:left w:val="none" w:color="000000" w:sz="4"/>
                    <w:bottom w:val="single" w:color="000000" w:sz="8"/>
                    <w:right w:val="single" w:color="000000" w:sz="4"/>
                  </w:tcBorders>
                  <w:vAlign w:val="top"/>
                </w:tcPr>
                <w:p>
                  <w:pPr>
                    <w:jc w:val="left"/>
                  </w:pPr>
                  <w:r>
                    <w:rPr>
                      <w:color w:val="000000"/>
                      <w:sz w:val="21"/>
                    </w:rPr>
                    <w:t>容桂街道</w:t>
                  </w:r>
                </w:p>
              </w:tc>
              <w:tc>
                <w:tcPr>
                  <w:tcW w:type="dxa" w:w="575"/>
                  <w:vMerge/>
                  <w:tcBorders>
                    <w:top w:val="none" w:color="000000" w:sz="4"/>
                    <w:left w:val="none" w:color="000000" w:sz="4"/>
                    <w:bottom w:val="single" w:color="000000" w:sz="8"/>
                    <w:right w:val="single" w:color="000000" w:sz="4"/>
                  </w:tcBorders>
                </w:tcPr>
                <w:p/>
              </w:tc>
              <w:tc>
                <w:tcPr>
                  <w:tcW w:type="dxa" w:w="584"/>
                  <w:vMerge/>
                  <w:tcBorders>
                    <w:top w:val="none" w:color="000000" w:sz="4"/>
                    <w:left w:val="none" w:color="000000" w:sz="4"/>
                    <w:bottom w:val="single" w:color="000000" w:sz="8"/>
                    <w:right w:val="single" w:color="000000" w:sz="4"/>
                  </w:tcBorders>
                </w:tcPr>
                <w:p/>
              </w:tc>
              <w:tc>
                <w:tcPr>
                  <w:tcW w:type="dxa" w:w="3139"/>
                  <w:tcBorders>
                    <w:top w:val="none" w:color="000000" w:sz="4"/>
                    <w:left w:val="none" w:color="000000" w:sz="4"/>
                    <w:bottom w:val="single" w:color="000000" w:sz="8"/>
                    <w:right w:val="single" w:color="000000" w:sz="4"/>
                  </w:tcBorders>
                  <w:vAlign w:val="top"/>
                </w:tcPr>
                <w:p>
                  <w:pPr>
                    <w:jc w:val="left"/>
                  </w:pPr>
                  <w:r>
                    <w:rPr>
                      <w:color w:val="000000"/>
                      <w:sz w:val="21"/>
                    </w:rPr>
                    <w:t>未能按服务项目的要求完成本职工作。</w:t>
                  </w:r>
                </w:p>
              </w:tc>
              <w:tc>
                <w:tcPr>
                  <w:tcW w:type="dxa" w:w="715"/>
                  <w:tcBorders>
                    <w:top w:val="none" w:color="000000" w:sz="4"/>
                    <w:left w:val="none" w:color="000000" w:sz="4"/>
                    <w:bottom w:val="single" w:color="000000" w:sz="8"/>
                    <w:right w:val="single" w:color="000000" w:sz="8"/>
                  </w:tcBorders>
                  <w:vAlign w:val="top"/>
                </w:tcPr>
                <w:p>
                  <w:pPr>
                    <w:jc w:val="left"/>
                  </w:pPr>
                  <w:r>
                    <w:rPr>
                      <w:color w:val="000000"/>
                      <w:sz w:val="21"/>
                    </w:rPr>
                    <w:t>0.5分/次</w:t>
                  </w:r>
                </w:p>
              </w:tc>
            </w:tr>
          </w:tbl>
          <w:p>
            <w:pPr>
              <w:ind w:firstLine="420"/>
              <w:jc w:val="left"/>
            </w:pPr>
            <w:r>
              <w:rPr>
                <w:color w:val="000000"/>
                <w:sz w:val="21"/>
              </w:rPr>
              <w:t>注：（</w:t>
            </w:r>
            <w:r>
              <w:rPr>
                <w:color w:val="000000"/>
                <w:sz w:val="21"/>
              </w:rPr>
              <w:t>1）上述考评内容经查实属中标人过错导致的，采购人有权按照上述标准进行扣罚。对于中标人已按照采购内容实施，已尽所负义务，但由于其它单位责任导致的问题不认定为中标人责任，该部分不予扣罚。</w:t>
            </w:r>
          </w:p>
          <w:p>
            <w:pPr>
              <w:ind w:firstLine="420"/>
              <w:jc w:val="left"/>
            </w:pPr>
            <w:r>
              <w:rPr>
                <w:color w:val="000000"/>
                <w:sz w:val="21"/>
              </w:rPr>
              <w:t>（</w:t>
            </w:r>
            <w:r>
              <w:rPr>
                <w:color w:val="000000"/>
                <w:sz w:val="21"/>
              </w:rPr>
              <w:t>2）采购人有权根据佛山市、顺德区城市管理委员会（办公室）和数字城管指挥中心的最新工作要求，以及容桂街道对数字城管指挥中心的最新工作要求，对以上《容桂街道数字城管运营项目考核标准》作出相应调整，中标人须无条件接受。</w:t>
            </w:r>
          </w:p>
          <w:p>
            <w:pPr>
              <w:jc w:val="both"/>
            </w:pPr>
            <w:r>
              <w:rPr>
                <w:b/>
                <w:color w:val="000000"/>
                <w:sz w:val="24"/>
              </w:rPr>
              <w:t>1</w:t>
            </w:r>
            <w:r>
              <w:rPr>
                <w:b/>
                <w:color w:val="000000"/>
                <w:sz w:val="24"/>
              </w:rPr>
              <w:t>4</w:t>
            </w:r>
            <w:r>
              <w:rPr>
                <w:b/>
                <w:color w:val="000000"/>
                <w:sz w:val="24"/>
              </w:rPr>
              <w:t>.4</w:t>
            </w:r>
            <w:r>
              <w:rPr>
                <w:b/>
                <w:color w:val="000000"/>
                <w:sz w:val="24"/>
              </w:rPr>
              <w:t>、服务退出机制</w:t>
            </w:r>
          </w:p>
          <w:p>
            <w:pPr>
              <w:ind w:firstLine="420"/>
              <w:jc w:val="left"/>
            </w:pPr>
            <w:r>
              <w:rPr>
                <w:color w:val="000000"/>
                <w:sz w:val="21"/>
              </w:rPr>
              <w:t>（</w:t>
            </w:r>
            <w:r>
              <w:rPr>
                <w:color w:val="000000"/>
                <w:sz w:val="21"/>
              </w:rPr>
              <w:t>1）在每期计付服务费的三个月内，由于中标人未按照本项目采购内容实施或其它经查明属中标人的原因，而导致容桂街道数字城管综合评价总成绩在全区的排名，出现连续三个月排第八名，或累计有两个月排第九名，或累计有两个月排第十名，或没有一个月进入前七名的，采购人有权终止服务合同，由此所产生的经济及法律责任由中标人自行承担。</w:t>
            </w:r>
          </w:p>
          <w:p>
            <w:pPr>
              <w:ind w:firstLine="420"/>
              <w:jc w:val="left"/>
            </w:pPr>
            <w:r>
              <w:rPr>
                <w:color w:val="000000"/>
                <w:sz w:val="21"/>
              </w:rPr>
              <w:t>（</w:t>
            </w:r>
            <w:r>
              <w:rPr>
                <w:color w:val="000000"/>
                <w:sz w:val="21"/>
              </w:rPr>
              <w:t>2）中标人因投入的设备不足、实施的运营管理模式欠佳、聘请的服务人员素质低下等因素未能满足服务项目的需求而影响了服务项目的有效运作，在采购人提出相应整改要求后一个月内仍未采取有效措施实施整改的，采购人有权终止服务合同，由此所产生的经济及法律责任由中标人自行承担。</w:t>
            </w:r>
          </w:p>
          <w:p>
            <w:pPr>
              <w:ind w:firstLine="420"/>
              <w:jc w:val="left"/>
            </w:pPr>
            <w:r>
              <w:rPr>
                <w:color w:val="000000"/>
                <w:sz w:val="21"/>
              </w:rPr>
              <w:t>（</w:t>
            </w:r>
            <w:r>
              <w:rPr>
                <w:color w:val="000000"/>
                <w:sz w:val="21"/>
              </w:rPr>
              <w:t>3）中标人因管理不善，引起服务人员到各级政府部门上访，在一个月内仍未能有效解决上访问题的，采购人有权终止服务合同，由此所产生的经济及法律责任由中标人自行承担。</w:t>
            </w:r>
          </w:p>
          <w:p>
            <w:pPr>
              <w:ind w:firstLine="420"/>
              <w:jc w:val="left"/>
            </w:pPr>
            <w:r>
              <w:rPr>
                <w:color w:val="000000"/>
                <w:sz w:val="21"/>
              </w:rPr>
              <w:t>（</w:t>
            </w:r>
            <w:r>
              <w:rPr>
                <w:color w:val="000000"/>
                <w:sz w:val="21"/>
              </w:rPr>
              <w:t>4）中标人不能以任何方式将本项目的全部或部分服务转包第三方负责；如有转包，采购人有权停止对发生转包行为当月全部服务费的支付，并可终止服务合同，全额没收中标人的履约保证金，由此所产生的经济及法律责任由中标人自行承担。</w:t>
            </w:r>
          </w:p>
          <w:p>
            <w:pPr>
              <w:ind w:firstLine="420"/>
              <w:jc w:val="left"/>
            </w:pPr>
            <w:r>
              <w:rPr>
                <w:color w:val="000000"/>
                <w:sz w:val="21"/>
              </w:rPr>
              <w:t>（</w:t>
            </w:r>
            <w:r>
              <w:rPr>
                <w:color w:val="000000"/>
                <w:sz w:val="21"/>
              </w:rPr>
              <w:t>5）在服务期内，中标人必须提供完整的应急预案，因故出现罢工、怠工等现象的，采购人有权终止服务合同，由此所产生的经济及法律责任由中标人自行承担。</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佛山市顺德区容桂街道综合行政执法办公室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计委颁布的《招标代理服务收费管理暂行办法》（计价格〔2002〕1980号）及《国家发展改革委关于降低部分建设项目收费标准规范收费行为等有关问题的通知》（发改价格〔2011〕534号）中的招标代理服务费收费标准执行，本项目所属的采购类别：“服务”，以中标金额作为招标代理费计算基数。</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发布公告的媒介，中国政府采购网(www.ccgp.gov.cn)，广东省政府采购网(https://gdgpo.c zt.gd.gov.cn/)、佛山市公共资源交易网（http://ggzy.foshan.gov.cn/），顺德区公共资源交易网（http://www.shunde.gov.cn/ggzy/），容桂政务网（http://www.shunde.gov.cn/ronggui），广东华伦网（http://www.gdhualun.com.cn）</w:t>
            </w:r>
          </w:p>
          <w:p>
            <w:pPr>
              <w:jc w:val="left"/>
            </w:pPr>
            <w:r>
              <w:rPr/>
              <w:t>注意事项，请供应商特别注意，供应商提供虚假材料谋取中标、成交的，中标或者成交后无正 当理由拒绝与采购人签订合同的行为均属于违法行为，将被处以采购金额千分之五以上千分之 十以下的罚款，列入不良行为记录名单，在一至三年内禁止参加政府采购活动，有违法所得的 ，并处没收违法所得，情节严重的，由工商行政管理机关吊销营业执照；构成犯罪的，依法追 究刑事责任。</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周小姐</w:t>
      </w:r>
    </w:p>
    <w:p>
      <w:pPr>
        <w:ind w:firstLine="480"/>
      </w:pPr>
      <w:r>
        <w:rPr/>
        <w:t>电话：</w:t>
      </w:r>
      <w:r>
        <w:rPr/>
        <w:t>0757-22332909</w:t>
      </w:r>
    </w:p>
    <w:p>
      <w:pPr>
        <w:ind w:firstLine="480"/>
      </w:pPr>
      <w:r>
        <w:rPr/>
        <w:t>传真：</w:t>
      </w:r>
      <w:r>
        <w:rPr/>
        <w:t>0757-22332901</w:t>
      </w:r>
    </w:p>
    <w:p>
      <w:pPr>
        <w:ind w:firstLine="480"/>
      </w:pPr>
      <w:r>
        <w:rPr/>
        <w:t>邮箱：</w:t>
      </w:r>
      <w:r>
        <w:rPr/>
        <w:t>gdhlsd@126.com</w:t>
      </w:r>
    </w:p>
    <w:p>
      <w:pPr>
        <w:ind w:firstLine="480"/>
      </w:pPr>
      <w:r>
        <w:rPr/>
        <w:t>地址：</w:t>
      </w:r>
      <w:r>
        <w:rPr/>
        <w:t>佛山市顺德区大良沿江北路121号龙威大厦20楼CD区</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-2023年容桂街道数字城管社会化运营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采购包1（2022-2023年容桂街道数字城管社会化运营服务项目）：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采购包1（2022-2023年容桂街道数字城管社会化运营服务项目）：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①经第三方审计的财务报告（22021年度）（包括资产负债表、利润表、现金流量表、所有者权益变动表及其附注）；②基本开户行出具的资信证明（证明应反映其基本开户行信息，未能反映的应提供相关证明材料）；③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参与响应的供应商应为中小微企业。应按要求出具《中小企业声明函》；属于监狱企业的，提供由省级以上监狱管理局、戒毒管理局(含新疆生产建设兵团)出具的属于监狱企业的证明文件；属于残疾人福利性单位的，提供《残疾人福利性单位声明函》。 本项目采购标的对应的中小企业划分标准所属行业： “ 其他未列明行业（包括科学研究和技术服务业，水利、环境和公共设施管理业，居民服务、修理和其他服务业，社会工作，文化、体育和娱乐业等） ”</w:t>
            </w:r>
          </w:p>
        </w:tc>
      </w:tr>
    </w:tbl>
    <w:p/>
    <w:p>
      <w:pPr>
        <w:ind w:firstLine="480"/>
      </w:pPr>
      <w:r>
        <w:rPr/>
        <w:t>表二符合性审查表：</w:t>
      </w:r>
    </w:p>
    <w:p>
      <w:pPr>
        <w:ind w:firstLine="480"/>
      </w:pPr>
    </w:p>
    <w:p/>
    <w:p>
      <w:r>
        <w:rPr/>
        <w:t>采购包1（2022-2023年容桂街道数字城管社会化运营服务项目）：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投标文件的投标函、法定代表人证明书和法定代表人授权书（如有）按招标文件规定签字、盖章（见投标函、法定代表人证明书、法定代表人授权书（如有））</w:t>
            </w:r>
          </w:p>
        </w:tc>
      </w:tr>
      <w:tr>
        <w:tc>
          <w:tcPr>
            <w:tcW w:type="dxa" w:w="890"/>
          </w:tcPr>
          <w:p>
            <w:r>
              <w:rPr/>
              <w:t>2</w:t>
            </w:r>
          </w:p>
        </w:tc>
        <w:tc>
          <w:tcPr>
            <w:tcW w:type="dxa" w:w="3178"/>
          </w:tcPr>
          <w:p>
            <w:r>
              <w:rPr/>
              <w:t>商务要求及合同响应</w:t>
            </w:r>
          </w:p>
        </w:tc>
        <w:tc>
          <w:tcPr>
            <w:tcW w:type="dxa" w:w="4238"/>
          </w:tcPr>
          <w:p>
            <w:r>
              <w:rPr/>
              <w:t>实质性响应招标文件中的商务要求和合同条款（见《商务条件响应表》）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其他</w:t>
            </w:r>
          </w:p>
        </w:tc>
        <w:tc>
          <w:tcPr>
            <w:tcW w:type="dxa" w:w="4238"/>
          </w:tcPr>
          <w:p>
            <w:r>
              <w:rPr/>
              <w:t>未发现法律、法规和招标文件规定的其他无效情形（见《商务条件响应表》）</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2022-2023年容桂街道数字城管社会化运营服务项目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数字城管的理解及分析 (5.0分)</w:t>
            </w:r>
            <w:r>
              <w:rPr/>
              <w:t>，（等次分值选择：</w:t>
            </w:r>
            <w:r>
              <w:rPr/>
              <w:t>0.0;</w:t>
            </w:r>
            <w:r>
              <w:rPr/>
              <w:t>2.0;</w:t>
            </w:r>
            <w:r>
              <w:rPr/>
              <w:t>3.0;</w:t>
            </w:r>
            <w:r>
              <w:rPr/>
              <w:t>5.0;</w:t>
            </w:r>
            <w:r>
              <w:rPr/>
              <w:t>）</w:t>
            </w:r>
          </w:p>
        </w:tc>
        <w:tc>
          <w:tcPr>
            <w:tcW w:type="dxa" w:w="5076"/>
          </w:tcPr>
          <w:p>
            <w:pPr>
              <w:jc w:val="left"/>
            </w:pPr>
            <w:r>
              <w:rPr/>
              <w:t>对投标人对数字城管的理解及分析（包括对数字城管软件的建设、数字城管典型案件处理方式、客运车辆的监督工作、数字城管视频监控工作的理解分析）综合评价： 优：对数字城管的理解及分析深入、全面，得5分； 良：对数字城管的理解及分析较深入、较全面，得3分； 中：对数字城管的理解及分析不够深入、不够全面，得2分； 差：对数字城管的理解及分析不深入、不全面，得0分；</w:t>
            </w:r>
          </w:p>
        </w:tc>
      </w:tr>
      <w:tr>
        <w:tc>
          <w:tcPr>
            <w:tcW w:type="dxa" w:w="922"/>
            <w:gridSpan w:val="2"/>
            <w:vMerge/>
          </w:tcPr>
          <w:p/>
        </w:tc>
        <w:tc>
          <w:tcPr>
            <w:tcW w:type="dxa" w:w="2307"/>
          </w:tcPr>
          <w:p>
            <w:pPr>
              <w:jc w:val="left"/>
            </w:pPr>
            <w:r>
              <w:rPr/>
              <w:t>数字城管社会化运营工作方案 (10.0分)</w:t>
            </w:r>
            <w:r>
              <w:rPr/>
              <w:t>，（等次分值选择：</w:t>
            </w:r>
            <w:r>
              <w:rPr/>
              <w:t>0.0;</w:t>
            </w:r>
            <w:r>
              <w:rPr/>
              <w:t>4.0;</w:t>
            </w:r>
            <w:r>
              <w:rPr/>
              <w:t>7.0;</w:t>
            </w:r>
            <w:r>
              <w:rPr/>
              <w:t>10.0;</w:t>
            </w:r>
            <w:r>
              <w:rPr/>
              <w:t>）</w:t>
            </w:r>
          </w:p>
        </w:tc>
        <w:tc>
          <w:tcPr>
            <w:tcW w:type="dxa" w:w="5076"/>
          </w:tcPr>
          <w:p>
            <w:pPr>
              <w:jc w:val="left"/>
            </w:pPr>
            <w:r>
              <w:rPr/>
              <w:t>对投标人对本项目制订的数字城管社会化运营工作方案（包括工作计划、工作流程、美城考评方案、人居品提质理控制方案）进行综合评审： （1）工作计划操作性较强、工程流程清晰、质量控制方案科学，得10分； （2）工作计划操作性较强、工程流程较清晰、质量控制方案较科学，得7分； （3）工作计划操作性一般、工程流程不够清晰、质量控制方案不够科学，得4分； （4）工作计划操作性差、工程流程混乱、质量控制方案欠科学，得0分；</w:t>
            </w:r>
          </w:p>
        </w:tc>
      </w:tr>
      <w:tr>
        <w:tc>
          <w:tcPr>
            <w:tcW w:type="dxa" w:w="922"/>
            <w:gridSpan w:val="2"/>
            <w:vMerge/>
          </w:tcPr>
          <w:p/>
        </w:tc>
        <w:tc>
          <w:tcPr>
            <w:tcW w:type="dxa" w:w="2307"/>
          </w:tcPr>
          <w:p>
            <w:pPr>
              <w:jc w:val="left"/>
            </w:pPr>
            <w:r>
              <w:rPr/>
              <w:t>数字城管监督巡查方案 (7.0分)</w:t>
            </w:r>
            <w:r>
              <w:rPr/>
              <w:t>，（等次分值选择：</w:t>
            </w:r>
            <w:r>
              <w:rPr/>
              <w:t>0.0;</w:t>
            </w:r>
            <w:r>
              <w:rPr/>
              <w:t>2.0;</w:t>
            </w:r>
            <w:r>
              <w:rPr/>
              <w:t>4.0;</w:t>
            </w:r>
            <w:r>
              <w:rPr/>
              <w:t>7.0;</w:t>
            </w:r>
            <w:r>
              <w:rPr/>
              <w:t>）</w:t>
            </w:r>
          </w:p>
        </w:tc>
        <w:tc>
          <w:tcPr>
            <w:tcW w:type="dxa" w:w="5076"/>
          </w:tcPr>
          <w:p>
            <w:pPr>
              <w:jc w:val="left"/>
            </w:pPr>
            <w:r>
              <w:rPr/>
              <w:t>对投标人针对本项目数字城管监督网格划分和巡查线路的设计方案进行综合评审： （1）监督网格划分和巡查线路的设计科学、合理、操作性强，得7分； （2）监督网格划分和巡查线路的设计较科学、合理、操作性较强，得4分； （3）监督网格划分和巡查线路的设计一般、合理、操作性不强，得2分； （4）监督网格划分和巡查线路的设计欠科学、合理、操作性差，得0分；</w:t>
            </w:r>
          </w:p>
        </w:tc>
      </w:tr>
      <w:tr>
        <w:tc>
          <w:tcPr>
            <w:tcW w:type="dxa" w:w="922"/>
            <w:gridSpan w:val="2"/>
            <w:vMerge/>
          </w:tcPr>
          <w:p/>
        </w:tc>
        <w:tc>
          <w:tcPr>
            <w:tcW w:type="dxa" w:w="2307"/>
          </w:tcPr>
          <w:p>
            <w:pPr>
              <w:jc w:val="left"/>
            </w:pPr>
            <w:r>
              <w:rPr/>
              <w:t>应急处理方案及经验 (15.0分)</w:t>
            </w:r>
          </w:p>
        </w:tc>
        <w:tc>
          <w:tcPr>
            <w:tcW w:type="dxa" w:w="5076"/>
          </w:tcPr>
          <w:p>
            <w:pPr>
              <w:jc w:val="left"/>
            </w:pPr>
            <w:r>
              <w:rPr/>
              <w:t>1、投标人的应急处理措施、培训演练方案及应急经验进行综合评审： （1）应急经验、培训演练多元化、拟建成应急队伍、应急处理措施合理、操作性强，得10分； （2）应急经验、培训演练较多元化、拟建成应急队伍、应急处理措施较合理、操作性较强，得6分； （3）应急经验、培训演练不够多元化、筹建应急队伍、应急处理措施不够合理、操作性不够强，得3分； （4）应急经验、培训演练欠多元化、没计划建立应急队伍、应急处理措施欠合理、操作性差，得0分； 2、投标人具有应急队伍服务经验的得5分. 注：须提供中标通知书及合同关键页复印件并加盖投标人公章，不提供或提供不全不得分。</w:t>
            </w:r>
          </w:p>
        </w:tc>
      </w:tr>
      <w:tr>
        <w:tc>
          <w:tcPr>
            <w:tcW w:type="dxa" w:w="922"/>
            <w:gridSpan w:val="2"/>
            <w:vMerge/>
          </w:tcPr>
          <w:p/>
        </w:tc>
        <w:tc>
          <w:tcPr>
            <w:tcW w:type="dxa" w:w="2307"/>
          </w:tcPr>
          <w:p>
            <w:pPr>
              <w:jc w:val="left"/>
            </w:pPr>
            <w:r>
              <w:rPr/>
              <w:t>数字城管社会化运营队伍的建设及稳定性方案 (8.0分)</w:t>
            </w:r>
            <w:r>
              <w:rPr/>
              <w:t>，（等次分值选择：</w:t>
            </w:r>
            <w:r>
              <w:rPr/>
              <w:t>0.0;</w:t>
            </w:r>
            <w:r>
              <w:rPr/>
              <w:t>2.0;</w:t>
            </w:r>
            <w:r>
              <w:rPr/>
              <w:t>5.0;</w:t>
            </w:r>
            <w:r>
              <w:rPr/>
              <w:t>8.0;</w:t>
            </w:r>
            <w:r>
              <w:rPr/>
              <w:t>）</w:t>
            </w:r>
          </w:p>
        </w:tc>
        <w:tc>
          <w:tcPr>
            <w:tcW w:type="dxa" w:w="5076"/>
          </w:tcPr>
          <w:p>
            <w:pPr>
              <w:jc w:val="left"/>
            </w:pPr>
            <w:r>
              <w:rPr/>
              <w:t>对投标人社会化运营队伍建设及稳定性的保障方案（包括员工工资薪酬待遇、员工奖罚考核、各岗位工作培训等）进行综合评审： 员工工资高福利好，员工奖罚考核方案科学，岗位培训方案操作性强，得8分； 员工工资高福利较高，员工奖罚考核方案较科学，岗位培训方案操作性较强，得5分； 员工工资高福利一般，员工奖罚考核方案不够科学，岗位培训方案操作性一般，得2分； 员工工资高福利差，员工奖罚考核方案欠科学，岗位培训方案操作性差，得0分；</w:t>
            </w:r>
          </w:p>
        </w:tc>
      </w:tr>
      <w:tr>
        <w:tc>
          <w:tcPr>
            <w:tcW w:type="dxa" w:w="922"/>
            <w:gridSpan w:val="2"/>
            <w:vMerge/>
          </w:tcPr>
          <w:p/>
        </w:tc>
        <w:tc>
          <w:tcPr>
            <w:tcW w:type="dxa" w:w="2307"/>
          </w:tcPr>
          <w:p>
            <w:pPr>
              <w:jc w:val="left"/>
            </w:pPr>
            <w:r>
              <w:rPr/>
              <w:t>承担本项目的服务优势 (5.0分)</w:t>
            </w:r>
            <w:r>
              <w:rPr/>
              <w:t>，（等次分值选择：</w:t>
            </w:r>
            <w:r>
              <w:rPr/>
              <w:t>0.0;</w:t>
            </w:r>
            <w:r>
              <w:rPr/>
              <w:t>1.0;</w:t>
            </w:r>
            <w:r>
              <w:rPr/>
              <w:t>3.0;</w:t>
            </w:r>
            <w:r>
              <w:rPr/>
              <w:t>5.0;</w:t>
            </w:r>
            <w:r>
              <w:rPr/>
              <w:t>）</w:t>
            </w:r>
          </w:p>
        </w:tc>
        <w:tc>
          <w:tcPr>
            <w:tcW w:type="dxa" w:w="5076"/>
          </w:tcPr>
          <w:p>
            <w:pPr>
              <w:jc w:val="left"/>
            </w:pPr>
            <w:r>
              <w:rPr/>
              <w:t>投标人针对本项目的服务承诺、服务能力、技术支持度等进行综合评审： 有较高的技术支持，服务保障能力强，得5分； 技术支持一般，服务保障能力较强，得3分； 技术支持尚可，服务保障能力强，得1分； 技术支持较弱，服务保障能力弱，得0分；</w:t>
            </w:r>
          </w:p>
        </w:tc>
      </w:tr>
      <w:tr>
        <w:tc>
          <w:tcPr>
            <w:tcW w:type="dxa" w:w="922"/>
            <w:gridSpan w:val="2"/>
            <w:vMerge w:val="restart"/>
          </w:tcPr>
          <w:p>
            <w:pPr>
              <w:jc w:val="center"/>
            </w:pPr>
            <w:r>
              <w:rPr/>
              <w:t>商务部分</w:t>
            </w:r>
          </w:p>
        </w:tc>
        <w:tc>
          <w:tcPr>
            <w:tcW w:type="dxa" w:w="2307"/>
          </w:tcPr>
          <w:p>
            <w:pPr>
              <w:jc w:val="left"/>
            </w:pPr>
            <w:r>
              <w:rPr/>
              <w:t>管理体系认证 (4.0分)</w:t>
            </w:r>
          </w:p>
        </w:tc>
        <w:tc>
          <w:tcPr>
            <w:tcW w:type="dxa" w:w="5076"/>
          </w:tcPr>
          <w:p>
            <w:pPr>
              <w:jc w:val="left"/>
            </w:pPr>
            <w:r>
              <w:rPr/>
              <w:t>投标人具有有效的质量管理体系认证证书、环境管理体系认证证书、职业健康安全管理体系认证证书、信息安全管理体系认证证书，各得1分，最高得4分，其他情况不得分。 备注：须提供相关证书扫描件，以及在中国国家认证认可监督管理委员会（www.cnca.gov.cn）或中国版权保护中心官方网站查证为有效状态方可计分方能得分，否则不得分。</w:t>
            </w:r>
          </w:p>
        </w:tc>
      </w:tr>
      <w:tr>
        <w:tc>
          <w:tcPr>
            <w:tcW w:type="dxa" w:w="922"/>
            <w:gridSpan w:val="2"/>
            <w:vMerge/>
          </w:tcPr>
          <w:p/>
        </w:tc>
        <w:tc>
          <w:tcPr>
            <w:tcW w:type="dxa" w:w="2307"/>
          </w:tcPr>
          <w:p>
            <w:pPr>
              <w:jc w:val="left"/>
            </w:pPr>
            <w:r>
              <w:rPr/>
              <w:t>技术成果 (3.0分)</w:t>
            </w:r>
          </w:p>
        </w:tc>
        <w:tc>
          <w:tcPr>
            <w:tcW w:type="dxa" w:w="5076"/>
          </w:tcPr>
          <w:p>
            <w:pPr>
              <w:jc w:val="left"/>
            </w:pPr>
            <w:r>
              <w:rPr/>
              <w:t>投标人获有第三方监督考评系统及管理平台系统软件著作权，各得1.5分，最高得3分。 注：须提供软件著作权的复印件并加盖公章。</w:t>
            </w:r>
          </w:p>
        </w:tc>
      </w:tr>
      <w:tr>
        <w:tc>
          <w:tcPr>
            <w:tcW w:type="dxa" w:w="922"/>
            <w:gridSpan w:val="2"/>
            <w:vMerge/>
          </w:tcPr>
          <w:p/>
        </w:tc>
        <w:tc>
          <w:tcPr>
            <w:tcW w:type="dxa" w:w="2307"/>
          </w:tcPr>
          <w:p>
            <w:pPr>
              <w:jc w:val="left"/>
            </w:pPr>
            <w:r>
              <w:rPr/>
              <w:t>供应商业绩 (12.0分)</w:t>
            </w:r>
          </w:p>
        </w:tc>
        <w:tc>
          <w:tcPr>
            <w:tcW w:type="dxa" w:w="5076"/>
          </w:tcPr>
          <w:p>
            <w:pPr>
              <w:jc w:val="left"/>
            </w:pPr>
            <w:r>
              <w:rPr/>
              <w:t>投标人自2017年1月1日以来（以合同签订时间为准），独立完成的数字城管运营服务类项目或人居环境或扬尘巡查项目，每个得4分，最高得12分。 注：须同时提供业绩合同或中标通知书复印件并加盖投标人公章，缺一不可。</w:t>
            </w:r>
          </w:p>
        </w:tc>
      </w:tr>
      <w:tr>
        <w:tc>
          <w:tcPr>
            <w:tcW w:type="dxa" w:w="922"/>
            <w:gridSpan w:val="2"/>
            <w:vMerge/>
          </w:tcPr>
          <w:p/>
        </w:tc>
        <w:tc>
          <w:tcPr>
            <w:tcW w:type="dxa" w:w="2307"/>
          </w:tcPr>
          <w:p>
            <w:pPr>
              <w:jc w:val="left"/>
            </w:pPr>
            <w:r>
              <w:rPr/>
              <w:t>服务质量 (6.0分)</w:t>
            </w:r>
          </w:p>
        </w:tc>
        <w:tc>
          <w:tcPr>
            <w:tcW w:type="dxa" w:w="5076"/>
          </w:tcPr>
          <w:p>
            <w:pPr>
              <w:jc w:val="left"/>
            </w:pPr>
            <w:r>
              <w:rPr/>
              <w:t>以上有效业绩得到用户正面评价的每个2分，最高6分。注：须提供相关的用户服务质量评价或考核结果，评价或结果必须体现为优秀或满意等正面评价，并加盖用户公章。</w:t>
            </w:r>
          </w:p>
        </w:tc>
      </w:tr>
      <w:tr>
        <w:tc>
          <w:tcPr>
            <w:tcW w:type="dxa" w:w="922"/>
            <w:gridSpan w:val="2"/>
            <w:vMerge/>
          </w:tcPr>
          <w:p/>
        </w:tc>
        <w:tc>
          <w:tcPr>
            <w:tcW w:type="dxa" w:w="2307"/>
          </w:tcPr>
          <w:p>
            <w:pPr>
              <w:jc w:val="left"/>
            </w:pPr>
            <w:r>
              <w:rPr/>
              <w:t>拟投入人员 (10.0分)</w:t>
            </w:r>
          </w:p>
        </w:tc>
        <w:tc>
          <w:tcPr>
            <w:tcW w:type="dxa" w:w="5076"/>
          </w:tcPr>
          <w:p>
            <w:pPr>
              <w:jc w:val="left"/>
            </w:pPr>
            <w:r>
              <w:rPr/>
              <w:t>投标人拟投入本项目的服务人员中，参与过数字城管服务类项目的，每提供一人得1分，最高得10分。 注：须提供以上人员2022年3-6月社保证明的复印件及用户方盖章出具的证明材料方能得分，否则不得分。 注：须提供以上人员相关证明材料（合同或用户方出具的证明材料等）复印件及在投标人单位的人员缴纳社保资金的有效社保证明材料复印件（扣除公布招标公告当月往前顺推3个月）并加盖投标人公章。以上证明材料缺一不可。</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报价最低的为评标基准价。如：投标报价X为报价最低，评标基准价为X，得满分 15 分】。因落实政府采购政策进行价格调整的，以调整后的价格计算评标基准价和投标报价。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center"/>
      </w:pPr>
      <w:r>
        <w:rPr>
          <w:b/>
          <w:sz w:val="68"/>
        </w:rPr>
        <w:t>佛山市政府采购项目</w:t>
      </w:r>
    </w:p>
    <w:p>
      <w:pPr>
        <w:jc w:val="center"/>
      </w:pPr>
      <w:r>
        <w:rPr/>
        <w:t xml:space="preserve"> </w:t>
      </w:r>
    </w:p>
    <w:p>
      <w:pPr>
        <w:jc w:val="center"/>
      </w:pPr>
      <w:r>
        <w:rPr/>
        <w:t xml:space="preserve"> </w:t>
      </w:r>
    </w:p>
    <w:p>
      <w:pPr>
        <w:jc w:val="both"/>
      </w:pPr>
    </w:p>
    <w:p>
      <w:pPr>
        <w:jc w:val="both"/>
      </w:pPr>
    </w:p>
    <w:p>
      <w:pPr>
        <w:jc w:val="center"/>
      </w:pPr>
      <w:r>
        <w:rPr>
          <w:b/>
          <w:sz w:val="68"/>
        </w:rPr>
        <w:t>合</w:t>
      </w:r>
      <w:r>
        <w:rPr>
          <w:b/>
          <w:sz w:val="68"/>
        </w:rPr>
        <w:t>同</w:t>
      </w:r>
      <w:r>
        <w:rPr>
          <w:b/>
          <w:sz w:val="68"/>
        </w:rPr>
        <w:t>书</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560"/>
        <w:gridCol w:w="3570"/>
      </w:tblGrid>
      <w:tr>
        <w:tc>
          <w:tcPr>
            <w:tcW w:type="dxa" w:w="1560"/>
            <w:tcBorders>
              <w:top w:val="none" w:color="000000" w:sz="4"/>
              <w:left w:val="none" w:color="000000" w:sz="4"/>
              <w:bottom w:val="none" w:color="000000" w:sz="4"/>
              <w:right w:val="none" w:color="000000" w:sz="4"/>
            </w:tcBorders>
            <w:vAlign w:val="top"/>
          </w:tcPr>
          <w:p>
            <w:pPr>
              <w:jc w:val="both"/>
            </w:pPr>
            <w:r>
              <w:rPr>
                <w:b/>
                <w:sz w:val="24"/>
              </w:rPr>
              <w:t>项目编号：</w:t>
            </w:r>
          </w:p>
        </w:tc>
        <w:tc>
          <w:tcPr>
            <w:tcW w:type="dxa" w:w="3570"/>
            <w:tcBorders>
              <w:top w:val="none" w:color="000000" w:sz="4"/>
              <w:left w:val="none" w:color="000000" w:sz="4"/>
              <w:bottom w:val="none" w:color="000000" w:sz="4"/>
              <w:right w:val="none" w:color="000000" w:sz="4"/>
            </w:tcBorders>
            <w:vAlign w:val="top"/>
          </w:tcPr>
          <w:p>
            <w:pPr>
              <w:jc w:val="both"/>
            </w:pPr>
            <w:r>
              <w:rPr>
                <w:b/>
                <w:sz w:val="24"/>
                <w:u w:val="single"/>
              </w:rPr>
              <w:t>440606-2022-08761</w:t>
            </w:r>
          </w:p>
        </w:tc>
      </w:tr>
      <w:tr>
        <w:tc>
          <w:tcPr>
            <w:tcW w:type="dxa" w:w="1560"/>
            <w:tcBorders>
              <w:top w:val="none" w:color="000000" w:sz="4"/>
              <w:left w:val="none" w:color="000000" w:sz="4"/>
              <w:bottom w:val="none" w:color="000000" w:sz="4"/>
              <w:right w:val="none" w:color="000000" w:sz="4"/>
            </w:tcBorders>
            <w:vAlign w:val="top"/>
          </w:tcPr>
          <w:p>
            <w:pPr>
              <w:jc w:val="both"/>
            </w:pPr>
            <w:r>
              <w:rPr>
                <w:b/>
                <w:sz w:val="24"/>
              </w:rPr>
              <w:t>项目名称：</w:t>
            </w:r>
          </w:p>
        </w:tc>
        <w:tc>
          <w:tcPr>
            <w:tcW w:type="dxa" w:w="3570"/>
            <w:tcBorders>
              <w:top w:val="none" w:color="000000" w:sz="4"/>
              <w:left w:val="none" w:color="000000" w:sz="4"/>
              <w:bottom w:val="none" w:color="000000" w:sz="4"/>
              <w:right w:val="none" w:color="000000" w:sz="4"/>
            </w:tcBorders>
            <w:vAlign w:val="top"/>
          </w:tcPr>
          <w:p>
            <w:pPr>
              <w:jc w:val="both"/>
            </w:pPr>
            <w:r>
              <w:rPr>
                <w:b/>
                <w:sz w:val="24"/>
                <w:u w:val="single"/>
              </w:rPr>
              <w:t>2022-2023年</w:t>
            </w:r>
            <w:r>
              <w:rPr>
                <w:b/>
                <w:sz w:val="24"/>
                <w:u w:val="single"/>
              </w:rPr>
              <w:t>容桂街道数字城管社会化运营服务项目</w:t>
            </w: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5160"/>
      </w:tblGrid>
      <w:tr>
        <w:tc>
          <w:tcPr>
            <w:tcW w:type="dxa" w:w="5160"/>
            <w:tcBorders>
              <w:top w:val="none" w:color="000000" w:sz="4"/>
              <w:left w:val="none" w:color="000000" w:sz="4"/>
              <w:bottom w:val="none" w:color="000000" w:sz="4"/>
              <w:right w:val="none" w:color="000000" w:sz="4"/>
            </w:tcBorders>
            <w:vAlign w:val="top"/>
          </w:tcPr>
          <w:p>
            <w:r>
              <w:rPr>
                <w:b/>
                <w:sz w:val="24"/>
              </w:rPr>
              <w:t>甲方：</w:t>
            </w:r>
            <w:r>
              <w:rPr>
                <w:b/>
                <w:sz w:val="24"/>
                <w:u w:val="single"/>
              </w:rPr>
              <w:t xml:space="preserve"> 佛山市顺德区容桂街道综合行政执法办公室</w:t>
            </w:r>
          </w:p>
        </w:tc>
      </w:tr>
      <w:tr>
        <w:tc>
          <w:tcPr>
            <w:tcW w:type="dxa" w:w="5160"/>
            <w:tcBorders>
              <w:top w:val="none" w:color="000000" w:sz="4"/>
              <w:left w:val="none" w:color="000000" w:sz="4"/>
              <w:bottom w:val="none" w:color="000000" w:sz="4"/>
              <w:right w:val="none" w:color="000000" w:sz="4"/>
            </w:tcBorders>
            <w:vAlign w:val="top"/>
          </w:tcPr>
          <w:p>
            <w:r>
              <w:rPr>
                <w:b/>
                <w:sz w:val="24"/>
              </w:rPr>
              <w:t>乙方：</w:t>
            </w:r>
            <w:r>
              <w:rPr>
                <w:b/>
                <w:sz w:val="24"/>
                <w:u w:val="single"/>
              </w:rPr>
              <w:t xml:space="preserve"> （中标人）      </w:t>
            </w:r>
            <w:r>
              <w:rPr>
                <w:b/>
                <w:sz w:val="24"/>
                <w:u w:val="single"/>
              </w:rPr>
              <w:t xml:space="preserve">      </w:t>
            </w:r>
            <w:r>
              <w:rPr>
                <w:b/>
                <w:sz w:val="24"/>
                <w:u w:val="single"/>
              </w:rPr>
              <w:t xml:space="preserve">      </w:t>
            </w:r>
          </w:p>
        </w:tc>
      </w:tr>
      <w:tr>
        <w:tc>
          <w:tcPr>
            <w:tcW w:type="dxa" w:w="5160"/>
            <w:tcBorders>
              <w:top w:val="none" w:color="000000" w:sz="4"/>
              <w:left w:val="none" w:color="000000" w:sz="4"/>
              <w:bottom w:val="none" w:color="000000" w:sz="4"/>
              <w:right w:val="none" w:color="000000" w:sz="4"/>
            </w:tcBorders>
            <w:vAlign w:val="top"/>
          </w:tcPr>
          <w:p>
            <w:r>
              <w:rPr>
                <w:b/>
                <w:sz w:val="24"/>
              </w:rPr>
              <w:t>签订日期：</w:t>
            </w:r>
            <w:r>
              <w:rPr>
                <w:b/>
                <w:sz w:val="24"/>
              </w:rPr>
              <w:t xml:space="preserve"> </w:t>
            </w:r>
            <w:r>
              <w:rPr>
                <w:b/>
                <w:sz w:val="24"/>
              </w:rPr>
              <w:t>年</w:t>
            </w:r>
            <w:r>
              <w:rPr>
                <w:b/>
                <w:sz w:val="24"/>
              </w:rPr>
              <w:t xml:space="preserve">    </w:t>
            </w:r>
            <w:r>
              <w:rPr>
                <w:b/>
                <w:sz w:val="24"/>
              </w:rPr>
              <w:t>月    日</w:t>
            </w:r>
          </w:p>
        </w:tc>
      </w:tr>
    </w:tbl>
    <w:p>
      <w:pPr>
        <w:jc w:val="both"/>
      </w:pPr>
    </w:p>
    <w:p>
      <w:pPr>
        <w:jc w:val="both"/>
      </w:pPr>
    </w:p>
    <w:p/>
    <w:p/>
    <w:p>
      <w:r>
        <w:rPr/>
        <w:t xml:space="preserve"> </w:t>
      </w:r>
    </w:p>
    <w:p>
      <w:pPr>
        <w:jc w:val="both"/>
      </w:pPr>
      <w:r>
        <w:rPr>
          <w:b/>
          <w:sz w:val="24"/>
        </w:rPr>
        <w:t>甲</w:t>
      </w:r>
      <w:r>
        <w:rPr>
          <w:b/>
          <w:sz w:val="24"/>
        </w:rPr>
        <w:t xml:space="preserve">     </w:t>
      </w:r>
      <w:r>
        <w:rPr>
          <w:b/>
          <w:sz w:val="24"/>
        </w:rPr>
        <w:t>方：</w:t>
      </w:r>
      <w:r>
        <w:rPr>
          <w:b/>
          <w:sz w:val="24"/>
          <w:u w:val="single"/>
        </w:rPr>
        <w:t xml:space="preserve"> </w:t>
      </w:r>
      <w:r>
        <w:rPr>
          <w:b/>
          <w:sz w:val="24"/>
          <w:u w:val="single"/>
        </w:rPr>
        <w:t>（采购人）</w:t>
      </w:r>
      <w:r>
        <w:rPr>
          <w:b/>
          <w:sz w:val="24"/>
          <w:u w:val="single"/>
        </w:rPr>
        <w:t xml:space="preserve">         </w:t>
      </w:r>
    </w:p>
    <w:p>
      <w:pPr>
        <w:jc w:val="both"/>
      </w:pPr>
      <w:r>
        <w:rPr>
          <w:b/>
          <w:sz w:val="24"/>
        </w:rPr>
        <w:t>乙</w:t>
      </w:r>
      <w:r>
        <w:rPr>
          <w:b/>
          <w:sz w:val="24"/>
        </w:rPr>
        <w:t xml:space="preserve">     </w:t>
      </w:r>
      <w:r>
        <w:rPr>
          <w:b/>
          <w:sz w:val="24"/>
        </w:rPr>
        <w:t>方：</w:t>
      </w:r>
      <w:r>
        <w:rPr>
          <w:b/>
          <w:sz w:val="24"/>
          <w:u w:val="single"/>
        </w:rPr>
        <w:t xml:space="preserve"> </w:t>
      </w:r>
      <w:r>
        <w:rPr>
          <w:b/>
          <w:sz w:val="24"/>
          <w:u w:val="single"/>
        </w:rPr>
        <w:t>（中标人）</w:t>
      </w:r>
      <w:r>
        <w:rPr>
          <w:b/>
          <w:sz w:val="24"/>
          <w:u w:val="single"/>
        </w:rPr>
        <w:t xml:space="preserve">         </w:t>
      </w:r>
    </w:p>
    <w:p>
      <w:pPr>
        <w:ind w:firstLine="480"/>
        <w:jc w:val="both"/>
      </w:pPr>
    </w:p>
    <w:p>
      <w:pPr>
        <w:ind w:firstLine="480"/>
        <w:jc w:val="both"/>
      </w:pPr>
    </w:p>
    <w:p>
      <w:pPr>
        <w:ind w:firstLine="480"/>
        <w:jc w:val="both"/>
      </w:pPr>
      <w:r>
        <w:rPr>
          <w:sz w:val="24"/>
        </w:rPr>
        <w:t>根据</w:t>
      </w:r>
      <w:r>
        <w:rPr>
          <w:sz w:val="24"/>
          <w:u w:val="single"/>
        </w:rPr>
        <w:t>2022-2023年度容桂街道数字城管社会化运营服务</w:t>
      </w:r>
      <w:r>
        <w:rPr>
          <w:sz w:val="24"/>
        </w:rPr>
        <w:t>的采购结果，按照《中华人民共和国政府采购法》《中华人民共和国民法典》、招标文件的要求，</w:t>
      </w:r>
      <w:r>
        <w:rPr>
          <w:sz w:val="24"/>
        </w:rPr>
        <w:t>经双方协商，</w:t>
      </w:r>
      <w:r>
        <w:rPr>
          <w:sz w:val="24"/>
        </w:rPr>
        <w:t>本着平等互利和诚实信用的原则，</w:t>
      </w:r>
      <w:r>
        <w:rPr>
          <w:sz w:val="24"/>
        </w:rPr>
        <w:t>一致同意签订本合同如下。</w:t>
      </w:r>
    </w:p>
    <w:p>
      <w:pPr>
        <w:ind w:firstLine="480"/>
        <w:jc w:val="both"/>
      </w:pPr>
      <w:r>
        <w:rPr>
          <w:sz w:val="24"/>
        </w:rPr>
        <w:t>一、</w:t>
      </w:r>
      <w:r>
        <w:rPr>
          <w:b/>
          <w:sz w:val="24"/>
        </w:rPr>
        <w:t>项目名称、编号</w:t>
      </w:r>
    </w:p>
    <w:p>
      <w:pPr>
        <w:ind w:firstLine="480"/>
        <w:jc w:val="both"/>
      </w:pPr>
      <w:r>
        <w:rPr>
          <w:sz w:val="24"/>
        </w:rPr>
        <w:t>（一）项目名称：</w:t>
      </w:r>
      <w:r>
        <w:rPr>
          <w:sz w:val="24"/>
        </w:rPr>
        <w:t>2022-2023年度容桂街道数字城管社会化运营服务</w:t>
      </w:r>
    </w:p>
    <w:p>
      <w:pPr>
        <w:ind w:firstLine="480"/>
        <w:jc w:val="both"/>
      </w:pPr>
      <w:r>
        <w:rPr>
          <w:sz w:val="24"/>
        </w:rPr>
        <w:t>（二</w:t>
      </w:r>
      <w:r>
        <w:rPr>
          <w:sz w:val="24"/>
        </w:rPr>
        <w:t>）</w:t>
      </w:r>
      <w:r>
        <w:rPr>
          <w:sz w:val="24"/>
        </w:rPr>
        <w:t>项目编号：</w:t>
      </w:r>
    </w:p>
    <w:p>
      <w:pPr>
        <w:ind w:firstLine="480"/>
      </w:pPr>
      <w:r>
        <w:rPr>
          <w:sz w:val="24"/>
        </w:rPr>
        <w:t xml:space="preserve"> 二、</w:t>
      </w:r>
      <w:r>
        <w:rPr>
          <w:b/>
          <w:sz w:val="24"/>
        </w:rPr>
        <w:t>服务范围</w:t>
      </w:r>
    </w:p>
    <w:p>
      <w:pPr>
        <w:ind w:firstLine="566"/>
        <w:jc w:val="both"/>
      </w:pPr>
      <w:r>
        <w:rPr>
          <w:sz w:val="24"/>
          <w:u w:val="single"/>
        </w:rPr>
        <w:t>（根据招标文件第二部分</w:t>
      </w:r>
      <w:r>
        <w:rPr>
          <w:sz w:val="24"/>
          <w:u w:val="single"/>
        </w:rPr>
        <w:t>“技术要求”及中标人的响应承诺完善。）</w:t>
      </w:r>
    </w:p>
    <w:p>
      <w:pPr>
        <w:ind w:firstLine="566"/>
        <w:jc w:val="both"/>
      </w:pPr>
      <w:r>
        <w:rPr>
          <w:b/>
          <w:sz w:val="24"/>
        </w:rPr>
        <w:t>三、合同服务费金额</w:t>
      </w:r>
    </w:p>
    <w:p>
      <w:pPr>
        <w:ind w:firstLine="566"/>
        <w:jc w:val="both"/>
      </w:pPr>
      <w:r>
        <w:rPr>
          <w:sz w:val="24"/>
        </w:rPr>
        <w:t>（一）合同总价：</w:t>
      </w:r>
    </w:p>
    <w:p>
      <w:pPr>
        <w:ind w:firstLine="720"/>
        <w:jc w:val="left"/>
      </w:pPr>
      <w:r>
        <w:rPr>
          <w:sz w:val="24"/>
        </w:rPr>
        <w:t>小写：￥</w:t>
      </w:r>
      <w:r>
        <w:rPr>
          <w:sz w:val="24"/>
          <w:u w:val="single"/>
        </w:rPr>
        <w:t xml:space="preserve">                   </w:t>
      </w:r>
      <w:r>
        <w:rPr>
          <w:sz w:val="24"/>
        </w:rPr>
        <w:t>；</w:t>
      </w:r>
    </w:p>
    <w:p>
      <w:pPr>
        <w:ind w:firstLine="720"/>
        <w:jc w:val="left"/>
      </w:pPr>
      <w:r>
        <w:rPr>
          <w:sz w:val="24"/>
        </w:rPr>
        <w:t>大写：人民币</w:t>
      </w:r>
      <w:r>
        <w:rPr>
          <w:sz w:val="24"/>
          <w:u w:val="single"/>
        </w:rPr>
        <w:t xml:space="preserve">               </w:t>
      </w:r>
      <w:r>
        <w:rPr>
          <w:sz w:val="24"/>
        </w:rPr>
        <w:t>。</w:t>
      </w:r>
    </w:p>
    <w:p>
      <w:pPr>
        <w:ind w:firstLine="720"/>
        <w:jc w:val="left"/>
      </w:pPr>
      <w:r>
        <w:rPr>
          <w:sz w:val="24"/>
        </w:rPr>
        <w:t>（二）合同价为广东省佛山市目的地交付价。</w:t>
      </w:r>
    </w:p>
    <w:p>
      <w:pPr>
        <w:ind w:firstLine="720"/>
        <w:jc w:val="left"/>
      </w:pPr>
      <w:r>
        <w:rPr>
          <w:sz w:val="24"/>
        </w:rPr>
        <w:t>（三）合同价为乙方为完成本项目所收取的全部费用，包含但不限于以下费用：</w:t>
      </w:r>
    </w:p>
    <w:p>
      <w:pPr>
        <w:jc w:val="left"/>
      </w:pPr>
      <w:r>
        <w:rPr>
          <w:sz w:val="24"/>
        </w:rPr>
        <w:t>所有人员费用、人员社保费及社保预增费、培训辅导费用、交通费用、办公场地及设备费用、管理费用、售后服务等伴随的服务、各种税费及合同实施过程中的不可预见等全部费用。甲方将不再支付其它任何费用</w:t>
      </w:r>
      <w:r>
        <w:rPr>
          <w:sz w:val="24"/>
        </w:rPr>
        <w:t>。</w:t>
      </w:r>
    </w:p>
    <w:p>
      <w:pPr>
        <w:jc w:val="left"/>
      </w:pPr>
      <w:r>
        <w:rPr>
          <w:b/>
          <w:sz w:val="24"/>
        </w:rPr>
        <w:t>四、服务期</w:t>
      </w:r>
    </w:p>
    <w:p>
      <w:pPr>
        <w:jc w:val="left"/>
      </w:pPr>
      <w:r>
        <w:rPr>
          <w:sz w:val="24"/>
        </w:rPr>
        <w:t>自合同签订生效之日起</w:t>
      </w:r>
      <w:r>
        <w:rPr>
          <w:sz w:val="24"/>
        </w:rPr>
        <w:t>1年</w:t>
      </w:r>
      <w:r>
        <w:rPr>
          <w:sz w:val="24"/>
        </w:rPr>
        <w:t>。即自</w:t>
      </w:r>
      <w:r>
        <w:rPr>
          <w:sz w:val="24"/>
        </w:rPr>
        <w:t xml:space="preserve">    </w:t>
      </w:r>
      <w:r>
        <w:rPr>
          <w:sz w:val="24"/>
        </w:rPr>
        <w:t>年</w:t>
      </w:r>
      <w:r>
        <w:rPr>
          <w:sz w:val="24"/>
        </w:rPr>
        <w:t xml:space="preserve">   </w:t>
      </w:r>
      <w:r>
        <w:rPr>
          <w:sz w:val="24"/>
        </w:rPr>
        <w:t>月</w:t>
      </w:r>
      <w:r>
        <w:rPr>
          <w:sz w:val="24"/>
        </w:rPr>
        <w:t xml:space="preserve">   </w:t>
      </w:r>
      <w:r>
        <w:rPr>
          <w:sz w:val="24"/>
        </w:rPr>
        <w:t>日至</w:t>
      </w:r>
      <w:r>
        <w:rPr>
          <w:sz w:val="24"/>
        </w:rPr>
        <w:t xml:space="preserve">    </w:t>
      </w:r>
      <w:r>
        <w:rPr>
          <w:sz w:val="24"/>
        </w:rPr>
        <w:t>年</w:t>
      </w:r>
      <w:r>
        <w:rPr>
          <w:sz w:val="24"/>
        </w:rPr>
        <w:t xml:space="preserve">  </w:t>
      </w:r>
      <w:r>
        <w:rPr>
          <w:sz w:val="24"/>
        </w:rPr>
        <w:t>月</w:t>
      </w:r>
      <w:r>
        <w:rPr>
          <w:sz w:val="24"/>
        </w:rPr>
        <w:t xml:space="preserve">  </w:t>
      </w:r>
      <w:r>
        <w:rPr>
          <w:sz w:val="24"/>
        </w:rPr>
        <w:t>日止。</w:t>
      </w:r>
    </w:p>
    <w:p>
      <w:pPr>
        <w:jc w:val="left"/>
      </w:pPr>
      <w:r>
        <w:rPr>
          <w:b/>
          <w:sz w:val="24"/>
        </w:rPr>
        <w:t>五、服务地点</w:t>
      </w:r>
    </w:p>
    <w:p>
      <w:pPr>
        <w:ind w:firstLine="624"/>
        <w:jc w:val="both"/>
      </w:pPr>
      <w:r>
        <w:rPr>
          <w:sz w:val="24"/>
        </w:rPr>
        <w:t>甲方指定的容桂街道数字城管运营区域。</w:t>
      </w:r>
    </w:p>
    <w:p>
      <w:pPr>
        <w:ind w:firstLine="624"/>
        <w:jc w:val="both"/>
      </w:pPr>
      <w:r>
        <w:rPr>
          <w:b/>
          <w:sz w:val="24"/>
        </w:rPr>
        <w:t>六、服务要求</w:t>
      </w:r>
    </w:p>
    <w:p>
      <w:pPr>
        <w:jc w:val="both"/>
      </w:pPr>
      <w:r>
        <w:rPr>
          <w:sz w:val="24"/>
        </w:rPr>
        <w:t>必须符合招标文件的规定要求、国家和行业的相关标准。</w:t>
      </w:r>
    </w:p>
    <w:p>
      <w:pPr>
        <w:jc w:val="both"/>
      </w:pPr>
      <w:r>
        <w:rPr>
          <w:b/>
          <w:sz w:val="24"/>
        </w:rPr>
        <w:t>七、验收标准</w:t>
      </w:r>
    </w:p>
    <w:p>
      <w:pPr>
        <w:jc w:val="both"/>
      </w:pPr>
      <w:r>
        <w:rPr>
          <w:sz w:val="24"/>
        </w:rPr>
        <w:t>1.验收要求</w:t>
      </w:r>
    </w:p>
    <w:p>
      <w:pPr>
        <w:jc w:val="both"/>
      </w:pPr>
      <w:r>
        <w:rPr>
          <w:sz w:val="24"/>
        </w:rPr>
        <w:t>乙方须为验收提供必需的一切条件及相关费用。</w:t>
      </w:r>
    </w:p>
    <w:p>
      <w:pPr>
        <w:jc w:val="both"/>
      </w:pPr>
      <w:r>
        <w:rPr>
          <w:sz w:val="24"/>
        </w:rPr>
        <w:t>2.项目验收依次序对照执行标准</w:t>
      </w:r>
    </w:p>
    <w:p>
      <w:pPr>
        <w:jc w:val="both"/>
      </w:pPr>
      <w:r>
        <w:rPr>
          <w:sz w:val="24"/>
        </w:rPr>
        <w:t>（</w:t>
      </w:r>
      <w:r>
        <w:rPr>
          <w:sz w:val="24"/>
        </w:rPr>
        <w:t>1）符合中华人民共和国国家和履约地相关安全质量标准、行业技术规范标准、环保节能标准；</w:t>
      </w:r>
    </w:p>
    <w:p>
      <w:pPr>
        <w:jc w:val="both"/>
      </w:pPr>
      <w:r>
        <w:rPr>
          <w:sz w:val="24"/>
        </w:rPr>
        <w:t>（</w:t>
      </w:r>
      <w:r>
        <w:rPr>
          <w:sz w:val="24"/>
        </w:rPr>
        <w:t>2）符合招标文件和投标承诺中各方共同认可的各项要求；</w:t>
      </w:r>
    </w:p>
    <w:p>
      <w:pPr>
        <w:jc w:val="both"/>
      </w:pPr>
      <w:r>
        <w:rPr>
          <w:sz w:val="24"/>
        </w:rPr>
        <w:t>（</w:t>
      </w:r>
      <w:r>
        <w:rPr>
          <w:sz w:val="24"/>
        </w:rPr>
        <w:t>3）符合货物来源国官方颁布标准；</w:t>
      </w:r>
    </w:p>
    <w:p>
      <w:pPr>
        <w:jc w:val="both"/>
      </w:pPr>
      <w:r>
        <w:rPr>
          <w:sz w:val="24"/>
        </w:rPr>
        <w:t>（</w:t>
      </w:r>
      <w:r>
        <w:rPr>
          <w:sz w:val="24"/>
        </w:rPr>
        <w:t>4）上述各类标准与法规必须是有关官方机构最新发布的现行标准版本。</w:t>
      </w:r>
    </w:p>
    <w:p>
      <w:pPr>
        <w:jc w:val="both"/>
      </w:pPr>
      <w:r>
        <w:rPr>
          <w:b/>
          <w:sz w:val="24"/>
        </w:rPr>
        <w:t>八、人员管理</w:t>
      </w:r>
    </w:p>
    <w:p>
      <w:pPr>
        <w:jc w:val="both"/>
      </w:pPr>
      <w:r>
        <w:rPr>
          <w:sz w:val="24"/>
        </w:rPr>
        <w:t>1.乙方须按其投标文件中承诺提供的项目组人员必须按要求投入到本项目中，在合同期内不得擅自更换。如无特殊原因原则上不能中途变更人员，确需变更人员的需经甲方书面同意。人员离开后，需在7天内作出补充。</w:t>
      </w:r>
    </w:p>
    <w:p>
      <w:pPr>
        <w:jc w:val="both"/>
      </w:pPr>
      <w:r>
        <w:rPr>
          <w:sz w:val="24"/>
        </w:rPr>
        <w:t>2.甲方有权以书面形式要求乙方更换不能按规定履行合同的人员。即使是甲方要求或同意更换的人员，其代替人员的资质仍应得到甲方的认可，且其资历和经验均不低于被更换人员。由此而产生的费用由乙方承担。</w:t>
      </w:r>
    </w:p>
    <w:p>
      <w:pPr>
        <w:jc w:val="both"/>
      </w:pPr>
      <w:r>
        <w:rPr>
          <w:sz w:val="24"/>
        </w:rPr>
        <w:t>3.如乙方未经甲方书面同意擅自更换项目组人员，甲方有权扣除乙方一定的违约金。发生本条上述情况累计达4次后，甲方有权终止合同，由此引致的经济损失，乙方须全额赔偿，甲方保留追究乙方相关责任的权利。</w:t>
      </w:r>
    </w:p>
    <w:p>
      <w:pPr>
        <w:jc w:val="both"/>
      </w:pPr>
      <w:r>
        <w:rPr>
          <w:sz w:val="24"/>
        </w:rPr>
        <w:t>4.乙方对其雇员的人身安全负全部责任。</w:t>
      </w:r>
    </w:p>
    <w:tbl>
      <w:tblPr>
        <w:tblW w:w="0" w:type="auto"/>
        <w:tblInd w:type="dxa" w:w="300"/>
        <w:tblBorders>
          <w:top w:val="none" w:color="000000" w:sz="4"/>
          <w:left w:val="none" w:color="000000" w:sz="4"/>
          <w:bottom w:val="none" w:color="000000" w:sz="4"/>
          <w:right w:val="none" w:color="000000" w:sz="4"/>
          <w:insideH w:val="none"/>
          <w:insideV w:val="none"/>
        </w:tblBorders>
      </w:tblPr>
      <w:tblGrid>
        <w:gridCol w:w="903"/>
        <w:gridCol w:w="1923"/>
        <w:gridCol w:w="1311"/>
        <w:gridCol w:w="2667"/>
        <w:gridCol w:w="1501"/>
      </w:tblGrid>
      <w:tr>
        <w:tc>
          <w:tcPr>
            <w:tcW w:type="dxa" w:w="903"/>
            <w:tcBorders>
              <w:top w:val="single" w:color="000000" w:sz="4"/>
              <w:left w:val="single" w:color="000000" w:sz="4"/>
              <w:bottom w:val="single" w:color="000000" w:sz="4"/>
              <w:right w:val="single" w:color="000000" w:sz="4"/>
            </w:tcBorders>
            <w:vAlign w:val="top"/>
          </w:tcPr>
          <w:p>
            <w:pPr>
              <w:jc w:val="left"/>
            </w:pPr>
            <w:r>
              <w:rPr>
                <w:sz w:val="24"/>
              </w:rPr>
              <w:t>序号</w:t>
            </w:r>
          </w:p>
        </w:tc>
        <w:tc>
          <w:tcPr>
            <w:tcW w:type="dxa" w:w="1923"/>
            <w:tcBorders>
              <w:top w:val="single" w:color="000000" w:sz="4"/>
              <w:left w:val="single" w:color="000000" w:sz="4"/>
              <w:bottom w:val="single" w:color="000000" w:sz="4"/>
              <w:right w:val="single" w:color="000000" w:sz="4"/>
            </w:tcBorders>
            <w:vAlign w:val="top"/>
          </w:tcPr>
          <w:p>
            <w:pPr>
              <w:jc w:val="left"/>
            </w:pPr>
            <w:r>
              <w:rPr>
                <w:sz w:val="24"/>
              </w:rPr>
              <w:t>投入本项目人员</w:t>
            </w:r>
          </w:p>
        </w:tc>
        <w:tc>
          <w:tcPr>
            <w:tcW w:type="dxa" w:w="1311"/>
            <w:tcBorders>
              <w:top w:val="single" w:color="000000" w:sz="4"/>
              <w:left w:val="single" w:color="000000" w:sz="4"/>
              <w:bottom w:val="single" w:color="000000" w:sz="4"/>
              <w:right w:val="single" w:color="000000" w:sz="4"/>
            </w:tcBorders>
            <w:vAlign w:val="top"/>
          </w:tcPr>
          <w:p>
            <w:pPr>
              <w:jc w:val="left"/>
            </w:pPr>
            <w:r>
              <w:rPr>
                <w:sz w:val="24"/>
              </w:rPr>
              <w:t>任职岗位</w:t>
            </w:r>
          </w:p>
        </w:tc>
        <w:tc>
          <w:tcPr>
            <w:tcW w:type="dxa" w:w="2667"/>
            <w:tcBorders>
              <w:top w:val="single" w:color="000000" w:sz="4"/>
              <w:left w:val="single" w:color="000000" w:sz="4"/>
              <w:bottom w:val="single" w:color="000000" w:sz="4"/>
              <w:right w:val="single" w:color="000000" w:sz="4"/>
            </w:tcBorders>
            <w:vAlign w:val="top"/>
          </w:tcPr>
          <w:p>
            <w:pPr>
              <w:jc w:val="left"/>
            </w:pPr>
            <w:r>
              <w:rPr>
                <w:sz w:val="24"/>
              </w:rPr>
              <w:t>资格证书或执业证书</w:t>
            </w:r>
          </w:p>
        </w:tc>
        <w:tc>
          <w:tcPr>
            <w:tcW w:type="dxa" w:w="1501"/>
            <w:tcBorders>
              <w:top w:val="single" w:color="000000" w:sz="4"/>
              <w:left w:val="single" w:color="000000" w:sz="4"/>
              <w:bottom w:val="single" w:color="000000" w:sz="4"/>
              <w:right w:val="single" w:color="000000" w:sz="4"/>
            </w:tcBorders>
            <w:vAlign w:val="top"/>
          </w:tcPr>
          <w:p>
            <w:pPr>
              <w:jc w:val="left"/>
            </w:pPr>
            <w:r>
              <w:rPr>
                <w:sz w:val="24"/>
              </w:rPr>
              <w:t>备注</w:t>
            </w:r>
          </w:p>
        </w:tc>
      </w:tr>
      <w:tr>
        <w:tc>
          <w:tcPr>
            <w:tcW w:type="dxa" w:w="903"/>
            <w:tcBorders>
              <w:top w:val="none" w:color="000000" w:sz="4"/>
              <w:left w:val="single" w:color="000000" w:sz="4"/>
              <w:bottom w:val="single" w:color="000000" w:sz="4"/>
              <w:right w:val="single" w:color="000000" w:sz="4"/>
            </w:tcBorders>
            <w:vAlign w:val="top"/>
          </w:tcPr>
          <w:p>
            <w:pPr>
              <w:jc w:val="left"/>
            </w:pPr>
            <w:r>
              <w:rPr>
                <w:sz w:val="24"/>
              </w:rPr>
              <w:t>1</w:t>
            </w:r>
          </w:p>
        </w:tc>
        <w:tc>
          <w:tcPr>
            <w:tcW w:type="dxa" w:w="1923"/>
            <w:tcBorders>
              <w:top w:val="none" w:color="000000" w:sz="4"/>
              <w:left w:val="single" w:color="000000" w:sz="4"/>
              <w:bottom w:val="single" w:color="000000" w:sz="4"/>
              <w:right w:val="single" w:color="000000" w:sz="4"/>
            </w:tcBorders>
            <w:vAlign w:val="top"/>
          </w:tcPr>
          <w:p>
            <w:pPr>
              <w:jc w:val="left"/>
            </w:pPr>
          </w:p>
        </w:tc>
        <w:tc>
          <w:tcPr>
            <w:tcW w:type="dxa" w:w="1311"/>
            <w:tcBorders>
              <w:top w:val="none" w:color="000000" w:sz="4"/>
              <w:left w:val="single" w:color="000000" w:sz="4"/>
              <w:bottom w:val="single" w:color="000000" w:sz="4"/>
              <w:right w:val="single" w:color="000000" w:sz="4"/>
            </w:tcBorders>
            <w:vAlign w:val="top"/>
          </w:tcPr>
          <w:p>
            <w:pPr>
              <w:jc w:val="left"/>
            </w:pPr>
          </w:p>
        </w:tc>
        <w:tc>
          <w:tcPr>
            <w:tcW w:type="dxa" w:w="2667"/>
            <w:tcBorders>
              <w:top w:val="none" w:color="000000" w:sz="4"/>
              <w:left w:val="single" w:color="000000" w:sz="4"/>
              <w:bottom w:val="single" w:color="000000" w:sz="4"/>
              <w:right w:val="single" w:color="000000" w:sz="4"/>
            </w:tcBorders>
            <w:vAlign w:val="top"/>
          </w:tcPr>
          <w:p>
            <w:pPr>
              <w:jc w:val="left"/>
            </w:pPr>
          </w:p>
        </w:tc>
        <w:tc>
          <w:tcPr>
            <w:tcW w:type="dxa" w:w="1501"/>
            <w:tcBorders>
              <w:top w:val="none" w:color="000000" w:sz="4"/>
              <w:left w:val="single" w:color="000000" w:sz="4"/>
              <w:bottom w:val="single" w:color="000000" w:sz="4"/>
              <w:right w:val="single" w:color="000000" w:sz="4"/>
            </w:tcBorders>
            <w:vAlign w:val="top"/>
          </w:tcPr>
          <w:p>
            <w:pPr>
              <w:jc w:val="left"/>
            </w:pPr>
          </w:p>
        </w:tc>
      </w:tr>
      <w:tr>
        <w:tc>
          <w:tcPr>
            <w:tcW w:type="dxa" w:w="903"/>
            <w:tcBorders>
              <w:top w:val="none" w:color="000000" w:sz="4"/>
              <w:left w:val="single" w:color="000000" w:sz="4"/>
              <w:bottom w:val="single" w:color="000000" w:sz="4"/>
              <w:right w:val="single" w:color="000000" w:sz="4"/>
            </w:tcBorders>
            <w:vAlign w:val="top"/>
          </w:tcPr>
          <w:p>
            <w:pPr>
              <w:jc w:val="left"/>
            </w:pPr>
            <w:r>
              <w:rPr>
                <w:sz w:val="24"/>
              </w:rPr>
              <w:t>2</w:t>
            </w:r>
          </w:p>
        </w:tc>
        <w:tc>
          <w:tcPr>
            <w:tcW w:type="dxa" w:w="1923"/>
            <w:tcBorders>
              <w:top w:val="none" w:color="000000" w:sz="4"/>
              <w:left w:val="single" w:color="000000" w:sz="4"/>
              <w:bottom w:val="single" w:color="000000" w:sz="4"/>
              <w:right w:val="single" w:color="000000" w:sz="4"/>
            </w:tcBorders>
            <w:vAlign w:val="top"/>
          </w:tcPr>
          <w:p>
            <w:pPr>
              <w:jc w:val="left"/>
            </w:pPr>
          </w:p>
        </w:tc>
        <w:tc>
          <w:tcPr>
            <w:tcW w:type="dxa" w:w="1311"/>
            <w:tcBorders>
              <w:top w:val="none" w:color="000000" w:sz="4"/>
              <w:left w:val="single" w:color="000000" w:sz="4"/>
              <w:bottom w:val="single" w:color="000000" w:sz="4"/>
              <w:right w:val="single" w:color="000000" w:sz="4"/>
            </w:tcBorders>
            <w:vAlign w:val="top"/>
          </w:tcPr>
          <w:p>
            <w:pPr>
              <w:jc w:val="left"/>
            </w:pPr>
          </w:p>
        </w:tc>
        <w:tc>
          <w:tcPr>
            <w:tcW w:type="dxa" w:w="2667"/>
            <w:tcBorders>
              <w:top w:val="none" w:color="000000" w:sz="4"/>
              <w:left w:val="single" w:color="000000" w:sz="4"/>
              <w:bottom w:val="single" w:color="000000" w:sz="4"/>
              <w:right w:val="single" w:color="000000" w:sz="4"/>
            </w:tcBorders>
            <w:vAlign w:val="top"/>
          </w:tcPr>
          <w:p>
            <w:pPr>
              <w:jc w:val="left"/>
            </w:pPr>
          </w:p>
        </w:tc>
        <w:tc>
          <w:tcPr>
            <w:tcW w:type="dxa" w:w="1501"/>
            <w:tcBorders>
              <w:top w:val="none" w:color="000000" w:sz="4"/>
              <w:left w:val="single" w:color="000000" w:sz="4"/>
              <w:bottom w:val="single" w:color="000000" w:sz="4"/>
              <w:right w:val="single" w:color="000000" w:sz="4"/>
            </w:tcBorders>
            <w:vAlign w:val="top"/>
          </w:tcPr>
          <w:p>
            <w:pPr>
              <w:jc w:val="left"/>
            </w:pPr>
          </w:p>
        </w:tc>
      </w:tr>
      <w:tr>
        <w:tc>
          <w:tcPr>
            <w:tcW w:type="dxa" w:w="903"/>
            <w:tcBorders>
              <w:top w:val="none" w:color="000000" w:sz="4"/>
              <w:left w:val="single" w:color="000000" w:sz="4"/>
              <w:bottom w:val="single" w:color="000000" w:sz="4"/>
              <w:right w:val="single" w:color="000000" w:sz="4"/>
            </w:tcBorders>
            <w:vAlign w:val="top"/>
          </w:tcPr>
          <w:p>
            <w:pPr>
              <w:jc w:val="left"/>
            </w:pPr>
            <w:r>
              <w:rPr>
                <w:sz w:val="24"/>
              </w:rPr>
              <w:t>3</w:t>
            </w:r>
          </w:p>
        </w:tc>
        <w:tc>
          <w:tcPr>
            <w:tcW w:type="dxa" w:w="1923"/>
            <w:tcBorders>
              <w:top w:val="none" w:color="000000" w:sz="4"/>
              <w:left w:val="single" w:color="000000" w:sz="4"/>
              <w:bottom w:val="single" w:color="000000" w:sz="4"/>
              <w:right w:val="single" w:color="000000" w:sz="4"/>
            </w:tcBorders>
            <w:vAlign w:val="top"/>
          </w:tcPr>
          <w:p>
            <w:pPr>
              <w:jc w:val="left"/>
            </w:pPr>
          </w:p>
        </w:tc>
        <w:tc>
          <w:tcPr>
            <w:tcW w:type="dxa" w:w="1311"/>
            <w:tcBorders>
              <w:top w:val="none" w:color="000000" w:sz="4"/>
              <w:left w:val="single" w:color="000000" w:sz="4"/>
              <w:bottom w:val="single" w:color="000000" w:sz="4"/>
              <w:right w:val="single" w:color="000000" w:sz="4"/>
            </w:tcBorders>
            <w:vAlign w:val="top"/>
          </w:tcPr>
          <w:p>
            <w:pPr>
              <w:jc w:val="left"/>
            </w:pPr>
            <w:r>
              <w:rPr>
                <w:sz w:val="24"/>
              </w:rPr>
              <w:t>……</w:t>
            </w:r>
          </w:p>
        </w:tc>
        <w:tc>
          <w:tcPr>
            <w:tcW w:type="dxa" w:w="2667"/>
            <w:tcBorders>
              <w:top w:val="none" w:color="000000" w:sz="4"/>
              <w:left w:val="single" w:color="000000" w:sz="4"/>
              <w:bottom w:val="single" w:color="000000" w:sz="4"/>
              <w:right w:val="single" w:color="000000" w:sz="4"/>
            </w:tcBorders>
            <w:vAlign w:val="top"/>
          </w:tcPr>
          <w:p>
            <w:pPr>
              <w:jc w:val="left"/>
            </w:pPr>
          </w:p>
        </w:tc>
        <w:tc>
          <w:tcPr>
            <w:tcW w:type="dxa" w:w="1501"/>
            <w:tcBorders>
              <w:top w:val="none" w:color="000000" w:sz="4"/>
              <w:left w:val="single" w:color="000000" w:sz="4"/>
              <w:bottom w:val="single" w:color="000000" w:sz="4"/>
              <w:right w:val="single" w:color="000000" w:sz="4"/>
            </w:tcBorders>
            <w:vAlign w:val="top"/>
          </w:tcPr>
          <w:p>
            <w:pPr>
              <w:jc w:val="left"/>
            </w:pPr>
          </w:p>
        </w:tc>
      </w:tr>
    </w:tbl>
    <w:p>
      <w:pPr>
        <w:jc w:val="both"/>
      </w:pPr>
      <w:r>
        <w:rPr>
          <w:b/>
          <w:sz w:val="24"/>
        </w:rPr>
        <w:t>注：根据乙方的投标文件进行详细补充填写。</w:t>
      </w:r>
    </w:p>
    <w:p>
      <w:pPr>
        <w:jc w:val="both"/>
      </w:pPr>
      <w:r>
        <w:rPr>
          <w:b/>
          <w:sz w:val="24"/>
        </w:rPr>
        <w:t>九、售后服务</w:t>
      </w:r>
    </w:p>
    <w:p>
      <w:pPr>
        <w:jc w:val="both"/>
      </w:pPr>
      <w:r>
        <w:rPr>
          <w:sz w:val="24"/>
        </w:rPr>
        <w:t>1.服务时间内，乙方须提供常设每周7天×24小时服务专线技术支持。</w:t>
      </w:r>
    </w:p>
    <w:p>
      <w:pPr>
        <w:jc w:val="both"/>
      </w:pPr>
      <w:r>
        <w:rPr>
          <w:sz w:val="24"/>
        </w:rPr>
        <w:t>2.对甲方的服务通知，乙方必须符合以下要求：</w:t>
      </w:r>
    </w:p>
    <w:p>
      <w:pPr>
        <w:jc w:val="both"/>
      </w:pPr>
      <w:r>
        <w:rPr>
          <w:sz w:val="24"/>
        </w:rPr>
        <w:t>（</w:t>
      </w:r>
      <w:r>
        <w:rPr>
          <w:sz w:val="24"/>
        </w:rPr>
        <w:t>1）在接报后1小时内响应；</w:t>
      </w:r>
    </w:p>
    <w:p>
      <w:pPr>
        <w:jc w:val="both"/>
      </w:pPr>
      <w:r>
        <w:rPr>
          <w:sz w:val="24"/>
        </w:rPr>
        <w:t>（</w:t>
      </w:r>
      <w:r>
        <w:rPr>
          <w:sz w:val="24"/>
        </w:rPr>
        <w:t>2）4小时内到达现场；</w:t>
      </w:r>
    </w:p>
    <w:p>
      <w:pPr>
        <w:jc w:val="both"/>
      </w:pPr>
      <w:r>
        <w:rPr>
          <w:sz w:val="24"/>
        </w:rPr>
        <w:t>（</w:t>
      </w:r>
      <w:r>
        <w:rPr>
          <w:sz w:val="24"/>
        </w:rPr>
        <w:t>3）24小时内处理完毕。</w:t>
      </w:r>
    </w:p>
    <w:p>
      <w:pPr>
        <w:jc w:val="both"/>
      </w:pPr>
      <w:r>
        <w:rPr>
          <w:sz w:val="24"/>
        </w:rPr>
        <w:t>3</w:t>
      </w:r>
      <w:r>
        <w:rPr>
          <w:sz w:val="24"/>
        </w:rPr>
        <w:t>.上述售后服务费用包含在服务费中。</w:t>
      </w:r>
    </w:p>
    <w:p>
      <w:pPr>
        <w:jc w:val="both"/>
      </w:pPr>
      <w:r>
        <w:rPr>
          <w:sz w:val="24"/>
        </w:rPr>
        <w:t>注：上述费用报价时可不单列。</w:t>
      </w:r>
    </w:p>
    <w:p>
      <w:pPr>
        <w:jc w:val="both"/>
      </w:pPr>
      <w:r>
        <w:rPr>
          <w:b/>
          <w:sz w:val="24"/>
        </w:rPr>
        <w:t>十、分包要求</w:t>
      </w:r>
    </w:p>
    <w:p>
      <w:pPr>
        <w:ind w:firstLine="624"/>
        <w:jc w:val="both"/>
      </w:pPr>
      <w:r>
        <w:rPr>
          <w:sz w:val="24"/>
        </w:rPr>
        <w:t>本项目不允许分包，否则立即终止合同，由此造成的经济和和法律责任由乙方承担。</w:t>
      </w:r>
    </w:p>
    <w:p>
      <w:pPr>
        <w:ind w:firstLine="624"/>
        <w:jc w:val="both"/>
      </w:pPr>
      <w:r>
        <w:rPr>
          <w:b/>
          <w:sz w:val="24"/>
        </w:rPr>
        <w:t>十一、付款办法</w:t>
      </w:r>
    </w:p>
    <w:p>
      <w:pPr>
        <w:jc w:val="both"/>
      </w:pPr>
      <w:r>
        <w:rPr>
          <w:sz w:val="24"/>
        </w:rPr>
        <w:t>1.合同款项支付阶段和比例如下：</w:t>
      </w:r>
    </w:p>
    <w:p>
      <w:pPr>
        <w:ind w:firstLine="480"/>
        <w:jc w:val="both"/>
      </w:pPr>
      <w:r>
        <w:rPr>
          <w:sz w:val="24"/>
        </w:rPr>
        <w:t>①</w:t>
      </w:r>
      <w:r>
        <w:rPr>
          <w:sz w:val="24"/>
        </w:rPr>
        <w:t>每年按季度（每三个月）支付，每季度（每三个月）支付一年服务费的</w:t>
      </w:r>
      <w:r>
        <w:rPr>
          <w:sz w:val="24"/>
        </w:rPr>
        <w:t>2</w:t>
      </w:r>
      <w:r>
        <w:rPr>
          <w:sz w:val="24"/>
        </w:rPr>
        <w:t>2</w:t>
      </w:r>
      <w:r>
        <w:rPr>
          <w:sz w:val="24"/>
        </w:rPr>
        <w:t>.</w:t>
      </w:r>
      <w:r>
        <w:rPr>
          <w:sz w:val="24"/>
        </w:rPr>
        <w:t>5%，</w:t>
      </w:r>
      <w:r>
        <w:rPr>
          <w:sz w:val="24"/>
        </w:rPr>
        <w:t>即人民币</w:t>
      </w:r>
      <w:r>
        <w:rPr>
          <w:sz w:val="24"/>
          <w:u w:val="single"/>
        </w:rPr>
        <w:t xml:space="preserve">       </w:t>
      </w:r>
      <w:r>
        <w:rPr>
          <w:sz w:val="24"/>
        </w:rPr>
        <w:t>元</w:t>
      </w:r>
      <w:r>
        <w:rPr>
          <w:sz w:val="24"/>
        </w:rPr>
        <w:t>每季度（每三个月）于季度验收后</w:t>
      </w:r>
      <w:r>
        <w:rPr>
          <w:sz w:val="24"/>
        </w:rPr>
        <w:t>15个工作日内向中标人支付。当出现扣罚，按扣罚后的金额支付服务费。如</w:t>
      </w:r>
      <w:r>
        <w:rPr>
          <w:sz w:val="24"/>
        </w:rPr>
        <w:t>因国家或省市区级及容桂街道相关政策造成合同终止的，采购人将提前一个月以书面方式通知中标人，中标人须无条件接受，采购人不因此承担任何法律责任。届时采购人将按照实际服务时间支付项目费用。</w:t>
      </w:r>
    </w:p>
    <w:p>
      <w:pPr>
        <w:ind w:firstLine="480"/>
        <w:jc w:val="both"/>
      </w:pPr>
      <w:r>
        <w:rPr>
          <w:sz w:val="24"/>
        </w:rPr>
        <w:t>②将总合同金额提取10%，即人民币</w:t>
      </w:r>
      <w:r>
        <w:rPr>
          <w:sz w:val="24"/>
          <w:u w:val="single"/>
        </w:rPr>
        <w:t xml:space="preserve">       </w:t>
      </w:r>
      <w:r>
        <w:rPr>
          <w:sz w:val="24"/>
        </w:rPr>
        <w:t>元为用作年尾绩效考评金额。顺德区美城行动年度平均成绩考评在全区排名第一至五名的，年度绩效可全额发放；若顺德区美城行动年度平均成绩在全区第六名至第七名的（含第六名），根据年度考核得分进行扣罚，每递减一名次，扣罚</w:t>
      </w:r>
      <w:r>
        <w:rPr>
          <w:sz w:val="24"/>
        </w:rPr>
        <w:t>10000元/名次；若顺德区美城行动年度平均成绩在全区排名低于第七名（不含第七名），年度绩效不予发放。</w:t>
      </w:r>
    </w:p>
    <w:p>
      <w:pPr>
        <w:jc w:val="both"/>
      </w:pPr>
      <w:r>
        <w:rPr>
          <w:sz w:val="24"/>
        </w:rPr>
        <w:t>2.合同款项的支付方式：转账结算（银行转账）。</w:t>
      </w:r>
    </w:p>
    <w:p>
      <w:pPr>
        <w:jc w:val="both"/>
      </w:pPr>
      <w:r>
        <w:rPr>
          <w:sz w:val="24"/>
        </w:rPr>
        <w:t>3.付款方：甲方；收款方：乙方。</w:t>
      </w:r>
    </w:p>
    <w:p>
      <w:pPr>
        <w:jc w:val="both"/>
      </w:pPr>
      <w:r>
        <w:rPr>
          <w:sz w:val="24"/>
        </w:rPr>
        <w:t>4</w:t>
      </w:r>
      <w:r>
        <w:rPr>
          <w:sz w:val="24"/>
        </w:rPr>
        <w:t>.开具发票：乙方收款时必须持有效发票。收款方、出具发票方、合同乙方均必须与乙方名称一致。</w:t>
      </w:r>
    </w:p>
    <w:p>
      <w:pPr>
        <w:jc w:val="both"/>
      </w:pPr>
      <w:r>
        <w:rPr>
          <w:sz w:val="24"/>
        </w:rPr>
        <w:t>5</w:t>
      </w:r>
      <w:r>
        <w:rPr>
          <w:sz w:val="24"/>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sz w:val="24"/>
        </w:rPr>
        <w:t>6</w:t>
      </w:r>
      <w:r>
        <w:rPr>
          <w:sz w:val="24"/>
        </w:rPr>
        <w:t>.付款期间如因特殊情况需调整，由双方协商处理。</w:t>
      </w:r>
    </w:p>
    <w:p>
      <w:pPr>
        <w:jc w:val="both"/>
      </w:pPr>
      <w:r>
        <w:rPr>
          <w:b/>
          <w:sz w:val="24"/>
        </w:rPr>
        <w:t>十二、保密管理</w:t>
      </w:r>
    </w:p>
    <w:p>
      <w:pPr>
        <w:ind w:firstLine="624"/>
        <w:jc w:val="both"/>
      </w:pPr>
      <w:r>
        <w:rPr>
          <w:sz w:val="24"/>
        </w:rPr>
        <w:t>任何与本项目数字城管运营服务工作相关的信息均属甲方内部信息，运营服务人员应尽好保密义务，未经甲方批准不得擅自通过一切途径外泄，所有参加本项目运营服务工作的工作人员必须与甲方签订保密协议，如有违反则彻底追究相关人员的责任，造成损失的，甲方保留索偿权利。</w:t>
      </w:r>
    </w:p>
    <w:p>
      <w:pPr>
        <w:ind w:firstLine="624"/>
        <w:jc w:val="both"/>
      </w:pPr>
      <w:r>
        <w:rPr>
          <w:b/>
          <w:sz w:val="24"/>
        </w:rPr>
        <w:t>十三、合同生效、变更与终止</w:t>
      </w:r>
    </w:p>
    <w:p>
      <w:pPr>
        <w:ind w:firstLine="624"/>
        <w:jc w:val="both"/>
      </w:pPr>
      <w:r>
        <w:rPr>
          <w:b/>
          <w:sz w:val="24"/>
        </w:rPr>
        <w:t>（一）</w:t>
      </w:r>
      <w:r>
        <w:rPr>
          <w:sz w:val="24"/>
        </w:rPr>
        <w:t>由于甲方的原因使本项目的工作受到阻碍或延误，以致延长了完成时间，则乙方应当将此情况与可能产生的影响及时通知甲方，经甲方书面确认后，完成时间可以相应延长。</w:t>
      </w:r>
    </w:p>
    <w:p>
      <w:pPr>
        <w:ind w:firstLine="624"/>
        <w:jc w:val="both"/>
      </w:pPr>
      <w:r>
        <w:rPr>
          <w:sz w:val="24"/>
        </w:rPr>
        <w:t>（二）</w:t>
      </w:r>
      <w:r>
        <w:rPr>
          <w:sz w:val="24"/>
        </w:rPr>
        <w:t>在项目实施过程中，如出现内容的变更，由当事各方协商解决。</w:t>
      </w:r>
    </w:p>
    <w:p>
      <w:pPr>
        <w:ind w:firstLine="624"/>
        <w:jc w:val="both"/>
      </w:pPr>
      <w:r>
        <w:rPr>
          <w:sz w:val="24"/>
        </w:rPr>
        <w:t>（三）</w:t>
      </w:r>
      <w:r>
        <w:rPr>
          <w:sz w:val="24"/>
        </w:rPr>
        <w:t>本合同有效期自生效之日起，至乙方履行完毕全部合同义务止。</w:t>
      </w:r>
    </w:p>
    <w:p>
      <w:pPr>
        <w:ind w:firstLine="624"/>
        <w:jc w:val="both"/>
      </w:pPr>
      <w:r>
        <w:rPr>
          <w:sz w:val="24"/>
        </w:rPr>
        <w:t>（四）</w:t>
      </w:r>
      <w:r>
        <w:rPr>
          <w:sz w:val="24"/>
        </w:rPr>
        <w:t>当事人一方要求变更或解除合同时，应当在</w:t>
      </w:r>
      <w:r>
        <w:rPr>
          <w:sz w:val="24"/>
        </w:rPr>
        <w:t>30个工作日前书面通知对方，因解除合同使其他方遭受损失的，除依法可以免除的责任外，应由责任方负责赔偿。</w:t>
      </w:r>
    </w:p>
    <w:p>
      <w:pPr>
        <w:ind w:firstLine="624"/>
        <w:jc w:val="both"/>
      </w:pPr>
      <w:r>
        <w:rPr>
          <w:sz w:val="24"/>
        </w:rPr>
        <w:t>（五）</w:t>
      </w:r>
      <w:r>
        <w:rPr>
          <w:sz w:val="24"/>
        </w:rPr>
        <w:t>变更或解除合同的通知或协议必须采取书面形式，协议未达成之前，原合同仍然有效。</w:t>
      </w:r>
    </w:p>
    <w:p>
      <w:pPr>
        <w:ind w:firstLine="624"/>
        <w:jc w:val="both"/>
      </w:pPr>
      <w:r>
        <w:rPr>
          <w:sz w:val="24"/>
        </w:rPr>
        <w:t>（六）</w:t>
      </w:r>
      <w:r>
        <w:rPr>
          <w:sz w:val="24"/>
        </w:rPr>
        <w:t>本合同的终止并不影响各方应有的权利和应当承担的责任。</w:t>
      </w:r>
    </w:p>
    <w:p>
      <w:pPr>
        <w:ind w:firstLine="624"/>
        <w:jc w:val="both"/>
      </w:pPr>
      <w:r>
        <w:rPr>
          <w:b/>
          <w:sz w:val="24"/>
        </w:rPr>
        <w:t>十四、不可抗力</w:t>
      </w:r>
    </w:p>
    <w:p>
      <w:pPr>
        <w:ind w:firstLine="624"/>
        <w:jc w:val="both"/>
      </w:pPr>
      <w:r>
        <w:rPr>
          <w:b/>
          <w:sz w:val="24"/>
        </w:rPr>
        <w:t>（一）</w:t>
      </w:r>
      <w:r>
        <w:rPr>
          <w:sz w:val="24"/>
        </w:rPr>
        <w:t>由于地震、台风、水灾、战争、疫情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4"/>
        </w:rPr>
        <w:t>15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ind w:firstLine="624"/>
        <w:jc w:val="both"/>
      </w:pPr>
      <w:r>
        <w:rPr>
          <w:b/>
          <w:sz w:val="24"/>
        </w:rPr>
        <w:t>十五、争议解决</w:t>
      </w:r>
    </w:p>
    <w:p>
      <w:pPr>
        <w:ind w:firstLine="624"/>
        <w:jc w:val="both"/>
      </w:pPr>
      <w:r>
        <w:rPr>
          <w:b/>
          <w:sz w:val="24"/>
        </w:rPr>
        <w:t>（一）</w:t>
      </w:r>
      <w:r>
        <w:rPr>
          <w:sz w:val="24"/>
        </w:rPr>
        <w:t>凡因履行本合同而引起的一切争议或与本合同有关的争议，应由当事各方通过友好协商解决。协商不成时，当事各方同意提交</w:t>
      </w:r>
      <w:r>
        <w:rPr>
          <w:sz w:val="24"/>
          <w:u w:val="single"/>
        </w:rPr>
        <w:t>甲方所在地的人民法院</w:t>
      </w:r>
      <w:r>
        <w:rPr>
          <w:sz w:val="24"/>
        </w:rPr>
        <w:t>进行诉讼。</w:t>
      </w:r>
    </w:p>
    <w:p>
      <w:pPr>
        <w:ind w:firstLine="624"/>
        <w:jc w:val="both"/>
      </w:pPr>
      <w:r>
        <w:rPr>
          <w:b/>
          <w:sz w:val="24"/>
        </w:rPr>
        <w:t>十六、税费</w:t>
      </w:r>
    </w:p>
    <w:p>
      <w:pPr>
        <w:ind w:firstLine="624"/>
        <w:jc w:val="both"/>
      </w:pPr>
      <w:r>
        <w:rPr>
          <w:b/>
          <w:sz w:val="24"/>
        </w:rPr>
        <w:t>（一）</w:t>
      </w:r>
      <w:r>
        <w:rPr>
          <w:sz w:val="24"/>
        </w:rPr>
        <w:t>中国政府根据现行税法所征收的一切税费均由各缴税责任方独立承担。在中国境外发生的与本合同相关的一切税费及不可预见费均由乙方负担。</w:t>
      </w:r>
    </w:p>
    <w:p>
      <w:pPr>
        <w:ind w:firstLine="624"/>
        <w:jc w:val="both"/>
      </w:pPr>
      <w:r>
        <w:rPr>
          <w:b/>
          <w:sz w:val="24"/>
        </w:rPr>
        <w:t>十七、其它</w:t>
      </w:r>
    </w:p>
    <w:p>
      <w:pPr>
        <w:ind w:firstLine="624"/>
        <w:jc w:val="both"/>
      </w:pPr>
      <w:r>
        <w:rPr>
          <w:b/>
          <w:sz w:val="24"/>
        </w:rPr>
        <w:t>（一）</w:t>
      </w:r>
      <w:r>
        <w:rPr>
          <w:sz w:val="24"/>
        </w:rPr>
        <w:t>本项目合同由下列文件组成，均为本合同不可分割的部分，下列文件的优先解释顺序如下：</w:t>
      </w:r>
    </w:p>
    <w:p>
      <w:pPr>
        <w:jc w:val="left"/>
      </w:pPr>
      <w:r>
        <w:rPr>
          <w:sz w:val="24"/>
        </w:rPr>
        <w:t>1.本合同执行期间甲、乙双方签署确认的文件（包括会议纪要、补充协议、往来信函及修正文件）；</w:t>
      </w:r>
    </w:p>
    <w:p>
      <w:pPr>
        <w:jc w:val="left"/>
      </w:pPr>
      <w:r>
        <w:rPr>
          <w:sz w:val="24"/>
        </w:rPr>
        <w:t>2.本采购合同；</w:t>
      </w:r>
    </w:p>
    <w:p>
      <w:pPr>
        <w:jc w:val="left"/>
      </w:pPr>
      <w:r>
        <w:rPr>
          <w:sz w:val="24"/>
        </w:rPr>
        <w:t>3.乙方针对本项目的各项制度和规定（包括在本合同签订后的各类新出台的制度和规定）；</w:t>
      </w:r>
    </w:p>
    <w:p>
      <w:pPr>
        <w:jc w:val="left"/>
      </w:pPr>
      <w:r>
        <w:rPr>
          <w:sz w:val="24"/>
        </w:rPr>
        <w:t>4.中标通知书；</w:t>
      </w:r>
    </w:p>
    <w:p>
      <w:pPr>
        <w:jc w:val="left"/>
      </w:pPr>
      <w:r>
        <w:rPr>
          <w:sz w:val="24"/>
        </w:rPr>
        <w:t>5.招标文件及答疑补遗文件（含招标文件澄清或修正内容、答疑会议纪要等）；</w:t>
      </w:r>
    </w:p>
    <w:p>
      <w:pPr>
        <w:jc w:val="left"/>
      </w:pPr>
      <w:r>
        <w:rPr>
          <w:sz w:val="24"/>
        </w:rPr>
        <w:t>6.投标文件及其相关承诺附件（含投标文件澄清）；</w:t>
      </w:r>
    </w:p>
    <w:p>
      <w:pPr>
        <w:jc w:val="left"/>
      </w:pPr>
      <w:r>
        <w:rPr>
          <w:sz w:val="24"/>
        </w:rPr>
        <w:t>7.标准、规范及有关技术文件；</w:t>
      </w:r>
    </w:p>
    <w:p>
      <w:pPr>
        <w:jc w:val="left"/>
      </w:pPr>
      <w:r>
        <w:rPr>
          <w:sz w:val="24"/>
        </w:rPr>
        <w:t>8.组成合同的其他文件。</w:t>
      </w:r>
    </w:p>
    <w:p>
      <w:pPr>
        <w:jc w:val="left"/>
      </w:pPr>
      <w:r>
        <w:rPr>
          <w:b/>
          <w:sz w:val="24"/>
        </w:rPr>
        <w:t>注：</w:t>
      </w:r>
      <w:r>
        <w:rPr>
          <w:sz w:val="24"/>
        </w:rPr>
        <w:t>如乙方在投标文件及其相关承诺附件中作出有比招标文件及答疑补遗文件和本合同更有利于甲方的响应（该是否有利于甲方的解释权双方同意最终归甲方所有），则乙方投标文件及其相关承诺附件中更有利于甲方的相关条款内容的解释顺序优于招标文件及答疑补遗文件和本合同，乙方须按这些响应承诺履行。</w:t>
      </w:r>
    </w:p>
    <w:p>
      <w:pPr>
        <w:jc w:val="left"/>
      </w:pPr>
      <w:r>
        <w:rPr>
          <w:sz w:val="24"/>
        </w:rPr>
        <w:t>（二）所有经双方签署确认的文件（包括会议纪要、补充协议、变更协议等）、招标文件、投标文件和响应承诺文件、合同附件及中标通知书均为本合同不可分割的有效组成部分，与本合同具有同等的法律效力和履约义务，其缔约生效日期为有效签署或盖章确认之日期。</w:t>
      </w:r>
    </w:p>
    <w:p>
      <w:pPr>
        <w:jc w:val="left"/>
      </w:pPr>
      <w:r>
        <w:rPr>
          <w:sz w:val="24"/>
        </w:rPr>
        <w:t>（三）乙方在合同服务期内，自费办理派驻到项目所在地人员人身和自备财产的有关保险，保险时间应随服务时间的延长而顺延，并在出险后自行办理索赔。如果乙方不办理上述保险，则应对有关风险及后果自负其责。</w:t>
      </w:r>
    </w:p>
    <w:p>
      <w:pPr>
        <w:jc w:val="left"/>
      </w:pPr>
      <w:r>
        <w:rPr>
          <w:sz w:val="24"/>
        </w:rPr>
        <w:t>（四）乙方向甲方提出赔偿要求不能成立时，乙方应当补偿由于该索赔所导致甲方的各种费用支出。</w:t>
      </w:r>
    </w:p>
    <w:p>
      <w:pPr>
        <w:jc w:val="left"/>
      </w:pPr>
      <w:r>
        <w:rPr>
          <w:sz w:val="24"/>
        </w:rPr>
        <w:t>（五）未经对方的书面同意，无论甲方或乙方均不得转让本合同约定的权利和义务。</w:t>
      </w:r>
    </w:p>
    <w:p>
      <w:pPr>
        <w:jc w:val="left"/>
      </w:pPr>
      <w:r>
        <w:rPr>
          <w:sz w:val="24"/>
        </w:rPr>
        <w:t>（六）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p>
    <w:p>
      <w:pPr>
        <w:jc w:val="left"/>
      </w:pPr>
      <w:r>
        <w:rPr>
          <w:sz w:val="24"/>
        </w:rPr>
        <w:t>（七）各方应保证向对方提供的资料和数据不侵犯第三方的知识产权或其他权利，因一方提供的资料虚假、错误、或侵犯第三方权利而造成误工、赔偿等损失（包括律师费）的，应当给予充分有效的赔偿。</w:t>
      </w:r>
    </w:p>
    <w:p>
      <w:pPr>
        <w:jc w:val="left"/>
      </w:pPr>
      <w:r>
        <w:rPr>
          <w:sz w:val="24"/>
        </w:rPr>
        <w:t>（八）本合同未尽事宜，合同各方另行商定，必要时签定补充合同协议。补充协议经合同各方签字盖章后作为本合同补充文件。</w:t>
      </w:r>
    </w:p>
    <w:p>
      <w:pPr>
        <w:jc w:val="left"/>
      </w:pPr>
      <w:r>
        <w:rPr>
          <w:sz w:val="24"/>
        </w:rPr>
        <w:t>（九）甲、乙双方法定代表人或授权代表在合同协议书签字，并分别加盖各单位的公章，并经见证单位见证后合同生效。</w:t>
      </w:r>
    </w:p>
    <w:p>
      <w:pPr>
        <w:jc w:val="left"/>
      </w:pPr>
      <w:r>
        <w:rPr>
          <w:sz w:val="24"/>
        </w:rPr>
        <w:t>（十）本合同壹式</w:t>
      </w:r>
      <w:r>
        <w:rPr>
          <w:sz w:val="24"/>
          <w:u w:val="single"/>
        </w:rPr>
        <w:t xml:space="preserve">    </w:t>
      </w:r>
      <w:r>
        <w:rPr>
          <w:sz w:val="24"/>
        </w:rPr>
        <w:t>份，甲方执</w:t>
      </w:r>
      <w:r>
        <w:rPr>
          <w:sz w:val="24"/>
          <w:u w:val="single"/>
        </w:rPr>
        <w:t xml:space="preserve">    </w:t>
      </w:r>
      <w:r>
        <w:rPr>
          <w:sz w:val="24"/>
        </w:rPr>
        <w:t>份，乙方执</w:t>
      </w:r>
      <w:r>
        <w:rPr>
          <w:sz w:val="24"/>
          <w:u w:val="single"/>
        </w:rPr>
        <w:t xml:space="preserve">    </w:t>
      </w:r>
      <w:r>
        <w:rPr>
          <w:sz w:val="24"/>
        </w:rPr>
        <w:t>份。</w:t>
      </w:r>
    </w:p>
    <w:p>
      <w:pPr>
        <w:jc w:val="both"/>
      </w:pPr>
    </w:p>
    <w:p>
      <w:pPr>
        <w:jc w:val="both"/>
      </w:pPr>
      <w:r>
        <w:rPr>
          <w:b/>
          <w:sz w:val="24"/>
        </w:rPr>
        <w:t>（完）</w:t>
      </w:r>
    </w:p>
    <w:p>
      <w:pPr>
        <w:jc w:val="both"/>
      </w:pPr>
      <w:r>
        <w:rPr>
          <w:b/>
          <w:sz w:val="24"/>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b/>
                <w:sz w:val="24"/>
              </w:rPr>
              <w:t>甲方（盖章）：</w:t>
            </w:r>
          </w:p>
          <w:p>
            <w:pPr>
              <w:jc w:val="both"/>
            </w:pPr>
          </w:p>
          <w:p>
            <w:pPr>
              <w:jc w:val="both"/>
            </w:pPr>
            <w:r>
              <w:rPr>
                <w:sz w:val="24"/>
              </w:rPr>
              <w:t>代表：</w:t>
            </w:r>
            <w:r>
              <w:rPr>
                <w:sz w:val="24"/>
                <w:u w:val="single"/>
              </w:rPr>
              <w:t xml:space="preserve">                             </w:t>
            </w:r>
          </w:p>
          <w:p>
            <w:pPr>
              <w:jc w:val="both"/>
            </w:pPr>
            <w:r>
              <w:rPr>
                <w:sz w:val="24"/>
              </w:rPr>
              <w:t>地址：</w:t>
            </w:r>
          </w:p>
          <w:p>
            <w:pPr>
              <w:jc w:val="both"/>
            </w:pPr>
            <w:r>
              <w:rPr>
                <w:sz w:val="24"/>
              </w:rPr>
              <w:t>电话：</w:t>
            </w:r>
          </w:p>
          <w:p>
            <w:pPr>
              <w:jc w:val="both"/>
            </w:pPr>
            <w:r>
              <w:rPr>
                <w:sz w:val="24"/>
              </w:rPr>
              <w:t>传真：</w:t>
            </w:r>
          </w:p>
          <w:p>
            <w:pPr>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r>
              <w:rPr>
                <w:b/>
                <w:sz w:val="24"/>
              </w:rPr>
              <w:t>乙方（盖章）：</w:t>
            </w:r>
          </w:p>
          <w:p>
            <w:pPr>
              <w:jc w:val="both"/>
            </w:pPr>
          </w:p>
          <w:p>
            <w:pPr>
              <w:jc w:val="both"/>
            </w:pPr>
            <w:r>
              <w:rPr>
                <w:sz w:val="24"/>
              </w:rPr>
              <w:t>代表：</w:t>
            </w:r>
            <w:r>
              <w:rPr>
                <w:sz w:val="24"/>
                <w:u w:val="single"/>
              </w:rPr>
              <w:t xml:space="preserve">                             </w:t>
            </w:r>
          </w:p>
          <w:p>
            <w:pPr>
              <w:jc w:val="both"/>
            </w:pPr>
            <w:r>
              <w:rPr>
                <w:sz w:val="24"/>
              </w:rPr>
              <w:t>地址：</w:t>
            </w:r>
          </w:p>
          <w:p>
            <w:pPr>
              <w:jc w:val="both"/>
            </w:pPr>
            <w:r>
              <w:rPr>
                <w:sz w:val="24"/>
              </w:rPr>
              <w:t>电话：</w:t>
            </w:r>
          </w:p>
          <w:p>
            <w:pPr>
              <w:jc w:val="both"/>
            </w:pPr>
            <w:r>
              <w:rPr>
                <w:sz w:val="24"/>
              </w:rPr>
              <w:t>传真：</w:t>
            </w:r>
          </w:p>
          <w:p>
            <w:pPr>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r>
              <w:rPr>
                <w:sz w:val="24"/>
              </w:rPr>
              <w:t>开户名称：</w:t>
            </w:r>
          </w:p>
          <w:p>
            <w:pPr>
              <w:jc w:val="both"/>
            </w:pPr>
            <w:r>
              <w:rPr>
                <w:sz w:val="24"/>
              </w:rPr>
              <w:t>银行帐号：</w:t>
            </w:r>
          </w:p>
          <w:p>
            <w:pPr>
              <w:jc w:val="both"/>
            </w:pPr>
            <w:r>
              <w:rPr>
                <w:sz w:val="24"/>
              </w:rPr>
              <w:t>开</w:t>
            </w:r>
            <w:r>
              <w:rPr>
                <w:sz w:val="24"/>
              </w:rPr>
              <w:t>户</w:t>
            </w:r>
            <w:r>
              <w:rPr>
                <w:sz w:val="24"/>
              </w:rPr>
              <w:t>行：</w:t>
            </w:r>
          </w:p>
          <w:p>
            <w:pPr>
              <w:jc w:val="both"/>
            </w:pPr>
          </w:p>
        </w:tc>
      </w:tr>
    </w:tbl>
    <w:p>
      <w:pPr>
        <w:jc w:val="both"/>
      </w:pPr>
      <w:r>
        <w:rPr>
          <w:b/>
          <w:sz w:val="21"/>
        </w:rPr>
        <w:t>合同附件清单（如有，附后；若没有，可删除此部分内容）：</w:t>
      </w:r>
    </w:p>
    <w:p>
      <w:pPr>
        <w:jc w:val="both"/>
      </w:pPr>
      <w:r>
        <w:rPr>
          <w:sz w:val="21"/>
        </w:rPr>
        <w:t>(1)本合同所有附件均在签订合同时编制，确立依据为招标文件和乙方的响应文件及相关确认文件；合同附件内容由甲乙双方共同协商确定；</w:t>
      </w:r>
    </w:p>
    <w:p>
      <w:pPr>
        <w:jc w:val="left"/>
      </w:pPr>
    </w:p>
    <w:p>
      <w:pPr>
        <w:jc w:val="both"/>
      </w:pPr>
    </w:p>
    <w:p>
      <w:pPr>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440606-2022-08761</w:t>
      </w:r>
    </w:p>
    <w:p>
      <w:pPr>
        <w:jc w:val="center"/>
      </w:pPr>
      <w:r>
        <w:rPr>
          <w:b/>
          <w:sz w:val="24"/>
        </w:rPr>
        <w:t>采购项目编号：</w:t>
      </w:r>
      <w:r>
        <w:rPr>
          <w:b/>
          <w:sz w:val="24"/>
        </w:rPr>
        <w:t>440606-2022-08761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2022-2023年容桂街道数字城管社会化运营服务项目</w:t>
      </w:r>
      <w:r>
        <w:rPr/>
        <w:t>项目的招标[采购项目编号为：</w:t>
      </w:r>
      <w:r>
        <w:rPr>
          <w:u w:val="single"/>
        </w:rPr>
        <w:t>440606-2022-08761</w:t>
      </w:r>
      <w:r>
        <w:rPr/>
        <w:t>]，我方愿参与投标。</w:t>
      </w:r>
    </w:p>
    <w:p>
      <w:pPr>
        <w:ind w:firstLine="480"/>
      </w:pPr>
      <w:r>
        <w:rPr/>
        <w:t>我方确认收到贵方提供的</w:t>
      </w:r>
      <w:r>
        <w:rPr>
          <w:u w:val="single"/>
        </w:rPr>
        <w:t>2022-2023年容桂街道数字城管社会化运营服务项目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2022-2023年容桂街道数字城管社会化运营服务项目</w:t>
      </w:r>
      <w:r>
        <w:rPr/>
        <w:t>项目采购[采购项目编号为</w:t>
      </w:r>
      <w:r>
        <w:rPr/>
        <w:t>440606-2022-08761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佛山市顺德区容桂街道综合行政执法办公室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2022-2023年容桂街道数字城管社会化运营服务项目</w:t>
      </w:r>
      <w:r>
        <w:rPr/>
        <w:t>招标中获中标（采购项目编号：</w:t>
      </w:r>
      <w:r>
        <w:rPr/>
        <w:t>440606-2022-08761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2022-2023年容桂街道数字城管社会化运营服务项目</w:t>
      </w:r>
      <w:r>
        <w:rPr/>
        <w:t>项目（采购项目编号：</w:t>
      </w:r>
      <w:r>
        <w:rPr/>
        <w:t>440606-2022-08761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bullet"/>
      <w:lvlText w:val="⚫"/>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