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441284-2024-00281</w:t>
      </w:r>
    </w:p>
    <w:p>
      <w:pPr>
        <w:pStyle w:val="null3"/>
        <w:jc w:val="center"/>
        <w:outlineLvl w:val="3"/>
      </w:pPr>
      <w:r>
        <w:rPr>
          <w:b/>
          <w:sz w:val="24"/>
        </w:rPr>
        <w:t>采购项目编号：</w:t>
      </w:r>
      <w:r>
        <w:rPr>
          <w:b/>
          <w:sz w:val="24"/>
        </w:rPr>
        <w:t>0809-2441SHC3B203</w:t>
      </w:r>
    </w:p>
    <w:p>
      <w:pPr>
        <w:pStyle w:val="null3"/>
        <w:jc w:val="center"/>
        <w:outlineLvl w:val="3"/>
      </w:pPr>
      <w:r>
        <w:rPr>
          <w:b/>
          <w:sz w:val="24"/>
        </w:rPr>
        <w:t>项目名称：</w:t>
      </w:r>
      <w:r>
        <w:rPr>
          <w:b/>
          <w:sz w:val="24"/>
        </w:rPr>
        <w:t>肇庆市四会市地豆镇镇村国土空间集成规划（2023-2035年）项目</w:t>
      </w:r>
    </w:p>
    <w:p>
      <w:pPr>
        <w:pStyle w:val="null3"/>
        <w:jc w:val="center"/>
        <w:outlineLvl w:val="3"/>
      </w:pPr>
      <w:r>
        <w:rPr>
          <w:b/>
          <w:sz w:val="24"/>
        </w:rPr>
        <w:t>采购人：</w:t>
      </w:r>
      <w:r>
        <w:rPr>
          <w:b/>
          <w:sz w:val="24"/>
        </w:rPr>
        <w:t>四会市自然资源局</w:t>
      </w:r>
    </w:p>
    <w:p>
      <w:pPr>
        <w:pStyle w:val="null3"/>
        <w:jc w:val="center"/>
        <w:outlineLvl w:val="3"/>
      </w:pPr>
      <w:r>
        <w:rPr>
          <w:b/>
          <w:sz w:val="24"/>
        </w:rPr>
        <w:t>采购代理机构：</w:t>
      </w:r>
      <w:r>
        <w:rPr>
          <w:b/>
          <w:sz w:val="24"/>
        </w:rPr>
        <w:t>广东华伦招标有限公司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广东华伦招标有限公司</w:t>
      </w:r>
      <w:r>
        <w:rPr/>
        <w:t>受</w:t>
      </w:r>
      <w:r>
        <w:rPr/>
        <w:t>四会市自然资源局</w:t>
      </w:r>
      <w:r>
        <w:rPr/>
        <w:t>的委托，采用</w:t>
      </w:r>
      <w:r>
        <w:rPr/>
        <w:t>竞争性磋商</w:t>
      </w:r>
      <w:r>
        <w:rPr/>
        <w:t>方式组织采购</w:t>
      </w:r>
      <w:r>
        <w:rPr/>
        <w:t>肇庆市四会市地豆镇镇村国土空间集成规划（2023-2035年）项目</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肇庆市四会市地豆镇镇村国土空间集成规划（2023-2035年）项目</w:t>
      </w:r>
    </w:p>
    <w:p>
      <w:pPr>
        <w:pStyle w:val="null3"/>
        <w:ind w:firstLine="480"/>
      </w:pPr>
      <w:r>
        <w:rPr/>
        <w:t>采购计划编号：</w:t>
      </w:r>
      <w:r>
        <w:rPr/>
        <w:t>441284-2024-00281</w:t>
      </w:r>
    </w:p>
    <w:p>
      <w:pPr>
        <w:pStyle w:val="null3"/>
        <w:ind w:firstLine="480"/>
      </w:pPr>
      <w:r>
        <w:rPr/>
        <w:t>采购项目编号：</w:t>
      </w:r>
      <w:r>
        <w:rPr/>
        <w:t>0809-2441SHC3B203</w:t>
      </w:r>
    </w:p>
    <w:p>
      <w:pPr>
        <w:pStyle w:val="null3"/>
        <w:ind w:firstLine="480"/>
      </w:pPr>
      <w:r>
        <w:rPr/>
        <w:t>采购方式：</w:t>
      </w:r>
      <w:r>
        <w:rPr/>
        <w:t>竞争性磋商</w:t>
      </w:r>
    </w:p>
    <w:p>
      <w:pPr>
        <w:pStyle w:val="null3"/>
        <w:ind w:firstLine="480"/>
      </w:pPr>
      <w:r>
        <w:rPr/>
        <w:t>预算金额：</w:t>
      </w:r>
      <w:r>
        <w:rPr/>
        <w:t>1,400,000.00</w:t>
      </w:r>
      <w:r>
        <w:rPr/>
        <w:t>元</w:t>
      </w:r>
    </w:p>
    <w:p>
      <w:pPr>
        <w:pStyle w:val="null3"/>
        <w:outlineLvl w:val="3"/>
      </w:pPr>
      <w:r>
        <w:rPr>
          <w:b/>
          <w:sz w:val="24"/>
        </w:rPr>
        <w:t>2.项目内容及需求情况（采购项目技术规格、参数及要求）</w:t>
      </w:r>
    </w:p>
    <w:p>
      <w:pPr>
        <w:pStyle w:val="null3"/>
      </w:pPr>
    </w:p>
    <w:p>
      <w:pPr>
        <w:pStyle w:val="null3"/>
      </w:pPr>
      <w:r>
        <w:rPr/>
        <w:t>采购包1(肇庆市四会市地豆镇镇村国土空间集成规划（2023-2035年）):</w:t>
      </w:r>
    </w:p>
    <w:p>
      <w:pPr>
        <w:pStyle w:val="null3"/>
      </w:pPr>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肇庆市四会市地豆镇镇村国土空间集成规划（2023-2035年）</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1,400,000.00</w:t>
            </w:r>
          </w:p>
        </w:tc>
        <w:tc>
          <w:tcPr>
            <w:tcW w:type="dxa" w:w="977"/>
          </w:tcPr>
          <w:p>
            <w:pPr>
              <w:pStyle w:val="null3"/>
            </w:pPr>
            <w:r>
              <w:rPr/>
              <w:t>否</w:t>
            </w:r>
          </w:p>
        </w:tc>
      </w:tr>
    </w:tbl>
    <w:p>
      <w:pPr>
        <w:pStyle w:val="null3"/>
      </w:pPr>
    </w:p>
    <w:p>
      <w:pPr>
        <w:pStyle w:val="null3"/>
      </w:pPr>
      <w:r>
        <w:rPr/>
        <w:t>本采购包接受联合体响应</w:t>
      </w:r>
    </w:p>
    <w:p>
      <w:pPr>
        <w:pStyle w:val="null3"/>
      </w:pPr>
    </w:p>
    <w:p>
      <w:pPr>
        <w:pStyle w:val="null3"/>
      </w:pPr>
      <w:r>
        <w:rPr/>
        <w:t>合同分包：不允许合同分包</w:t>
      </w:r>
    </w:p>
    <w:p>
      <w:pPr>
        <w:pStyle w:val="null3"/>
      </w:pPr>
    </w:p>
    <w:p>
      <w:pPr>
        <w:pStyle w:val="null3"/>
      </w:pPr>
      <w:r>
        <w:rPr/>
        <w:t>合同履行期限：完成时间：签订合同之日起3个月内完成。</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p>
    <w:p>
      <w:pPr>
        <w:pStyle w:val="null3"/>
      </w:pPr>
      <w:r>
        <w:rPr/>
        <w:t>2）有依法缴纳税收和社会保障资金的良好记录：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p>
      <w:pPr>
        <w:pStyle w:val="null3"/>
      </w:pPr>
    </w:p>
    <w:p>
      <w:pPr>
        <w:pStyle w:val="null3"/>
      </w:pPr>
      <w:r>
        <w:rPr/>
        <w:t>3）具有良好的商业信誉和健全的财务会计制度：供应商提供以下其中一项有效材料即可：1、填写完整并加盖公章的《附件1：资格条件承诺函》；2、提供2022年度或2023年度财务状况报告或基本开户行出具的资信证明。</w:t>
      </w:r>
    </w:p>
    <w:p>
      <w:pPr>
        <w:pStyle w:val="null3"/>
      </w:pPr>
    </w:p>
    <w:p>
      <w:pPr>
        <w:pStyle w:val="null3"/>
      </w:pPr>
      <w:r>
        <w:rPr/>
        <w:t>4）履行合同所必需的设备和专业技术能力：供应商提供以下其中一项有效材料即可：1、填写完整并加盖公章的《附件1：资格条件承诺函》；2、按投标（响应）文件格式填报设备及专业技术能力情况。</w:t>
      </w:r>
    </w:p>
    <w:p>
      <w:pPr>
        <w:pStyle w:val="null3"/>
      </w:pPr>
    </w:p>
    <w:p>
      <w:pPr>
        <w:pStyle w:val="null3"/>
      </w:pPr>
      <w:r>
        <w:rPr/>
        <w:t>5）参加采购活动前3年内，在经营活动中没有重大违法记录：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采购包1（肇庆市四会市地豆镇镇村国土空间集成规划（2023-2035年））：</w:t>
      </w: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p>
      <w:pPr>
        <w:pStyle w:val="null3"/>
        <w:outlineLvl w:val="3"/>
      </w:pPr>
      <w:r>
        <w:rPr>
          <w:b/>
          <w:sz w:val="24"/>
        </w:rPr>
        <w:t>3.本项目特定的资格要求：</w:t>
      </w:r>
    </w:p>
    <w:p>
      <w:pPr>
        <w:pStyle w:val="null3"/>
      </w:pPr>
    </w:p>
    <w:p>
      <w:pPr>
        <w:pStyle w:val="null3"/>
      </w:pPr>
      <w:r>
        <w:rPr/>
        <w:t>采购包1（肇庆市四会市地豆镇镇村国土空间集成规划（2023-2035年））：</w:t>
      </w:r>
    </w:p>
    <w:p>
      <w:pPr>
        <w:pStyle w:val="null3"/>
      </w:pPr>
    </w:p>
    <w:p>
      <w:pPr>
        <w:pStyle w:val="null3"/>
      </w:pPr>
      <w:r>
        <w:rPr/>
        <w:t>1)供应商未被列入“信用中国”网站(www.creditchina.gov.cn)“重大税收违法失信主体、政府采购严重违法失信行为记录名单”；未被列入中国执行信息公开网(http://zxgk.court.gov.cn)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3)供应商必须具有城乡规划编制乙级及以上资质。</w:t>
      </w:r>
    </w:p>
    <w:p>
      <w:pPr>
        <w:pStyle w:val="null3"/>
      </w:pPr>
    </w:p>
    <w:p>
      <w:pPr>
        <w:pStyle w:val="null3"/>
      </w:pPr>
      <w:r>
        <w:rPr/>
        <w:t>4)本项目允许以联合体形式参与磋商。若以联合体形式参与磋商的，联合体成员不得超过两个，联合体牵头人应具备城乡规划编制乙级及以上资质。联合体各方成员须共同签署联合体协议书（附在磋商响应文件中），协议书须明确牵头人及各方权责和分工。</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广东华伦招标有限公司网( http://www.gdhualun.com.cn/)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四会市自然资源局</w:t>
      </w:r>
    </w:p>
    <w:p>
      <w:pPr>
        <w:pStyle w:val="null3"/>
        <w:ind w:firstLine="480"/>
      </w:pPr>
      <w:r>
        <w:rPr/>
        <w:t>地址：</w:t>
      </w:r>
      <w:r>
        <w:rPr/>
        <w:t>四会市行政中心北侧四会市自然资源局</w:t>
      </w:r>
    </w:p>
    <w:p>
      <w:pPr>
        <w:pStyle w:val="null3"/>
        <w:ind w:firstLine="480"/>
      </w:pPr>
      <w:r>
        <w:rPr/>
        <w:t>联系方式：</w:t>
      </w:r>
      <w:r>
        <w:rPr/>
        <w:t>0758-3267280</w:t>
      </w:r>
    </w:p>
    <w:p>
      <w:pPr>
        <w:pStyle w:val="null3"/>
        <w:outlineLvl w:val="3"/>
      </w:pPr>
      <w:r>
        <w:rPr>
          <w:b/>
          <w:sz w:val="24"/>
        </w:rPr>
        <w:t>2.采购代理机构信息</w:t>
      </w:r>
    </w:p>
    <w:p>
      <w:pPr>
        <w:pStyle w:val="null3"/>
        <w:ind w:firstLine="480"/>
      </w:pPr>
      <w:r>
        <w:rPr/>
        <w:t>名称：</w:t>
      </w:r>
      <w:r>
        <w:rPr/>
        <w:t>广东华伦招标有限公司</w:t>
      </w:r>
    </w:p>
    <w:p>
      <w:pPr>
        <w:pStyle w:val="null3"/>
        <w:ind w:firstLine="480"/>
      </w:pPr>
      <w:r>
        <w:rPr/>
        <w:t>地址：</w:t>
      </w:r>
      <w:r>
        <w:rPr/>
        <w:t>肇庆市天宁北路75号广发银行大厦24楼</w:t>
      </w:r>
    </w:p>
    <w:p>
      <w:pPr>
        <w:pStyle w:val="null3"/>
        <w:ind w:firstLine="480"/>
      </w:pPr>
      <w:r>
        <w:rPr/>
        <w:t>联系方式：</w:t>
      </w:r>
      <w:r>
        <w:rPr/>
        <w:t>0758-2313165</w:t>
      </w:r>
    </w:p>
    <w:p>
      <w:pPr>
        <w:pStyle w:val="null3"/>
        <w:outlineLvl w:val="3"/>
      </w:pPr>
      <w:r>
        <w:rPr>
          <w:b/>
          <w:sz w:val="24"/>
        </w:rPr>
        <w:t>3.项目联系方式</w:t>
      </w:r>
    </w:p>
    <w:p>
      <w:pPr>
        <w:pStyle w:val="null3"/>
        <w:ind w:firstLine="480"/>
      </w:pPr>
      <w:r>
        <w:rPr/>
        <w:t>项目联系人：</w:t>
      </w:r>
      <w:r>
        <w:rPr/>
        <w:t>刘小姐</w:t>
      </w:r>
    </w:p>
    <w:p>
      <w:pPr>
        <w:pStyle w:val="null3"/>
        <w:ind w:firstLine="480"/>
      </w:pPr>
      <w:r>
        <w:rPr/>
        <w:t>电话：</w:t>
      </w:r>
      <w:r>
        <w:rPr/>
        <w:t>0758-2313165</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广东华伦招标有限公司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r>
        <w:rPr>
          <w:color w:val="000000"/>
        </w:rPr>
        <w:t xml:space="preserve">  本项目为</w:t>
      </w:r>
      <w:r>
        <w:rPr>
          <w:color w:val="000000"/>
        </w:rPr>
        <w:t>肇庆市四会市地豆镇镇村国土空间集成规划（2023-2035年）</w:t>
      </w:r>
      <w:r>
        <w:rPr>
          <w:color w:val="000000"/>
        </w:rPr>
        <w:t>。本项目为一个整体，供应商须对本项目进行整体报价，不得分拆报价，且要提供完整的技术及服务资料。本项目最高限价为</w:t>
      </w:r>
      <w:r>
        <w:rPr>
          <w:color w:val="000000"/>
        </w:rPr>
        <w:t>人民币壹佰肆拾万元整</w:t>
      </w:r>
      <w:r>
        <w:rPr>
          <w:color w:val="000000"/>
        </w:rPr>
        <w:t>（</w:t>
      </w:r>
      <w:r>
        <w:rPr>
          <w:color w:val="000000"/>
        </w:rPr>
        <w:t>￥1,400,000.00元</w:t>
      </w:r>
      <w:r>
        <w:rPr>
          <w:color w:val="000000"/>
        </w:rPr>
        <w:t>），超出最高限价的投标将被拒绝。</w:t>
      </w:r>
    </w:p>
    <w:p>
      <w:pPr>
        <w:pStyle w:val="null3"/>
      </w:pPr>
      <w:r>
        <w:rPr/>
        <w:t xml:space="preserve"> </w:t>
      </w:r>
    </w:p>
    <w:p>
      <w:pPr>
        <w:pStyle w:val="null3"/>
      </w:pPr>
    </w:p>
    <w:p>
      <w:pPr>
        <w:pStyle w:val="null3"/>
      </w:pPr>
      <w:r>
        <w:rPr/>
        <w:t>采购包1（肇庆市四会市地豆镇镇村国土空间集成规划（2023-2035年））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完成时间：签订合同之日起3个月内完成</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1期：支付比例20%,签订合同后20日内提交初步成果，由采购人向市财政主管部门申请支付合同总金额20%的款项。</w:t>
            </w:r>
          </w:p>
          <w:p>
            <w:pPr>
              <w:pStyle w:val="null3"/>
            </w:pPr>
          </w:p>
          <w:p>
            <w:pPr>
              <w:pStyle w:val="null3"/>
            </w:pPr>
            <w:r>
              <w:rPr/>
              <w:t>2期：支付比例20%,成交供应商提交中期成果，并通过采购人组织的成果专家评审会后的15个工作日内，由采购人向市财政主管部门申请支付合同总金额20%的款项。</w:t>
            </w:r>
          </w:p>
          <w:p>
            <w:pPr>
              <w:pStyle w:val="null3"/>
            </w:pPr>
          </w:p>
          <w:p>
            <w:pPr>
              <w:pStyle w:val="null3"/>
            </w:pPr>
            <w:r>
              <w:rPr/>
              <w:t>3期：支付比例30%,成交供应商提交最终成果，并通过采购人组织的规划委员会后的15个工作日内，由采购人向市财政主管部门申请支付合同总金额30%的款项。</w:t>
            </w:r>
          </w:p>
          <w:p>
            <w:pPr>
              <w:pStyle w:val="null3"/>
            </w:pPr>
          </w:p>
          <w:p>
            <w:pPr>
              <w:pStyle w:val="null3"/>
            </w:pPr>
            <w:r>
              <w:rPr/>
              <w:t>4期：支付比例30%,供应商最终成果取得政府批复后的15个工作日内，由采购人向市财政主管部门申请支付合同总金额30%的款项。</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1期：成果取得政府批复</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付款方式其他要求，1、根据国家税务机关的相关管理规定，成交供应商应在本单位机构所在地开具收款发票，采购人付款前，成交供应商必须向采购人提供相应款项的发票，收款方、出具发票方、合同乙方均必须与成交供应商名称一致。 2、以上款项的支付均为采购人收到成交供应商开具同等金额的正式发票之日起十五个工作日内。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肇庆市四会市地豆镇镇村国土空间集成规划（2023-2035年）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1,400,000.00</w:t>
            </w:r>
          </w:p>
        </w:tc>
        <w:tc>
          <w:tcPr>
            <w:tcW w:type="dxa" w:w="933"/>
          </w:tcPr>
          <w:p>
            <w:pPr>
              <w:pStyle w:val="null3"/>
              <w:jc w:val="right"/>
            </w:pPr>
            <w:r>
              <w:rPr/>
              <w:t>1,400,000.00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肇庆市四会市地豆镇镇村国土空间集成规划（2023-2035年）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项目背景： 为全面贯彻党的二十大精神和省委十三届三次全会关于“锚定一个目标，激活三大动力，奋力实现十大新突破”等重要工作部署，充分发挥国土空间规划对乡村振兴的服务支撑作用。 根据《广东省自然资源厅关于推进镇村国土空间规划编制实施助力百县千镇万村高质量发展工程的通知》（以下简称《通知》），地豆镇纳入全省首批镇村国土空间集成规划试点，通过试点探索整镇推进、镇村并举统筹乡村建设空间资源、释放乡村存量低效空间、助推全域土地综合整治实施、实现乡村资源整合和价值提升的路径，通过地豆镇镇村集成规划的编制形成在本地可操作、能落地，对其他地区可复制、能推广的镇村规划成果，为同类“山区+平原”特征乡镇做好样板。 综上，拟启动《四会市地豆镇镇村国土空间集成规划（2023-2035年）》（以下简称《规划》）</w:t>
            </w:r>
          </w:p>
        </w:tc>
      </w:tr>
      <w:tr>
        <w:tc>
          <w:tcPr>
            <w:tcW w:type="dxa" w:w="2076"/>
          </w:tcPr>
          <w:p/>
        </w:tc>
        <w:tc>
          <w:tcPr>
            <w:tcW w:type="dxa" w:w="415"/>
          </w:tcPr>
          <w:p>
            <w:pPr>
              <w:pStyle w:val="null3"/>
            </w:pPr>
            <w:r>
              <w:rPr/>
              <w:t>2</w:t>
            </w:r>
          </w:p>
        </w:tc>
        <w:tc>
          <w:tcPr>
            <w:tcW w:type="dxa" w:w="5814"/>
          </w:tcPr>
          <w:p>
            <w:pPr>
              <w:pStyle w:val="null3"/>
            </w:pPr>
            <w:r>
              <w:rPr/>
              <w:t>工作范围： 本次规划工作范围为四会市地豆镇全域范围，面积90.90平方公里，下辖1个社区、12个行政村（地豆社区、下街村、狮岭村、地豆村、东平村、连平村、赤草崀村、水车村、邓寨村、塔崀村、大东村、大布洞村、三桂村）。</w:t>
            </w:r>
          </w:p>
          <w:p>
            <w:pPr>
              <w:pStyle w:val="null3"/>
            </w:pPr>
            <w:r>
              <w:rPr/>
              <w:t>图1：本次规划编制范围</w:t>
            </w:r>
          </w:p>
          <w:p>
            <w:pPr>
              <w:pStyle w:val="null3"/>
            </w:pPr>
            <w:r>
              <w:drawing>
                <wp:inline distT="0" distR="0" distB="0" distL="0">
                  <wp:extent cx="3554729" cy="4762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76250"/>
                          </a:xfrm>
                          <a:prstGeom prst="rect">
                            <a:avLst/>
                          </a:prstGeom>
                        </pic:spPr>
                      </pic:pic>
                    </a:graphicData>
                  </a:graphic>
                </wp:inline>
              </w:drawing>
            </w:r>
          </w:p>
        </w:tc>
      </w:tr>
      <w:tr>
        <w:tc>
          <w:tcPr>
            <w:tcW w:type="dxa" w:w="2076"/>
          </w:tcPr>
          <w:p/>
        </w:tc>
        <w:tc>
          <w:tcPr>
            <w:tcW w:type="dxa" w:w="415"/>
          </w:tcPr>
          <w:p>
            <w:pPr>
              <w:pStyle w:val="null3"/>
            </w:pPr>
            <w:r>
              <w:rPr/>
              <w:t>3</w:t>
            </w:r>
          </w:p>
        </w:tc>
        <w:tc>
          <w:tcPr>
            <w:tcW w:type="dxa" w:w="5814"/>
          </w:tcPr>
          <w:p>
            <w:pPr>
              <w:pStyle w:val="null3"/>
            </w:pPr>
            <w:r>
              <w:rPr/>
              <w:t>工作内容： 成果内容：本次编制内容分策划和规划两部分 一、策划部分：通过“百千万工程”的政策指引，分析市场趋势，结合在地产业资源，梳理顶层设计理清发展思路，深度把握农文旅融合产业发展路径，全力以赴抓重点、攻难点、疏堵点、造亮点、赶节点，推动“百千万工程”各项工作目标任务落地见效。 主要围绕解决以下问题： 1、如何在“百千万工程”的大背景下，建设“广东省中心镇”中交出地豆答卷？ 2、如何充分挖掘与利用地豆镇的生态、农业、文化资源潜力，将其转化为经济价值？ 3、如何破解当下“小而散”的农业模式，提升农产品附加价值，从而提升片区内本地村民的收入水平？ 4、如何整合项目地豆镇的自然生态农业资源与人文历史旅游资源，形成具有独特吸引力的目的地？ 5、如何激活“乡贤资源”，达到“共建共享”的建设目的？ 策划将锚定以下四个发展要点： 1、以农为本：以特色种植为核心实施三农多功能拓展战略。以地豆镇特色种植产业为基础，大力实施特色种植农产品品牌提升工程，巩固拓展以三角梅、坚果为示范的省级“一村一品”项目建设成果，切实扩大花生和果蔬种植生产，打造特色种植产业品牌。拓宽农业、农村、农民的功能，发展新型都市农业，推动“生产、生活、生态”三生空间建设，实现产业链从第一产业向第三产业延伸。提高农户经济效益，以镇域经济高质量发展赋能乡村振兴。 2、以文为魂：打造 “豆市酒”文化品牌。充分挖掘、拓宽、延伸地豆镇酒文化内涵，整合咭崀村、连平村产业资源，深挖古法酿酒技术，打造“豆市酒”文化品牌，全力打造酒文化特色乡镇。将农耕文化、乡土文化、酿酒文化、民俗文化的内涵与休闲、观光、研学等业态形式相结合，转化为主题突出、特色鲜明的文化价值，将“豆市酒”打造成为可识别和强记忆的品牌符号。 3、以旅为业：融合“文化+特色种植”品牌，形成“目的地品牌”。提炼地豆镇文化资源与特色产业要素，以酒文化品牌为核心，结合特色种植产业品牌，打造“豆市酒乡”旅游目的地品牌。将优美的生态空间、优良的生产空间拓展而成农文旅休闲空间与消费空间，实现产区变景区、田园变公园、产品变礼品，围绕产业品牌与文化品牌设计具备本土文化特色的旅游项目，实现“以农带文，以文兴旅”的品牌建设路径。 4、以要素为保障：谋划重点项目，争取土地供给保障。充分对接上位规划，从产业发展和生态保护之间寻找平衡，通过项目布局确定地豆镇的生产空间、生态空间和生活空间，将精品项目在空间上落地，并为未来的招商引资项目预留足够的发展空间。通过用地平衡、配套设施平衡、园区社区平衡等方式，有效实现产、城、人的有机结合。 最终形成以宏观背景分析、基础条件分析、市场需求分析、发展思路与总体定位、农文旅融合项目策划、基础配套设施项目策划、招商引资项目策划、实施保障（包括土地保障、资金筹措等）、综合效益分析等9章内容。 二、规划部分，以详细规划深度，聚焦优化空间资源配置、集约用地布局编制镇村集成规划，形成地豆镇域用地布局规划“一张图”，实现对地豆镇域空间资源的统筹谋划和用途管制。 根据《通知》要求，本次具体工作内容包括但不限于： 1.扎实开展基础调研 在利用和细化县级国土空间规划编制工作资料和工作成果基础上，进一步扎实开展基础调研分析，摸清镇村存量未使用和低效闲置的空间资源、乡村“户-宅”现状底数和村民建房合理需求、镇村各类项目和设施用地需求，及目前镇村规划编制和落地实施存在的政策难点堵点，提出规划编制要解决的问题和思路，为编制形成与上位国土空间规划衔接、解决农民合理建房需求、支持乡村振兴建设项目落地、可实施好管理的镇村规划成果奠定基础。 2.提出目标定位 按照县级国土空间总体规划要求，明确地豆镇在区域政治、经济、社会和文化等方面所处的地位、作用及承担的主要职能。落实县级规划的规划指标要求，提出镇域国土空间开发保护的总体目标和预期性、约束性指标。 3.优化用地布局 严守县级国土空间总体规划“三区三线”划定成果，在上位规划的底线约束、规划指标等基础上，按照全域土地综合整治的思路，统筹考虑镇域发展需要和乡村建设需求，细化规划分区、优化用地布局。 在不突破县级规划确定的城镇开发边界外村庄建设用地总量的前提下，将村庄用地范围内未建设空间进行腾挪，在镇域内统筹布局。 最终形成全镇域用地布局规划“一张图”，实现对镇域空间的统筹谋划和用途管制，明确底线约束、布局引导和空间保障。  4.集成各专项规划及其近期项目 响应乡村振兴战略和“百千万工程”实施，在规划中细化落实产业发展、住房保障、公服配套、基础设施提升、乡村建设、风貌管控、文化保护等具体任务。 融合相关专项规划确定的建设项目，重点解决农民合理建房需求，补齐镇村基础设施、公共服务设施和农田水利设施短板，及保障农村产业融合发展项目落地，明确土地要素流向，将近期亟需实施建设的项目落图给予重点保障。 对于有条件的乡村，可考虑统一布局、建设新村，为旧村搬迁创造条件。 5.加强村庄规划的通则管理 在明确落实相关管控底线的基础上，制定村庄规划通则管理要求，重点加强乡村建设、风貌管控和环境整治等方面引导，确定村庄建设管控要求，包括宅基地面积、布局选址原则、建筑高度、建筑退线、建筑间距、外立面色彩等主要内容，作为后续乡村规划建设管理的依据。</w:t>
            </w:r>
          </w:p>
        </w:tc>
      </w:tr>
      <w:tr>
        <w:tc>
          <w:tcPr>
            <w:tcW w:type="dxa" w:w="2076"/>
          </w:tcPr>
          <w:p/>
        </w:tc>
        <w:tc>
          <w:tcPr>
            <w:tcW w:type="dxa" w:w="415"/>
          </w:tcPr>
          <w:p>
            <w:pPr>
              <w:pStyle w:val="null3"/>
            </w:pPr>
            <w:r>
              <w:rPr/>
              <w:t>4</w:t>
            </w:r>
          </w:p>
        </w:tc>
        <w:tc>
          <w:tcPr>
            <w:tcW w:type="dxa" w:w="5814"/>
          </w:tcPr>
          <w:p>
            <w:pPr>
              <w:pStyle w:val="null3"/>
            </w:pPr>
            <w:r>
              <w:rPr/>
              <w:t>成果要求： 规划部分形成由文本、图件、村庄建设管理通则、数据库等四部分组成的规划成果；成果应符合“上图入库”要求，纳入国土空间规划“一张图”管理。 策划部分形成以文本、图件和项目库等内容组成的编制成果。</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2.采购人：本项目是指</w:t>
      </w:r>
      <w:r>
        <w:rPr/>
        <w:t>四会市自然资源局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1.收费标准：参照国家计委“关于印发《招标代理服务收费管理暂行办法》的通知”（计价格[2002]1980号文）和国家发展改革委调整招标代理服务收费标准(发改价格[2011]534号)的标准收取； 2.计费基数：成交通知书中确定的成交总金额； 3.计算方法：差额定率累进法； 4.缴纳方式：电汇等付款方式； 5.缴纳时间：在领取成交通知书前一次性向采购代理机构缴清。</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pPr>
              <w:pStyle w:val="null3"/>
              <w:ind w:firstLine="480"/>
              <w:jc w:val="left"/>
            </w:pPr>
            <w:r>
              <w:rPr/>
              <w:t>一、《信用承诺书》的递交，根据肇庆市公共资源交易中心四会分中心的要求，请供应商填写《附件2：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ind w:firstLine="480"/>
              <w:jc w:val="left"/>
            </w:pPr>
            <w:r>
              <w:rPr/>
              <w:t>二、其他，在保证正常开标秩序的前提下，允许除供应商及其代表之外的其他人员观摩开标活动。观摩开标活动的其他人员应当按照采购代理机构的规定进行身份登记、签署保密承诺书，遵守交易中心要求，并服从采购代理机构的现场管理安排。</w:t>
            </w: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广东华伦招标有限公司网( http://www.gdhualun.com.cn/)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广东华伦招标有限公司网( http://www.gdhualun.com.cn/)</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肇庆市四会市地豆镇镇村国土空间集成规划（2023-2035年）)：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采购包1（肇庆市四会市地豆镇镇村国土空间集成规划（2023-2035年））：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采购包1（肇庆市四会市地豆镇镇村国土空间集成规划（2023-2035年））：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填写完整并加盖公章的《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供应商提供以下其中一项有效材料即可：1、填写完整并加盖公章的《附件1：资格条件承诺函》；2、提供2022年度或2023年度财务状况报告或基本开户行出具的资信证明。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供应商提供以下其中一项有效材料即可：1、填写完整并加盖公章的《附件1：资格条件承诺函》；2、按投标（响应）文件格式填报设备及专业技术能力情况。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填写完整并加盖公章的《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供应商未被列入“信用中国”网站(www.creditchina.gov.cn)“重大税收违法失信主体、政府采购严重违法失信行为记录名单”；未被列入中国执行信息公开网(http://zxgk.court.gov.cn) “失信被执行人名单；”不处于中国政府采购网(www.ccgp.gov.cn)“政府采购严重违法失信行为信息记录”中的禁止参加政府采购活动期间。（以资格审查人员于投标（响应）截止时间当天在上述网站查询结果为准，如查询结果显示“没有该企业的相关记录”，视为该供应商无上述不良信用记录；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城乡规划编制资质</w:t>
            </w:r>
          </w:p>
        </w:tc>
        <w:tc>
          <w:tcPr>
            <w:tcW w:type="dxa" w:w="4238"/>
          </w:tcPr>
          <w:p>
            <w:pPr>
              <w:pStyle w:val="null3"/>
            </w:pPr>
            <w:r>
              <w:rPr/>
              <w:t>供应商必须具有城乡规划编制乙级及以上资质。</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允许以联合体形式参与磋商。若以联合体形式参与磋商的，联合体成员不得超过两个，联合体牵头人应具备城乡规划编制乙级及以上资质。联合体各方成员须共同签署联合体协议书（附在磋商响应文件中），协议书须明确牵头人及各方权责和分工。</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tc>
      </w:tr>
    </w:tbl>
    <w:p>
      <w:pPr>
        <w:pStyle w:val="null3"/>
        <w:ind w:firstLine="480"/>
      </w:pPr>
      <w:r>
        <w:rPr/>
        <w:t>表二符合性审查表：</w:t>
      </w:r>
    </w:p>
    <w:p>
      <w:pPr>
        <w:pStyle w:val="null3"/>
      </w:pPr>
    </w:p>
    <w:p>
      <w:pPr>
        <w:pStyle w:val="null3"/>
      </w:pPr>
      <w:r>
        <w:rPr/>
        <w:t>采购包1（肇庆市四会市地豆镇镇村国土空间集成规划（2023-2035年））：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响应承诺函已提交，并符合竞争性磋商文件格式要求。响应文件内容基本完整，无重大错漏，并按要求签署、盖章。</w:t>
            </w:r>
          </w:p>
        </w:tc>
      </w:tr>
      <w:tr>
        <w:tc>
          <w:tcPr>
            <w:tcW w:type="dxa" w:w="890"/>
          </w:tcPr>
          <w:p>
            <w:pPr>
              <w:pStyle w:val="null3"/>
            </w:pPr>
            <w:r>
              <w:rPr/>
              <w:t>2</w:t>
            </w:r>
          </w:p>
        </w:tc>
        <w:tc>
          <w:tcPr>
            <w:tcW w:type="dxa" w:w="3178"/>
          </w:tcPr>
          <w:p>
            <w:pPr>
              <w:pStyle w:val="null3"/>
            </w:pPr>
            <w:r>
              <w:rPr/>
              <w:t>关于报价</w:t>
            </w:r>
          </w:p>
        </w:tc>
        <w:tc>
          <w:tcPr>
            <w:tcW w:type="dxa" w:w="4238"/>
          </w:tcPr>
          <w:p>
            <w:pPr>
              <w:pStyle w:val="null3"/>
            </w:pPr>
            <w:r>
              <w:rPr/>
              <w:t>报价总金额是固定价且是唯一的，未超过本项目采购预算。若磋商小组认为响应供应商的报价明显低于其他响应供应商的报价，有可能影响产品质量或者不能诚信履约的，应当要求其在评审现场合理的时间内提供书面说明，必要时提交相关证明材料。</w:t>
            </w:r>
          </w:p>
        </w:tc>
      </w:tr>
      <w:tr>
        <w:tc>
          <w:tcPr>
            <w:tcW w:type="dxa" w:w="890"/>
          </w:tcPr>
          <w:p>
            <w:pPr>
              <w:pStyle w:val="null3"/>
            </w:pPr>
            <w:r>
              <w:rPr/>
              <w:t>3</w:t>
            </w:r>
          </w:p>
        </w:tc>
        <w:tc>
          <w:tcPr>
            <w:tcW w:type="dxa" w:w="3178"/>
          </w:tcPr>
          <w:p>
            <w:pPr>
              <w:pStyle w:val="null3"/>
            </w:pPr>
            <w:r>
              <w:rPr/>
              <w:t>法定代表人（负责人）证明书及授权委托书（如需委托）</w:t>
            </w:r>
          </w:p>
        </w:tc>
        <w:tc>
          <w:tcPr>
            <w:tcW w:type="dxa" w:w="4238"/>
          </w:tcPr>
          <w:p>
            <w:pPr>
              <w:pStyle w:val="null3"/>
            </w:pPr>
            <w:r>
              <w:rPr/>
              <w:t>法定代表人（负责人）证明书及授权委托书，按竞争性磋商文件对应格式文件签署、盖章。备注：如响应供应商代表为法定代表人的，则无需提交授权书。</w:t>
            </w:r>
          </w:p>
        </w:tc>
      </w:tr>
      <w:tr>
        <w:tc>
          <w:tcPr>
            <w:tcW w:type="dxa" w:w="890"/>
          </w:tcPr>
          <w:p>
            <w:pPr>
              <w:pStyle w:val="null3"/>
            </w:pPr>
            <w:r>
              <w:rPr/>
              <w:t>4</w:t>
            </w:r>
          </w:p>
        </w:tc>
        <w:tc>
          <w:tcPr>
            <w:tcW w:type="dxa" w:w="3178"/>
          </w:tcPr>
          <w:p>
            <w:pPr>
              <w:pStyle w:val="null3"/>
            </w:pPr>
            <w:r>
              <w:rPr/>
              <w:t>报价有效期</w:t>
            </w:r>
          </w:p>
        </w:tc>
        <w:tc>
          <w:tcPr>
            <w:tcW w:type="dxa" w:w="4238"/>
          </w:tcPr>
          <w:p>
            <w:pPr>
              <w:pStyle w:val="null3"/>
            </w:pPr>
            <w:r>
              <w:rPr/>
              <w:t>从提交投标（响应）文件的截止之日起90日历天。</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6</w:t>
            </w:r>
          </w:p>
        </w:tc>
        <w:tc>
          <w:tcPr>
            <w:tcW w:type="dxa" w:w="3178"/>
          </w:tcPr>
          <w:p>
            <w:pPr>
              <w:pStyle w:val="null3"/>
            </w:pPr>
            <w:r>
              <w:rPr/>
              <w:t>响应无效的情形</w:t>
            </w:r>
          </w:p>
        </w:tc>
        <w:tc>
          <w:tcPr>
            <w:tcW w:type="dxa" w:w="4238"/>
          </w:tcPr>
          <w:p>
            <w:pPr>
              <w:pStyle w:val="null3"/>
            </w:pPr>
            <w:r>
              <w:rPr/>
              <w:t>响应文件中未出现法律、法规和竞争性磋商文件所列的视为响应无效的情形。</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采购包1(肇庆市四会市地豆镇镇村国土空间集成规划（2023-2035年）):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现状认知 (10.0分)</w:t>
            </w:r>
            <w:r>
              <w:rPr/>
              <w:t>，（等次分值选择：</w:t>
            </w:r>
            <w:r>
              <w:rPr/>
              <w:t>0.0;</w:t>
            </w:r>
            <w:r>
              <w:rPr/>
              <w:t>1.0;</w:t>
            </w:r>
            <w:r>
              <w:rPr/>
              <w:t>4.0;</w:t>
            </w:r>
            <w:r>
              <w:rPr/>
              <w:t>7.0;</w:t>
            </w:r>
            <w:r>
              <w:rPr/>
              <w:t>10.0;</w:t>
            </w:r>
            <w:r>
              <w:rPr/>
              <w:t>）</w:t>
            </w:r>
          </w:p>
        </w:tc>
        <w:tc>
          <w:tcPr>
            <w:tcW w:type="dxa" w:w="5076"/>
          </w:tcPr>
          <w:p>
            <w:pPr>
              <w:pStyle w:val="null3"/>
              <w:jc w:val="left"/>
            </w:pPr>
            <w:r>
              <w:rPr/>
              <w:t>1.供应商对本项目政策背景、编制要求、工作内容、基本情况、村庄建设用地范围内空间使用情况的掌握程度把握准确详细，有深入研究，得10分； 2. 供应商对本项目政策背景、编制要求、工作内容、基本情况、村庄建设用地范围内空间使用情况的掌握程度把握较准确详细，有较深入研究，得7分； 3. 供应商对本项目政策背景、编制要求、工作内容、基本情况、村庄建设用地范围内空间使用情况的掌握程度把握一般准确详细，有一定深入研究，得4分； 4. 供应商对本项目政策背景、编制要求、工作内容、基本情况、村庄建设用地范围内空间使用情况的掌握程度把握不准确，没有深入研究，得1分； 5.无相关内容不得分。</w:t>
            </w:r>
          </w:p>
        </w:tc>
      </w:tr>
      <w:tr>
        <w:tc>
          <w:tcPr>
            <w:tcW w:type="dxa" w:w="922"/>
            <w:gridSpan w:val="2"/>
            <w:vMerge/>
          </w:tcPr>
          <w:p/>
        </w:tc>
        <w:tc>
          <w:tcPr>
            <w:tcW w:type="dxa" w:w="2307"/>
          </w:tcPr>
          <w:p>
            <w:pPr>
              <w:pStyle w:val="null3"/>
              <w:jc w:val="left"/>
            </w:pPr>
            <w:r>
              <w:rPr/>
              <w:t>工作目标与思路 (5.0分)</w:t>
            </w:r>
            <w:r>
              <w:rPr/>
              <w:t>，（等次分值选择：</w:t>
            </w:r>
            <w:r>
              <w:rPr/>
              <w:t>0.0;</w:t>
            </w:r>
            <w:r>
              <w:rPr/>
              <w:t>1.0;</w:t>
            </w:r>
            <w:r>
              <w:rPr/>
              <w:t>3.0;</w:t>
            </w:r>
            <w:r>
              <w:rPr/>
              <w:t>5.0;</w:t>
            </w:r>
            <w:r>
              <w:rPr/>
              <w:t>）</w:t>
            </w:r>
          </w:p>
        </w:tc>
        <w:tc>
          <w:tcPr>
            <w:tcW w:type="dxa" w:w="5076"/>
          </w:tcPr>
          <w:p>
            <w:pPr>
              <w:pStyle w:val="null3"/>
              <w:jc w:val="left"/>
            </w:pPr>
            <w:r>
              <w:rPr/>
              <w:t>1.供应商对本次镇村国土空间集成规划提出的工作目标、技术路线、工作思路与重点难点科学合理可行的，得5分； 2.供应商对本次镇村国土空间集成规划提出的工作目标、技术路线、工作思路与重点难点较合理可行的，得3分； 3.对本次镇村国土空间集成规划提出的工作目标、技术路线、工作思路与重点难点不够合理可行的，得1分； 4.无相关内容不得分。</w:t>
            </w:r>
          </w:p>
        </w:tc>
      </w:tr>
      <w:tr>
        <w:tc>
          <w:tcPr>
            <w:tcW w:type="dxa" w:w="922"/>
            <w:gridSpan w:val="2"/>
            <w:vMerge/>
          </w:tcPr>
          <w:p/>
        </w:tc>
        <w:tc>
          <w:tcPr>
            <w:tcW w:type="dxa" w:w="2307"/>
          </w:tcPr>
          <w:p>
            <w:pPr>
              <w:pStyle w:val="null3"/>
              <w:jc w:val="left"/>
            </w:pPr>
            <w:r>
              <w:rPr/>
              <w:t>全域空间方案 (10.0分)</w:t>
            </w:r>
            <w:r>
              <w:rPr/>
              <w:t>，（等次分值选择：</w:t>
            </w:r>
            <w:r>
              <w:rPr/>
              <w:t>0.0;</w:t>
            </w:r>
            <w:r>
              <w:rPr/>
              <w:t>1.0;</w:t>
            </w:r>
            <w:r>
              <w:rPr/>
              <w:t>4.0;</w:t>
            </w:r>
            <w:r>
              <w:rPr/>
              <w:t>7.0;</w:t>
            </w:r>
            <w:r>
              <w:rPr/>
              <w:t>10.0;</w:t>
            </w:r>
            <w:r>
              <w:rPr/>
              <w:t>）</w:t>
            </w:r>
          </w:p>
        </w:tc>
        <w:tc>
          <w:tcPr>
            <w:tcW w:type="dxa" w:w="5076"/>
          </w:tcPr>
          <w:p>
            <w:pPr>
              <w:pStyle w:val="null3"/>
              <w:jc w:val="left"/>
            </w:pPr>
            <w:r>
              <w:rPr/>
              <w:t>1.供应商上位规划衔接、自然资源保护利用、全域国土空间总体布局方案完善，具备高度实用性、可行性的，得10分； 2.供应商上位规划衔接、自然资源保护利用、全域国土空间总体布局方案较完善，具备一定实用性、可行性的，得7分； 3．供应商上位规划衔接、自然资源保护利用、全域国土空间总体布局方案一般完善，具备一般实用性、可行性的，得4分； 4．供应商上位规划衔接、自然资源保护利用、全域国土空间总体布局方案较为不完善，不具备实用性、可行性的，得1分 5.无相关内容不得分。</w:t>
            </w:r>
          </w:p>
        </w:tc>
      </w:tr>
      <w:tr>
        <w:tc>
          <w:tcPr>
            <w:tcW w:type="dxa" w:w="922"/>
            <w:gridSpan w:val="2"/>
            <w:vMerge/>
          </w:tcPr>
          <w:p/>
        </w:tc>
        <w:tc>
          <w:tcPr>
            <w:tcW w:type="dxa" w:w="2307"/>
          </w:tcPr>
          <w:p>
            <w:pPr>
              <w:pStyle w:val="null3"/>
              <w:jc w:val="left"/>
            </w:pPr>
            <w:r>
              <w:rPr/>
              <w:t>村庄方案 (12.0分)</w:t>
            </w:r>
            <w:r>
              <w:rPr/>
              <w:t>，（等次分值选择：</w:t>
            </w:r>
            <w:r>
              <w:rPr/>
              <w:t>0.0;</w:t>
            </w:r>
            <w:r>
              <w:rPr/>
              <w:t>1.0;</w:t>
            </w:r>
            <w:r>
              <w:rPr/>
              <w:t>4.0;</w:t>
            </w:r>
            <w:r>
              <w:rPr/>
              <w:t>8.0;</w:t>
            </w:r>
            <w:r>
              <w:rPr/>
              <w:t>12.0;</w:t>
            </w:r>
            <w:r>
              <w:rPr/>
              <w:t>）</w:t>
            </w:r>
          </w:p>
        </w:tc>
        <w:tc>
          <w:tcPr>
            <w:tcW w:type="dxa" w:w="5076"/>
          </w:tcPr>
          <w:p>
            <w:pPr>
              <w:pStyle w:val="null3"/>
              <w:jc w:val="left"/>
            </w:pPr>
            <w:r>
              <w:rPr/>
              <w:t>1.村庄层面的村庄用地需求分析、村庄分类、城乡统筹发展以及优化提升方案完善，具备高度实用性、可行性的，得12分； 2.村庄层面的村庄用地需求分析、村庄分类、城乡统筹发展以及优化提升方案较完善，具备一定实用性、可行性的，得8分； 3.村庄层面的村庄用地需求分析、村庄分类、城乡统筹发展以及优化提升方案一般完善，具备一般实用性、可行性的，得4分； 4.村庄层面的村庄用地需求分析、村庄分类、城乡统筹发展以及优化提升方案较为不完善，不具备实用性、可行性的，得1分； 5.无相关内容不得分。</w:t>
            </w:r>
          </w:p>
        </w:tc>
      </w:tr>
      <w:tr>
        <w:tc>
          <w:tcPr>
            <w:tcW w:type="dxa" w:w="922"/>
            <w:gridSpan w:val="2"/>
            <w:vMerge/>
          </w:tcPr>
          <w:p/>
        </w:tc>
        <w:tc>
          <w:tcPr>
            <w:tcW w:type="dxa" w:w="2307"/>
          </w:tcPr>
          <w:p>
            <w:pPr>
              <w:pStyle w:val="null3"/>
              <w:jc w:val="left"/>
            </w:pPr>
            <w:r>
              <w:rPr/>
              <w:t>产业策划 (10.0分)</w:t>
            </w:r>
            <w:r>
              <w:rPr/>
              <w:t>，（等次分值选择：</w:t>
            </w:r>
            <w:r>
              <w:rPr/>
              <w:t>0.0;</w:t>
            </w:r>
            <w:r>
              <w:rPr/>
              <w:t>1.0;</w:t>
            </w:r>
            <w:r>
              <w:rPr/>
              <w:t>4.0;</w:t>
            </w:r>
            <w:r>
              <w:rPr/>
              <w:t>7.0;</w:t>
            </w:r>
            <w:r>
              <w:rPr/>
              <w:t>10.0;</w:t>
            </w:r>
            <w:r>
              <w:rPr/>
              <w:t>）</w:t>
            </w:r>
          </w:p>
        </w:tc>
        <w:tc>
          <w:tcPr>
            <w:tcW w:type="dxa" w:w="5076"/>
          </w:tcPr>
          <w:p>
            <w:pPr>
              <w:pStyle w:val="null3"/>
              <w:jc w:val="left"/>
            </w:pPr>
            <w:r>
              <w:rPr/>
              <w:t>1.对产业发展现状的研究全面深入，所策划的产业发展模式系统性强、完整度高，空间布局上具有层级，产业项目内容丰富且具有前瞻性、可行性和落地性，充分兼顾经济效益、生态效益与社会效益，得10分； 2.对产业发展现状研究较为扎实，所策划的产业发展模式较为完整，空间布局较有层级，产业项目内容较为丰富且具有一定前瞻性、可行性和落地性、较能兼顾经济效益、生态效益与社会效益，得7分； 3.对产业发展现状的研究程度一般，所策划的产业发展模式完整度一般，空间布局一般，产业项目内容不够丰富且前瞻性、可行性和落地性较差，经济效益、生态效益与社会效益一般的，得4分； 4.对产业发展现状的研究较差，所策划的产业发展模式不够扎实，空间布局较差，产业项目内容单薄且不具备前瞻性、可行性和落地性、未能兼顾经济效益、生态效益与社会效益，得1分； 5.不提供不得分。</w:t>
            </w:r>
          </w:p>
        </w:tc>
      </w:tr>
      <w:tr>
        <w:tc>
          <w:tcPr>
            <w:tcW w:type="dxa" w:w="922"/>
            <w:gridSpan w:val="2"/>
            <w:vMerge/>
          </w:tcPr>
          <w:p/>
        </w:tc>
        <w:tc>
          <w:tcPr>
            <w:tcW w:type="dxa" w:w="2307"/>
          </w:tcPr>
          <w:p>
            <w:pPr>
              <w:pStyle w:val="null3"/>
              <w:jc w:val="left"/>
            </w:pPr>
            <w:r>
              <w:rPr/>
              <w:t>服务保障措施 (3.0分)</w:t>
            </w:r>
            <w:r>
              <w:rPr/>
              <w:t>，（等次分值选择：</w:t>
            </w:r>
            <w:r>
              <w:rPr/>
              <w:t>0.0;</w:t>
            </w:r>
            <w:r>
              <w:rPr/>
              <w:t>1.0;</w:t>
            </w:r>
            <w:r>
              <w:rPr/>
              <w:t>2.0;</w:t>
            </w:r>
            <w:r>
              <w:rPr/>
              <w:t>3.0;</w:t>
            </w:r>
            <w:r>
              <w:rPr/>
              <w:t>）</w:t>
            </w:r>
          </w:p>
        </w:tc>
        <w:tc>
          <w:tcPr>
            <w:tcW w:type="dxa" w:w="5076"/>
          </w:tcPr>
          <w:p>
            <w:pPr>
              <w:pStyle w:val="null3"/>
              <w:jc w:val="left"/>
            </w:pPr>
            <w:r>
              <w:rPr/>
              <w:t>1.根据采购人需求制定服务保障措施，措施切实可行，进度计划、后续服务承诺完全满足采购人需求，得3分； 2.根据采购人需求制定服务保障措施，措施可行，进度计划、后续服务承诺可满足采购人需求，得2分； 3.根据采购人需求制定服务保障措施，措施可行差，进度计划、后续服务承诺基本满足采购人需求，得1分； 4．无相关内容不得分。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(14.0分)</w:t>
            </w:r>
          </w:p>
        </w:tc>
        <w:tc>
          <w:tcPr>
            <w:tcW w:type="dxa" w:w="5076"/>
          </w:tcPr>
          <w:p>
            <w:pPr>
              <w:pStyle w:val="null3"/>
              <w:jc w:val="left"/>
            </w:pPr>
            <w:r>
              <w:rPr/>
              <w:t>1.自2019年1月1日至递交响应文件截止之前，响应供应商承接过的镇村国土空间集成规划同类项目业绩：每提供一个，得1.5分，无或其他不得分。本项最高得9分。 2.响应供应商承接过的市县（区）级及以上产业发展规划的，每提供一个，得1分，无或其他不得分。本项最高得5分。 以提供的委托合同关键页作为评分依据，复印件并加盖响应供应商公章，没有提供不得分。</w:t>
            </w:r>
          </w:p>
        </w:tc>
      </w:tr>
      <w:tr>
        <w:tc>
          <w:tcPr>
            <w:tcW w:type="dxa" w:w="922"/>
            <w:gridSpan w:val="2"/>
            <w:vMerge/>
          </w:tcPr>
          <w:p/>
        </w:tc>
        <w:tc>
          <w:tcPr>
            <w:tcW w:type="dxa" w:w="2307"/>
          </w:tcPr>
          <w:p>
            <w:pPr>
              <w:pStyle w:val="null3"/>
              <w:jc w:val="left"/>
            </w:pPr>
            <w:r>
              <w:rPr/>
              <w:t>获奖情况 (6.0分)</w:t>
            </w:r>
          </w:p>
        </w:tc>
        <w:tc>
          <w:tcPr>
            <w:tcW w:type="dxa" w:w="5076"/>
          </w:tcPr>
          <w:p>
            <w:pPr>
              <w:pStyle w:val="null3"/>
              <w:jc w:val="left"/>
            </w:pPr>
            <w:r>
              <w:rPr/>
              <w:t>自2019年1月1日至递交响应文件截止之前，响应供应商完成的城市规划类项目，获得中国城市规划协会颁发的优秀城乡规划设计奖，全国一等奖，每个项目得1分，全国二、三等奖，每个项目0.5分，本项最高得6分。 以提供的相关证明材料作为评分依据，复印件并加盖响应供应商公章，没有提供不得分。</w:t>
            </w:r>
          </w:p>
        </w:tc>
      </w:tr>
      <w:tr>
        <w:tc>
          <w:tcPr>
            <w:tcW w:type="dxa" w:w="922"/>
            <w:gridSpan w:val="2"/>
            <w:vMerge/>
          </w:tcPr>
          <w:p/>
        </w:tc>
        <w:tc>
          <w:tcPr>
            <w:tcW w:type="dxa" w:w="2307"/>
          </w:tcPr>
          <w:p>
            <w:pPr>
              <w:pStyle w:val="null3"/>
              <w:jc w:val="left"/>
            </w:pPr>
            <w:r>
              <w:rPr/>
              <w:t>技术服务团队（一） (10.0分)</w:t>
            </w:r>
          </w:p>
        </w:tc>
        <w:tc>
          <w:tcPr>
            <w:tcW w:type="dxa" w:w="5076"/>
          </w:tcPr>
          <w:p>
            <w:pPr>
              <w:pStyle w:val="null3"/>
              <w:jc w:val="left"/>
            </w:pPr>
            <w:r>
              <w:rPr/>
              <w:t>项目负责人： （1）项目负责人具备注册城乡规划师执业资格证书的，得1分；具备正高级职称的，得2分；具备副高级职称的，得1分。本项最高得3分。（2）根据项目负责人自2019年1月1日以来所参与的相关项目获得的奖项情况进行评审：获得国家级奖项的，每提供一项得2分；获得省级及以下奖项的，每提供一项得1分，本项最高得7分。 注:本项目只可设置一名项目负责人。 需提供以下证明材料并加盖响应供应商单位公章：①上述负责人相关有效证书或证明材料复印件；②响应供应商为项目负责人于提交文件截止时间前六个月内任意一个月购买社保的证明材料复印件。</w:t>
            </w:r>
          </w:p>
        </w:tc>
      </w:tr>
      <w:tr>
        <w:tc>
          <w:tcPr>
            <w:tcW w:type="dxa" w:w="922"/>
            <w:gridSpan w:val="2"/>
            <w:vMerge/>
          </w:tcPr>
          <w:p/>
        </w:tc>
        <w:tc>
          <w:tcPr>
            <w:tcW w:type="dxa" w:w="2307"/>
          </w:tcPr>
          <w:p>
            <w:pPr>
              <w:pStyle w:val="null3"/>
              <w:jc w:val="left"/>
            </w:pPr>
            <w:r>
              <w:rPr/>
              <w:t>技术服务团队（二） (10.0分)</w:t>
            </w:r>
          </w:p>
        </w:tc>
        <w:tc>
          <w:tcPr>
            <w:tcW w:type="dxa" w:w="5076"/>
          </w:tcPr>
          <w:p>
            <w:pPr>
              <w:pStyle w:val="null3"/>
              <w:jc w:val="left"/>
            </w:pPr>
            <w:r>
              <w:rPr/>
              <w:t>专业技术人员（项目负责人除外）： 具有城乡规划、国土、市政、交通、景观等相关专业正高级职称，每提供一个相关专业正高级职称人员得2分，同一人具有不同专业不可累计得分，相同专业不可累计得分，本项最高得10分。注:需提供以下证明材料并加盖响应供应商单位公章：①以上人员相关有效证书复印件；②响应供应商为以上人员于提交文件截止时间前六个月内任意一个月购买社保的证明材料复印件。</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标结果按评审后总得分由高到低顺序排列。总得分相同的按报价由低到高顺序排列。评审得分且最终报价相同的，按照技术指标优劣顺序推荐；若未能区分优劣，则由磋商小组成员投票决定，投票按少数服从多数的原则进行，投票时不得弃权。排名第一的响应供应商为第一成交候选人，排名第二的响应供应商为第二成交候选人，排名第三的响应供应商为第三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both"/>
      </w:pPr>
      <w:r>
        <w:rPr>
          <w:sz w:val="30"/>
        </w:rPr>
        <w:t>合同登记编号：</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sz w:val="52"/>
        </w:rPr>
        <w:t>技术咨询合同</w:t>
      </w:r>
    </w:p>
    <w:p>
      <w:pPr>
        <w:pStyle w:val="null3"/>
        <w:ind w:firstLine="480"/>
        <w:jc w:val="center"/>
      </w:pPr>
    </w:p>
    <w:p>
      <w:pPr>
        <w:pStyle w:val="null3"/>
        <w:ind w:firstLine="480"/>
        <w:jc w:val="center"/>
      </w:pPr>
    </w:p>
    <w:p>
      <w:pPr>
        <w:pStyle w:val="null3"/>
      </w:pPr>
    </w:p>
    <w:p>
      <w:pPr>
        <w:pStyle w:val="null3"/>
      </w:pPr>
    </w:p>
    <w:p>
      <w:pPr>
        <w:pStyle w:val="null3"/>
      </w:pPr>
    </w:p>
    <w:p>
      <w:pPr>
        <w:pStyle w:val="null3"/>
        <w:ind w:firstLine="480"/>
        <w:jc w:val="center"/>
      </w:pPr>
    </w:p>
    <w:p>
      <w:pPr>
        <w:pStyle w:val="null3"/>
        <w:ind w:left="-285" w:firstLine="480"/>
        <w:jc w:val="both"/>
      </w:pPr>
      <w:r>
        <w:rPr>
          <w:sz w:val="30"/>
        </w:rPr>
        <w:t>项目名称：</w:t>
      </w:r>
    </w:p>
    <w:p>
      <w:pPr>
        <w:pStyle w:val="null3"/>
        <w:ind w:left="-285" w:firstLine="480"/>
        <w:jc w:val="both"/>
      </w:pPr>
      <w:r>
        <w:rPr>
          <w:sz w:val="30"/>
        </w:rPr>
        <w:t>委托单位（甲方）：</w:t>
      </w:r>
    </w:p>
    <w:p>
      <w:pPr>
        <w:pStyle w:val="null3"/>
        <w:ind w:left="-285" w:firstLine="480"/>
        <w:jc w:val="both"/>
      </w:pPr>
      <w:r>
        <w:rPr>
          <w:sz w:val="30"/>
        </w:rPr>
        <w:t>承接单位（乙方）：</w:t>
      </w:r>
    </w:p>
    <w:p>
      <w:pPr>
        <w:pStyle w:val="null3"/>
        <w:ind w:left="-285" w:firstLine="480"/>
        <w:jc w:val="both"/>
      </w:pPr>
      <w:r>
        <w:rPr>
          <w:sz w:val="30"/>
        </w:rPr>
        <w:t>签订日期：</w:t>
      </w:r>
    </w:p>
    <w:p>
      <w:pPr>
        <w:pStyle w:val="null3"/>
        <w:ind w:firstLine="480"/>
        <w:jc w:val="center"/>
      </w:pPr>
    </w:p>
    <w:p>
      <w:pPr>
        <w:pStyle w:val="null3"/>
        <w:ind w:firstLine="480"/>
        <w:jc w:val="center"/>
      </w:pPr>
    </w:p>
    <w:p>
      <w:pPr>
        <w:pStyle w:val="null3"/>
        <w:ind w:firstLine="480"/>
      </w:pPr>
      <w:r>
        <w:rPr>
          <w:sz w:val="44"/>
        </w:rPr>
        <w:t xml:space="preserve">  </w:t>
      </w:r>
      <w:r>
        <w:rPr>
          <w:sz w:val="44"/>
        </w:rPr>
        <w:t>技术咨询合同</w:t>
      </w:r>
    </w:p>
    <w:p>
      <w:pPr>
        <w:pStyle w:val="null3"/>
      </w:pPr>
      <w:r>
        <w:rPr/>
        <w:t xml:space="preserve"> </w:t>
      </w:r>
    </w:p>
    <w:p>
      <w:pPr>
        <w:pStyle w:val="null3"/>
        <w:ind w:firstLine="480"/>
        <w:jc w:val="center"/>
      </w:pPr>
    </w:p>
    <w:p>
      <w:pPr>
        <w:pStyle w:val="null3"/>
        <w:ind w:firstLine="484"/>
        <w:jc w:val="both"/>
      </w:pPr>
      <w:r>
        <w:rPr>
          <w:sz w:val="24"/>
        </w:rPr>
        <w:t>委托方（甲方）：</w:t>
      </w:r>
    </w:p>
    <w:p>
      <w:pPr>
        <w:pStyle w:val="null3"/>
        <w:ind w:firstLine="484"/>
        <w:jc w:val="both"/>
      </w:pPr>
      <w:r>
        <w:rPr>
          <w:sz w:val="24"/>
        </w:rPr>
        <w:t>住</w:t>
      </w:r>
      <w:r>
        <w:rPr>
          <w:sz w:val="24"/>
        </w:rPr>
        <w:t xml:space="preserve"> </w:t>
      </w:r>
      <w:r>
        <w:rPr>
          <w:sz w:val="24"/>
        </w:rPr>
        <w:t>所</w:t>
      </w:r>
      <w:r>
        <w:rPr>
          <w:sz w:val="24"/>
        </w:rPr>
        <w:t xml:space="preserve"> </w:t>
      </w:r>
      <w:r>
        <w:rPr>
          <w:sz w:val="24"/>
        </w:rPr>
        <w:t>地：</w:t>
      </w:r>
    </w:p>
    <w:p>
      <w:pPr>
        <w:pStyle w:val="null3"/>
        <w:ind w:firstLine="484"/>
        <w:jc w:val="both"/>
      </w:pPr>
      <w:r>
        <w:rPr>
          <w:sz w:val="24"/>
        </w:rPr>
        <w:t>统一社会信用代码：</w:t>
      </w:r>
    </w:p>
    <w:p>
      <w:pPr>
        <w:pStyle w:val="null3"/>
        <w:ind w:firstLine="484"/>
        <w:jc w:val="both"/>
      </w:pPr>
      <w:r>
        <w:rPr>
          <w:sz w:val="24"/>
        </w:rPr>
        <w:t>法定代表人：</w:t>
      </w:r>
    </w:p>
    <w:p>
      <w:pPr>
        <w:pStyle w:val="null3"/>
        <w:ind w:firstLine="484"/>
        <w:jc w:val="both"/>
      </w:pPr>
      <w:r>
        <w:rPr>
          <w:sz w:val="24"/>
        </w:rPr>
        <w:t>项目负责人：</w:t>
      </w:r>
    </w:p>
    <w:p>
      <w:pPr>
        <w:pStyle w:val="null3"/>
        <w:ind w:firstLine="484"/>
        <w:jc w:val="both"/>
      </w:pPr>
      <w:r>
        <w:rPr>
          <w:sz w:val="24"/>
        </w:rPr>
        <w:t>项目联系人</w:t>
      </w:r>
      <w:r>
        <w:rPr>
          <w:sz w:val="24"/>
        </w:rPr>
        <w:t>：</w:t>
      </w:r>
      <w:r>
        <w:rPr>
          <w:sz w:val="21"/>
          <w:u w:val="single"/>
        </w:rPr>
        <w:t xml:space="preserve">                     </w:t>
      </w:r>
    </w:p>
    <w:p>
      <w:pPr>
        <w:pStyle w:val="null3"/>
        <w:ind w:firstLine="484"/>
        <w:jc w:val="both"/>
      </w:pPr>
      <w:r>
        <w:rPr>
          <w:sz w:val="24"/>
        </w:rPr>
        <w:t>通讯地址</w:t>
      </w:r>
      <w:r>
        <w:rPr>
          <w:sz w:val="24"/>
        </w:rPr>
        <w:t>：</w:t>
      </w:r>
      <w:r>
        <w:rPr>
          <w:sz w:val="21"/>
          <w:u w:val="single"/>
        </w:rPr>
        <w:t xml:space="preserve">  </w:t>
      </w:r>
      <w:r>
        <w:rPr>
          <w:sz w:val="21"/>
          <w:u w:val="single"/>
        </w:rPr>
        <w:t xml:space="preserve">    </w:t>
      </w:r>
      <w:r>
        <w:rPr>
          <w:sz w:val="21"/>
          <w:u w:val="single"/>
        </w:rPr>
        <w:t xml:space="preserve">       </w:t>
      </w:r>
      <w:r>
        <w:rPr>
          <w:sz w:val="24"/>
        </w:rPr>
        <w:t>邮</w:t>
      </w:r>
      <w:r>
        <w:rPr>
          <w:sz w:val="24"/>
        </w:rPr>
        <w:t xml:space="preserve"> </w:t>
      </w:r>
      <w:r>
        <w:rPr>
          <w:sz w:val="24"/>
        </w:rPr>
        <w:t>码：</w:t>
      </w:r>
      <w:r>
        <w:rPr>
          <w:sz w:val="21"/>
          <w:u w:val="single"/>
        </w:rPr>
        <w:t xml:space="preserve">   </w:t>
      </w:r>
      <w:r>
        <w:rPr>
          <w:sz w:val="21"/>
          <w:u w:val="single"/>
        </w:rPr>
        <w:t xml:space="preserve">               </w:t>
      </w:r>
    </w:p>
    <w:p>
      <w:pPr>
        <w:pStyle w:val="null3"/>
        <w:ind w:firstLine="484"/>
        <w:jc w:val="both"/>
      </w:pPr>
      <w:r>
        <w:rPr>
          <w:sz w:val="24"/>
        </w:rPr>
        <w:t>电</w:t>
      </w:r>
      <w:r>
        <w:rPr>
          <w:sz w:val="24"/>
        </w:rPr>
        <w:t xml:space="preserve">   </w:t>
      </w:r>
      <w:r>
        <w:rPr>
          <w:sz w:val="24"/>
        </w:rPr>
        <w:t>话</w:t>
      </w:r>
      <w:r>
        <w:rPr>
          <w:sz w:val="24"/>
        </w:rPr>
        <w:t>：</w:t>
      </w:r>
      <w:r>
        <w:rPr>
          <w:sz w:val="21"/>
          <w:u w:val="single"/>
        </w:rPr>
        <w:t xml:space="preserve">             </w:t>
      </w:r>
      <w:r>
        <w:rPr>
          <w:sz w:val="24"/>
        </w:rPr>
        <w:t>传</w:t>
      </w:r>
      <w:r>
        <w:rPr>
          <w:sz w:val="24"/>
        </w:rPr>
        <w:t xml:space="preserve"> </w:t>
      </w:r>
      <w:r>
        <w:rPr>
          <w:sz w:val="24"/>
        </w:rPr>
        <w:t>真：</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84"/>
        <w:jc w:val="both"/>
      </w:pPr>
      <w:r>
        <w:rPr>
          <w:sz w:val="24"/>
        </w:rPr>
        <w:t>电</w:t>
      </w:r>
      <w:r>
        <w:rPr>
          <w:sz w:val="24"/>
        </w:rPr>
        <w:t>子</w:t>
      </w:r>
      <w:r>
        <w:rPr>
          <w:sz w:val="24"/>
        </w:rPr>
        <w:t>信</w:t>
      </w:r>
      <w:r>
        <w:rPr>
          <w:sz w:val="24"/>
        </w:rPr>
        <w:t>箱</w:t>
      </w:r>
      <w:r>
        <w:rPr>
          <w:sz w:val="24"/>
        </w:rPr>
        <w:t>：</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4"/>
        <w:jc w:val="both"/>
      </w:pPr>
      <w:r>
        <w:rPr>
          <w:sz w:val="24"/>
        </w:rPr>
        <w:t>受托方（乙方）：</w:t>
      </w:r>
    </w:p>
    <w:p>
      <w:pPr>
        <w:pStyle w:val="null3"/>
        <w:ind w:firstLine="484"/>
        <w:jc w:val="both"/>
      </w:pPr>
      <w:r>
        <w:rPr>
          <w:sz w:val="24"/>
        </w:rPr>
        <w:t>住</w:t>
      </w:r>
      <w:r>
        <w:rPr>
          <w:sz w:val="24"/>
        </w:rPr>
        <w:t xml:space="preserve"> </w:t>
      </w:r>
      <w:r>
        <w:rPr>
          <w:sz w:val="24"/>
        </w:rPr>
        <w:t>所</w:t>
      </w:r>
      <w:r>
        <w:rPr>
          <w:sz w:val="24"/>
        </w:rPr>
        <w:t xml:space="preserve"> </w:t>
      </w:r>
      <w:r>
        <w:rPr>
          <w:sz w:val="24"/>
        </w:rPr>
        <w:t>地：</w:t>
      </w:r>
    </w:p>
    <w:p>
      <w:pPr>
        <w:pStyle w:val="null3"/>
        <w:ind w:firstLine="484"/>
        <w:jc w:val="both"/>
      </w:pPr>
      <w:r>
        <w:rPr>
          <w:sz w:val="24"/>
        </w:rPr>
        <w:t>统一社会信用代码：</w:t>
      </w:r>
    </w:p>
    <w:p>
      <w:pPr>
        <w:pStyle w:val="null3"/>
        <w:ind w:firstLine="484"/>
        <w:jc w:val="both"/>
      </w:pPr>
      <w:r>
        <w:rPr>
          <w:sz w:val="24"/>
        </w:rPr>
        <w:t>法定代表人：</w:t>
      </w:r>
    </w:p>
    <w:p>
      <w:pPr>
        <w:pStyle w:val="null3"/>
        <w:ind w:firstLine="484"/>
        <w:jc w:val="both"/>
      </w:pPr>
      <w:r>
        <w:rPr>
          <w:sz w:val="24"/>
        </w:rPr>
        <w:t>项目负责人：</w:t>
      </w:r>
    </w:p>
    <w:p>
      <w:pPr>
        <w:pStyle w:val="null3"/>
        <w:ind w:firstLine="484"/>
        <w:jc w:val="both"/>
      </w:pPr>
      <w:r>
        <w:rPr>
          <w:sz w:val="24"/>
        </w:rPr>
        <w:t>项目联系人：</w:t>
      </w:r>
    </w:p>
    <w:p>
      <w:pPr>
        <w:pStyle w:val="null3"/>
        <w:ind w:firstLine="484"/>
        <w:jc w:val="both"/>
      </w:pPr>
      <w:r>
        <w:rPr>
          <w:sz w:val="24"/>
        </w:rPr>
        <w:t>通讯地址</w:t>
      </w:r>
      <w:r>
        <w:rPr>
          <w:sz w:val="24"/>
        </w:rPr>
        <w:t>：</w:t>
      </w:r>
      <w:r>
        <w:rPr>
          <w:sz w:val="21"/>
          <w:u w:val="single"/>
        </w:rPr>
        <w:t xml:space="preserve">            </w:t>
      </w:r>
      <w:r>
        <w:rPr>
          <w:sz w:val="21"/>
          <w:u w:val="single"/>
        </w:rPr>
        <w:t xml:space="preserve"> </w:t>
      </w:r>
      <w:r>
        <w:rPr>
          <w:sz w:val="24"/>
        </w:rPr>
        <w:t>邮</w:t>
      </w:r>
      <w:r>
        <w:rPr>
          <w:sz w:val="24"/>
        </w:rPr>
        <w:t xml:space="preserve"> </w:t>
      </w:r>
      <w:r>
        <w:rPr>
          <w:sz w:val="24"/>
        </w:rPr>
        <w:t>码：</w:t>
      </w:r>
      <w:r>
        <w:rPr>
          <w:sz w:val="21"/>
          <w:u w:val="single"/>
        </w:rPr>
        <w:t xml:space="preserve">   </w:t>
      </w:r>
      <w:r>
        <w:rPr>
          <w:sz w:val="21"/>
          <w:u w:val="single"/>
        </w:rPr>
        <w:t xml:space="preserve">               </w:t>
      </w:r>
      <w:r>
        <w:rPr>
          <w:sz w:val="21"/>
        </w:rPr>
        <w:t xml:space="preserve">  </w:t>
      </w:r>
    </w:p>
    <w:p>
      <w:pPr>
        <w:pStyle w:val="null3"/>
        <w:ind w:firstLine="484"/>
        <w:jc w:val="both"/>
      </w:pPr>
      <w:r>
        <w:rPr>
          <w:sz w:val="24"/>
        </w:rPr>
        <w:t>电</w:t>
      </w:r>
      <w:r>
        <w:rPr>
          <w:sz w:val="24"/>
        </w:rPr>
        <w:t xml:space="preserve">   </w:t>
      </w:r>
      <w:r>
        <w:rPr>
          <w:sz w:val="24"/>
        </w:rPr>
        <w:t>话</w:t>
      </w:r>
      <w:r>
        <w:rPr>
          <w:sz w:val="24"/>
        </w:rPr>
        <w:t>：</w:t>
      </w:r>
      <w:r>
        <w:rPr>
          <w:sz w:val="21"/>
          <w:u w:val="single"/>
        </w:rPr>
        <w:t xml:space="preserve">      </w:t>
      </w:r>
      <w:r>
        <w:rPr>
          <w:sz w:val="21"/>
          <w:u w:val="single"/>
        </w:rPr>
        <w:t xml:space="preserve"> </w:t>
      </w:r>
      <w:r>
        <w:rPr>
          <w:sz w:val="21"/>
          <w:u w:val="single"/>
        </w:rPr>
        <w:t xml:space="preserve">     </w:t>
      </w:r>
      <w:r>
        <w:rPr>
          <w:sz w:val="24"/>
        </w:rPr>
        <w:t>传</w:t>
      </w:r>
      <w:r>
        <w:rPr>
          <w:sz w:val="24"/>
        </w:rPr>
        <w:t xml:space="preserve"> </w:t>
      </w:r>
      <w:r>
        <w:rPr>
          <w:sz w:val="24"/>
        </w:rPr>
        <w:t>真：</w:t>
      </w:r>
      <w:r>
        <w:rPr>
          <w:sz w:val="21"/>
          <w:u w:val="single"/>
        </w:rPr>
        <w:t xml:space="preserve"> </w:t>
      </w:r>
      <w:r>
        <w:rPr>
          <w:sz w:val="21"/>
          <w:u w:val="single"/>
        </w:rPr>
        <w:t xml:space="preserve">         </w:t>
      </w:r>
      <w:r>
        <w:rPr>
          <w:sz w:val="21"/>
          <w:u w:val="single"/>
        </w:rPr>
        <w:t xml:space="preserve">     </w:t>
      </w:r>
    </w:p>
    <w:p>
      <w:pPr>
        <w:pStyle w:val="null3"/>
        <w:ind w:firstLine="480"/>
        <w:jc w:val="both"/>
      </w:pPr>
      <w:r>
        <w:rPr>
          <w:sz w:val="24"/>
        </w:rPr>
        <w:t>电子信箱</w:t>
      </w:r>
      <w:r>
        <w:rPr>
          <w:sz w:val="24"/>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565"/>
        <w:jc w:val="both"/>
      </w:pPr>
    </w:p>
    <w:p>
      <w:pPr>
        <w:pStyle w:val="null3"/>
        <w:ind w:firstLine="565"/>
        <w:jc w:val="both"/>
      </w:pPr>
    </w:p>
    <w:p>
      <w:pPr>
        <w:pStyle w:val="null3"/>
        <w:ind w:firstLine="565"/>
        <w:jc w:val="both"/>
      </w:pPr>
    </w:p>
    <w:p>
      <w:pPr>
        <w:pStyle w:val="null3"/>
        <w:ind w:firstLine="480"/>
        <w:jc w:val="both"/>
      </w:pPr>
    </w:p>
    <w:p>
      <w:pPr>
        <w:pStyle w:val="null3"/>
        <w:ind w:firstLine="480"/>
        <w:jc w:val="both"/>
      </w:pPr>
      <w:r>
        <w:rPr>
          <w:sz w:val="24"/>
        </w:rPr>
        <w:t>根据《中华人民共和国民法典》及</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4"/>
          <w:u w:val="single"/>
        </w:rPr>
        <w:t>肇庆市四会市地豆镇镇村国土空间集成规划（</w:t>
      </w:r>
      <w:r>
        <w:rPr>
          <w:sz w:val="24"/>
          <w:u w:val="single"/>
        </w:rPr>
        <w:t>2023-2035年）</w:t>
      </w:r>
      <w:r>
        <w:rPr>
          <w:sz w:val="24"/>
        </w:rPr>
        <w:t>项目的成交</w:t>
      </w:r>
      <w:r>
        <w:rPr>
          <w:sz w:val="24"/>
        </w:rPr>
        <w:t>结果，在真实、充分地表达各自意愿的基础上，经双方协商一致，签订本合同，并由双方共同恪守。</w:t>
      </w:r>
    </w:p>
    <w:p>
      <w:pPr>
        <w:pStyle w:val="null3"/>
        <w:ind w:firstLine="480"/>
        <w:jc w:val="both"/>
      </w:pPr>
      <w:r>
        <w:rPr>
          <w:b/>
          <w:sz w:val="24"/>
        </w:rPr>
        <w:t>第一条</w:t>
      </w:r>
      <w:r>
        <w:rPr>
          <w:b/>
          <w:sz w:val="24"/>
        </w:rPr>
        <w:t xml:space="preserve"> </w:t>
      </w:r>
      <w:r>
        <w:rPr>
          <w:b/>
          <w:sz w:val="24"/>
        </w:rPr>
        <w:t>本合同签订依据</w:t>
      </w:r>
    </w:p>
    <w:p>
      <w:pPr>
        <w:pStyle w:val="null3"/>
        <w:ind w:firstLine="480"/>
        <w:jc w:val="both"/>
      </w:pPr>
      <w:r>
        <w:rPr>
          <w:sz w:val="24"/>
        </w:rPr>
        <w:t>《中华人民共和国民法典》</w:t>
      </w:r>
      <w:r>
        <w:rPr>
          <w:sz w:val="24"/>
        </w:rPr>
        <w:t>、</w:t>
      </w:r>
      <w:r>
        <w:rPr>
          <w:sz w:val="24"/>
        </w:rPr>
        <w:t>《中华人民共和国城乡规划法》、《城市规划编制办法》、《城市、镇控制性详细规划编制审批办法》、《广东省城市控制性详细规划管理条例》、《广东省城市控制性详细规划编制指引（试行）》。</w:t>
      </w:r>
    </w:p>
    <w:p>
      <w:pPr>
        <w:pStyle w:val="null3"/>
        <w:ind w:firstLine="480"/>
        <w:jc w:val="both"/>
      </w:pPr>
      <w:r>
        <w:rPr>
          <w:b/>
          <w:sz w:val="24"/>
        </w:rPr>
        <w:t>第二条</w:t>
      </w:r>
      <w:r>
        <w:rPr>
          <w:b/>
          <w:sz w:val="24"/>
        </w:rPr>
        <w:t xml:space="preserve"> </w:t>
      </w:r>
      <w:r>
        <w:rPr>
          <w:b/>
          <w:sz w:val="24"/>
        </w:rPr>
        <w:t>委托内容</w:t>
      </w:r>
    </w:p>
    <w:p>
      <w:pPr>
        <w:pStyle w:val="null3"/>
        <w:ind w:firstLine="480"/>
        <w:jc w:val="both"/>
      </w:pPr>
      <w:r>
        <w:rPr>
          <w:sz w:val="24"/>
        </w:rPr>
        <w:t>2.1 项目名称：四会市</w:t>
      </w:r>
    </w:p>
    <w:p>
      <w:pPr>
        <w:pStyle w:val="null3"/>
        <w:ind w:firstLine="480"/>
        <w:jc w:val="both"/>
      </w:pPr>
      <w:r>
        <w:rPr>
          <w:sz w:val="24"/>
        </w:rPr>
        <w:t>2.2 项目地点：广东省肇庆市四会市。</w:t>
      </w:r>
    </w:p>
    <w:p>
      <w:pPr>
        <w:pStyle w:val="null3"/>
        <w:ind w:firstLine="480"/>
        <w:jc w:val="both"/>
      </w:pPr>
      <w:r>
        <w:rPr>
          <w:sz w:val="24"/>
        </w:rPr>
        <w:t>2.3 项目规模：</w:t>
      </w:r>
      <w:r>
        <w:rPr>
          <w:sz w:val="21"/>
          <w:u w:val="single"/>
        </w:rPr>
        <w:t xml:space="preserve">                  </w:t>
      </w:r>
      <w:r>
        <w:rPr>
          <w:sz w:val="24"/>
        </w:rPr>
        <w:t>。</w:t>
      </w:r>
    </w:p>
    <w:p>
      <w:pPr>
        <w:pStyle w:val="null3"/>
        <w:ind w:firstLine="480"/>
        <w:jc w:val="both"/>
      </w:pPr>
      <w:r>
        <w:rPr>
          <w:sz w:val="24"/>
        </w:rPr>
        <w:t>2.4 技术服务内容：</w:t>
      </w:r>
      <w:r>
        <w:rPr>
          <w:sz w:val="21"/>
          <w:u w:val="single"/>
        </w:rPr>
        <w:t xml:space="preserve">                  </w:t>
      </w:r>
      <w:r>
        <w:rPr>
          <w:sz w:val="24"/>
        </w:rPr>
        <w:t>。</w:t>
      </w:r>
    </w:p>
    <w:p>
      <w:pPr>
        <w:pStyle w:val="null3"/>
        <w:ind w:firstLine="480"/>
        <w:jc w:val="both"/>
      </w:pPr>
      <w:r>
        <w:rPr>
          <w:b/>
          <w:sz w:val="24"/>
        </w:rPr>
        <w:t>第三条</w:t>
      </w:r>
      <w:r>
        <w:rPr>
          <w:b/>
          <w:sz w:val="24"/>
        </w:rPr>
        <w:t xml:space="preserve"> </w:t>
      </w:r>
      <w:r>
        <w:rPr>
          <w:b/>
          <w:sz w:val="24"/>
        </w:rPr>
        <w:t>项目进度要求</w:t>
      </w:r>
    </w:p>
    <w:p>
      <w:pPr>
        <w:pStyle w:val="null3"/>
        <w:ind w:firstLine="480"/>
        <w:jc w:val="both"/>
      </w:pPr>
      <w:r>
        <w:rPr>
          <w:sz w:val="24"/>
        </w:rPr>
        <w:t>本项目自双方签订合同之日起开始实施，</w:t>
      </w:r>
      <w:r>
        <w:rPr>
          <w:sz w:val="24"/>
        </w:rPr>
        <w:t>计划</w:t>
      </w:r>
      <w:r>
        <w:rPr>
          <w:sz w:val="24"/>
        </w:rPr>
        <w:t>完成时间约</w:t>
      </w:r>
      <w:r>
        <w:rPr>
          <w:sz w:val="21"/>
          <w:u w:val="single"/>
        </w:rPr>
        <w:t xml:space="preserve">   </w:t>
      </w:r>
      <w:r>
        <w:rPr>
          <w:sz w:val="24"/>
        </w:rPr>
        <w:t>天。</w:t>
      </w:r>
    </w:p>
    <w:p>
      <w:pPr>
        <w:pStyle w:val="null3"/>
        <w:ind w:firstLine="480"/>
        <w:jc w:val="both"/>
      </w:pPr>
      <w:r>
        <w:rPr>
          <w:sz w:val="24"/>
        </w:rPr>
        <w:t>1.初步成果阶段（</w:t>
      </w:r>
      <w:r>
        <w:rPr>
          <w:sz w:val="21"/>
          <w:u w:val="single"/>
        </w:rPr>
        <w:t xml:space="preserve">  </w:t>
      </w:r>
      <w:r>
        <w:rPr>
          <w:sz w:val="24"/>
        </w:rPr>
        <w:t>天内）</w:t>
      </w:r>
    </w:p>
    <w:p>
      <w:pPr>
        <w:pStyle w:val="null3"/>
        <w:ind w:firstLine="480"/>
        <w:jc w:val="both"/>
      </w:pPr>
      <w:r>
        <w:rPr>
          <w:sz w:val="24"/>
        </w:rPr>
        <w:t>2.专家审查阶段（</w:t>
      </w:r>
      <w:r>
        <w:rPr>
          <w:sz w:val="21"/>
          <w:u w:val="single"/>
        </w:rPr>
        <w:t xml:space="preserve">  </w:t>
      </w:r>
      <w:r>
        <w:rPr>
          <w:sz w:val="24"/>
        </w:rPr>
        <w:t>天内）</w:t>
      </w:r>
    </w:p>
    <w:p>
      <w:pPr>
        <w:pStyle w:val="null3"/>
        <w:ind w:firstLine="480"/>
        <w:jc w:val="both"/>
      </w:pPr>
      <w:r>
        <w:rPr>
          <w:sz w:val="24"/>
        </w:rPr>
        <w:t>3.规委会审议阶段（</w:t>
      </w:r>
      <w:r>
        <w:rPr>
          <w:sz w:val="21"/>
          <w:u w:val="single"/>
        </w:rPr>
        <w:t xml:space="preserve">  </w:t>
      </w:r>
      <w:r>
        <w:rPr>
          <w:sz w:val="24"/>
        </w:rPr>
        <w:t>天内）</w:t>
      </w:r>
    </w:p>
    <w:p>
      <w:pPr>
        <w:pStyle w:val="null3"/>
        <w:ind w:firstLine="480"/>
        <w:jc w:val="both"/>
      </w:pPr>
      <w:r>
        <w:rPr>
          <w:sz w:val="24"/>
        </w:rPr>
        <w:t>4.成果报批阶段（</w:t>
      </w:r>
      <w:r>
        <w:rPr>
          <w:sz w:val="21"/>
          <w:u w:val="single"/>
        </w:rPr>
        <w:t xml:space="preserve">  </w:t>
      </w:r>
      <w:r>
        <w:rPr>
          <w:sz w:val="24"/>
        </w:rPr>
        <w:t>天内）</w:t>
      </w:r>
    </w:p>
    <w:p>
      <w:pPr>
        <w:pStyle w:val="null3"/>
        <w:ind w:firstLine="480"/>
        <w:jc w:val="both"/>
      </w:pPr>
      <w:r>
        <w:rPr>
          <w:b/>
          <w:sz w:val="24"/>
        </w:rPr>
        <w:t>第四条</w:t>
      </w:r>
      <w:r>
        <w:rPr>
          <w:b/>
          <w:sz w:val="24"/>
        </w:rPr>
        <w:t xml:space="preserve"> </w:t>
      </w:r>
      <w:r>
        <w:rPr>
          <w:b/>
          <w:sz w:val="24"/>
        </w:rPr>
        <w:t>乙方应向甲方交付的资料及文件</w:t>
      </w:r>
    </w:p>
    <w:p>
      <w:pPr>
        <w:pStyle w:val="null3"/>
        <w:ind w:firstLine="480"/>
      </w:pPr>
      <w:r>
        <w:rPr>
          <w:sz w:val="24"/>
        </w:rPr>
        <w:t>4.1  工期计划</w:t>
      </w:r>
    </w:p>
    <w:tbl>
      <w:tblPr>
        <w:tblW w:w="0" w:type="auto"/>
        <w:tblBorders>
          <w:top w:val="none" w:color="000000" w:sz="4"/>
          <w:left w:val="none" w:color="000000" w:sz="4"/>
          <w:bottom w:val="none" w:color="000000" w:sz="4"/>
          <w:right w:val="none" w:color="000000" w:sz="4"/>
          <w:insideH w:val="none"/>
          <w:insideV w:val="none"/>
        </w:tblBorders>
      </w:tblPr>
      <w:tblGrid>
        <w:gridCol w:w="1661"/>
        <w:gridCol w:w="1779"/>
        <w:gridCol w:w="872"/>
        <w:gridCol w:w="2333"/>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380"/>
              <w:jc w:val="center"/>
            </w:pPr>
            <w:r>
              <w:rPr>
                <w:sz w:val="24"/>
              </w:rPr>
              <w:t>序号</w:t>
            </w:r>
          </w:p>
        </w:tc>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资料及文件名称</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文本</w:t>
            </w:r>
          </w:p>
          <w:p>
            <w:pPr>
              <w:pStyle w:val="null3"/>
              <w:ind w:firstLine="380"/>
              <w:jc w:val="center"/>
            </w:pPr>
            <w:r>
              <w:rPr>
                <w:sz w:val="24"/>
              </w:rPr>
              <w:t>份数</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提交日期</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备注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初步成果</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10</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初步方案确定后</w:t>
            </w:r>
            <w:r>
              <w:rPr>
                <w:sz w:val="21"/>
                <w:u w:val="single"/>
              </w:rPr>
              <w:t xml:space="preserve">  </w:t>
            </w:r>
            <w:r>
              <w:rPr>
                <w:sz w:val="24"/>
              </w:rPr>
              <w:t>日内</w:t>
            </w:r>
          </w:p>
          <w:p>
            <w:pPr>
              <w:pStyle w:val="null3"/>
              <w:ind w:firstLine="380"/>
              <w:jc w:val="center"/>
            </w:pPr>
            <w:r>
              <w:rPr>
                <w:sz w:val="24"/>
              </w:rPr>
              <w:t>（内部审查）</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firstLine="120"/>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2</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纲要成果</w:t>
            </w:r>
          </w:p>
          <w:p>
            <w:pPr>
              <w:pStyle w:val="null3"/>
              <w:ind w:firstLine="380"/>
              <w:jc w:val="center"/>
            </w:pPr>
            <w:r>
              <w:rPr>
                <w:sz w:val="24"/>
              </w:rPr>
              <w:t>（专家评审稿）</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收到专家评审意见后</w:t>
            </w:r>
          </w:p>
          <w:p>
            <w:pPr>
              <w:pStyle w:val="null3"/>
              <w:ind w:firstLine="380"/>
              <w:jc w:val="center"/>
            </w:pPr>
            <w:r>
              <w:rPr>
                <w:sz w:val="21"/>
                <w:u w:val="single"/>
              </w:rPr>
              <w:t xml:space="preserve">  </w:t>
            </w:r>
            <w:r>
              <w:rPr>
                <w:sz w:val="24"/>
              </w:rPr>
              <w:t>日内</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最终成果</w:t>
            </w:r>
          </w:p>
          <w:p>
            <w:pPr>
              <w:pStyle w:val="null3"/>
              <w:ind w:firstLine="380"/>
              <w:jc w:val="center"/>
            </w:pPr>
            <w:r>
              <w:rPr>
                <w:sz w:val="24"/>
              </w:rPr>
              <w:t>（规委会审议稿）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15</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收到规委会审议意见后</w:t>
            </w:r>
          </w:p>
          <w:p>
            <w:pPr>
              <w:pStyle w:val="null3"/>
              <w:ind w:firstLine="380"/>
              <w:jc w:val="center"/>
            </w:pPr>
            <w:r>
              <w:rPr>
                <w:sz w:val="21"/>
              </w:rPr>
              <w:t xml:space="preserve"> </w:t>
            </w:r>
            <w:r>
              <w:rPr>
                <w:sz w:val="21"/>
                <w:u w:val="single"/>
              </w:rPr>
              <w:t xml:space="preserve">  </w:t>
            </w:r>
            <w:r>
              <w:rPr>
                <w:sz w:val="24"/>
              </w:rPr>
              <w:t>日内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含电子光盘</w:t>
            </w:r>
            <w:r>
              <w:rPr>
                <w:sz w:val="24"/>
              </w:rPr>
              <w:t>1套</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规划成果</w:t>
            </w:r>
          </w:p>
          <w:p>
            <w:pPr>
              <w:pStyle w:val="null3"/>
              <w:ind w:firstLine="380"/>
              <w:jc w:val="center"/>
            </w:pPr>
            <w:r>
              <w:rPr>
                <w:sz w:val="24"/>
              </w:rPr>
              <w:t>（报批稿）</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6</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收到市委、市政府审批意见后</w:t>
            </w:r>
            <w:r>
              <w:rPr>
                <w:sz w:val="21"/>
                <w:u w:val="single"/>
              </w:rPr>
              <w:t xml:space="preserve">  </w:t>
            </w:r>
            <w:r>
              <w:rPr>
                <w:sz w:val="24"/>
              </w:rPr>
              <w:t>日内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4"/>
              </w:rPr>
              <w:t>含电子光盘</w:t>
            </w:r>
            <w:r>
              <w:rPr>
                <w:sz w:val="24"/>
              </w:rPr>
              <w:t>1套</w:t>
            </w:r>
          </w:p>
        </w:tc>
      </w:tr>
    </w:tbl>
    <w:p>
      <w:pPr>
        <w:pStyle w:val="null3"/>
        <w:ind w:left="480"/>
        <w:jc w:val="both"/>
      </w:pPr>
      <w:r>
        <w:rPr>
          <w:sz w:val="24"/>
        </w:rPr>
        <w:t>注：甲方可根据实际情况，</w:t>
      </w:r>
      <w:r>
        <w:rPr>
          <w:sz w:val="24"/>
        </w:rPr>
        <w:t>对</w:t>
      </w:r>
      <w:r>
        <w:rPr>
          <w:sz w:val="24"/>
        </w:rPr>
        <w:t>乙方提</w:t>
      </w:r>
      <w:r>
        <w:rPr>
          <w:sz w:val="24"/>
        </w:rPr>
        <w:t>交资料及文件的内容、数量、时间进行适当调整。</w:t>
      </w:r>
    </w:p>
    <w:p>
      <w:pPr>
        <w:pStyle w:val="null3"/>
        <w:ind w:firstLine="480"/>
        <w:jc w:val="both"/>
      </w:pPr>
      <w:r>
        <w:rPr>
          <w:sz w:val="24"/>
        </w:rPr>
        <w:t>4.2  技术要求：符合《中华人民共和国城乡规划法》等现行的国家和地方有关法律、法规以及相关规范的技术要求。</w:t>
      </w:r>
    </w:p>
    <w:p>
      <w:pPr>
        <w:pStyle w:val="null3"/>
      </w:pPr>
    </w:p>
    <w:p>
      <w:pPr>
        <w:pStyle w:val="null3"/>
        <w:ind w:firstLine="480"/>
        <w:jc w:val="both"/>
      </w:pPr>
      <w:r>
        <w:rPr>
          <w:b/>
          <w:sz w:val="24"/>
        </w:rPr>
        <w:t>第五条</w:t>
      </w:r>
      <w:r>
        <w:rPr>
          <w:b/>
          <w:sz w:val="24"/>
        </w:rPr>
        <w:t>成果要求</w:t>
      </w:r>
    </w:p>
    <w:p>
      <w:pPr>
        <w:pStyle w:val="null3"/>
        <w:ind w:firstLine="480"/>
        <w:jc w:val="both"/>
      </w:pPr>
      <w:r>
        <w:rPr>
          <w:sz w:val="24"/>
        </w:rPr>
        <w:t>应包括书面成果和对应的电子数据成果，主要包括但不限于以下内容：</w:t>
      </w:r>
    </w:p>
    <w:p>
      <w:pPr>
        <w:pStyle w:val="null3"/>
        <w:ind w:firstLine="480"/>
        <w:jc w:val="both"/>
      </w:pPr>
      <w:r>
        <w:rPr>
          <w:sz w:val="24"/>
        </w:rPr>
        <w:t>5.1书面成果</w:t>
      </w:r>
    </w:p>
    <w:p>
      <w:pPr>
        <w:pStyle w:val="null3"/>
        <w:ind w:firstLine="480"/>
        <w:jc w:val="both"/>
      </w:pPr>
      <w:r>
        <w:rPr>
          <w:sz w:val="24"/>
        </w:rPr>
        <w:t>按照控制性详细规划的要求，最终成果主要包括法定文件、管理文件及技术文件等</w:t>
      </w:r>
      <w:r>
        <w:rPr>
          <w:sz w:val="24"/>
        </w:rPr>
        <w:t>,以A3规格缩印编排装订成一册。</w:t>
      </w:r>
    </w:p>
    <w:p>
      <w:pPr>
        <w:pStyle w:val="null3"/>
        <w:ind w:firstLine="480"/>
        <w:jc w:val="both"/>
      </w:pPr>
      <w:r>
        <w:rPr>
          <w:sz w:val="24"/>
        </w:rPr>
        <w:t>5.2电子数据成果</w:t>
      </w:r>
    </w:p>
    <w:p>
      <w:pPr>
        <w:pStyle w:val="null3"/>
        <w:ind w:firstLine="480"/>
        <w:jc w:val="both"/>
      </w:pPr>
      <w:r>
        <w:rPr>
          <w:sz w:val="24"/>
        </w:rPr>
        <w:t>电子数据成果的文本采用</w:t>
      </w:r>
      <w:r>
        <w:rPr>
          <w:sz w:val="24"/>
        </w:rPr>
        <w:t>word格式，图纸采用dwg、jpg、psd格式，并符合城市规划行政主管部门有关规划成果电子报批和管理的格式要求。</w:t>
      </w:r>
    </w:p>
    <w:p>
      <w:pPr>
        <w:pStyle w:val="null3"/>
        <w:ind w:firstLine="480"/>
        <w:jc w:val="left"/>
      </w:pPr>
      <w:r>
        <w:rPr>
          <w:sz w:val="24"/>
        </w:rPr>
        <w:t>规划完成后，编制单位需提交规划成果纸质版</w:t>
      </w:r>
      <w:r>
        <w:rPr>
          <w:sz w:val="24"/>
        </w:rPr>
        <w:t>6套及电子文件1套，其中电子文件文字为doc或pdf格式，图片为dwg和jpg格式。规划GIS库：是规划GIS空间数据建库成果，文件为ArcGIS个人地理数据库（Personal Geodatabase），文件后缀为*.md。</w:t>
      </w:r>
    </w:p>
    <w:p>
      <w:pPr>
        <w:pStyle w:val="null3"/>
        <w:ind w:firstLine="480"/>
        <w:jc w:val="both"/>
      </w:pPr>
      <w:r>
        <w:rPr>
          <w:b/>
          <w:sz w:val="24"/>
        </w:rPr>
        <w:t>第六条</w:t>
      </w:r>
      <w:r>
        <w:rPr>
          <w:b/>
          <w:sz w:val="24"/>
        </w:rPr>
        <w:t xml:space="preserve"> </w:t>
      </w:r>
      <w:r>
        <w:rPr>
          <w:b/>
          <w:sz w:val="24"/>
        </w:rPr>
        <w:t>成果的报送和审查</w:t>
      </w:r>
    </w:p>
    <w:p>
      <w:pPr>
        <w:pStyle w:val="null3"/>
        <w:ind w:firstLine="480"/>
        <w:jc w:val="both"/>
      </w:pPr>
      <w:r>
        <w:rPr>
          <w:sz w:val="24"/>
        </w:rPr>
        <w:t>6.1本项目审查分为技术审查、初审和终审。技术审查由</w:t>
      </w:r>
      <w:r>
        <w:rPr>
          <w:sz w:val="24"/>
        </w:rPr>
        <w:t>甲方</w:t>
      </w:r>
      <w:r>
        <w:rPr>
          <w:sz w:val="24"/>
        </w:rPr>
        <w:t>组织技术小组对初步成果进行内部审查；初审由</w:t>
      </w:r>
      <w:r>
        <w:rPr>
          <w:sz w:val="24"/>
        </w:rPr>
        <w:t>甲方</w:t>
      </w:r>
      <w:r>
        <w:rPr>
          <w:sz w:val="24"/>
        </w:rPr>
        <w:t>委托专家组对修改完善后的成果进行评审；终审由</w:t>
      </w:r>
      <w:r>
        <w:rPr>
          <w:sz w:val="24"/>
        </w:rPr>
        <w:t>甲方</w:t>
      </w:r>
      <w:r>
        <w:rPr>
          <w:sz w:val="24"/>
        </w:rPr>
        <w:t>把</w:t>
      </w:r>
      <w:r>
        <w:rPr>
          <w:sz w:val="24"/>
        </w:rPr>
        <w:t>乙方</w:t>
      </w:r>
      <w:r>
        <w:rPr>
          <w:sz w:val="24"/>
        </w:rPr>
        <w:t>修改完善后的项目成果报四会市空间规划委员会审议；</w:t>
      </w:r>
      <w:r>
        <w:rPr>
          <w:sz w:val="24"/>
        </w:rPr>
        <w:t>最终成果报</w:t>
      </w:r>
      <w:r>
        <w:rPr>
          <w:sz w:val="24"/>
        </w:rPr>
        <w:t>四会市人民政府审批并公布。</w:t>
      </w:r>
      <w:r>
        <w:rPr>
          <w:sz w:val="24"/>
        </w:rPr>
        <w:t>乙方</w:t>
      </w:r>
      <w:r>
        <w:rPr>
          <w:sz w:val="24"/>
        </w:rPr>
        <w:t>按</w:t>
      </w:r>
      <w:r>
        <w:rPr>
          <w:sz w:val="24"/>
        </w:rPr>
        <w:t>甲方</w:t>
      </w:r>
      <w:r>
        <w:rPr>
          <w:sz w:val="24"/>
        </w:rPr>
        <w:t>要求提供技术审查、初审和终审必需的所有汇报资料（含项目成果）并派主要技术人员进行成果介绍，</w:t>
      </w:r>
      <w:r>
        <w:rPr>
          <w:sz w:val="24"/>
        </w:rPr>
        <w:t>乙方</w:t>
      </w:r>
      <w:r>
        <w:rPr>
          <w:sz w:val="24"/>
        </w:rPr>
        <w:t>应确保审查（审批）通过，且</w:t>
      </w:r>
      <w:r>
        <w:rPr>
          <w:sz w:val="24"/>
        </w:rPr>
        <w:t>甲方</w:t>
      </w:r>
      <w:r>
        <w:rPr>
          <w:sz w:val="24"/>
        </w:rPr>
        <w:t>可视情况增加审查环节。</w:t>
      </w:r>
    </w:p>
    <w:p>
      <w:pPr>
        <w:pStyle w:val="null3"/>
        <w:ind w:firstLine="480"/>
        <w:jc w:val="both"/>
      </w:pPr>
      <w:r>
        <w:rPr>
          <w:sz w:val="24"/>
        </w:rPr>
        <w:t>6.2 具体审查时间按合同规定的时限。</w:t>
      </w:r>
    </w:p>
    <w:p>
      <w:pPr>
        <w:pStyle w:val="null3"/>
        <w:ind w:firstLine="480"/>
        <w:jc w:val="both"/>
      </w:pPr>
      <w:r>
        <w:rPr>
          <w:sz w:val="24"/>
        </w:rPr>
        <w:t>6.3</w:t>
      </w:r>
      <w:r>
        <w:rPr>
          <w:sz w:val="24"/>
        </w:rPr>
        <w:t>乙方</w:t>
      </w:r>
      <w:r>
        <w:rPr>
          <w:sz w:val="24"/>
        </w:rPr>
        <w:t>必须按照工作周期安排的时间，于审查前将报送的所有汇报资料（含项目成果）送达</w:t>
      </w:r>
      <w:r>
        <w:rPr>
          <w:sz w:val="24"/>
        </w:rPr>
        <w:t>甲方</w:t>
      </w:r>
      <w:r>
        <w:rPr>
          <w:sz w:val="24"/>
        </w:rPr>
        <w:t>。</w:t>
      </w:r>
    </w:p>
    <w:p>
      <w:pPr>
        <w:pStyle w:val="null3"/>
        <w:ind w:firstLine="480"/>
        <w:jc w:val="both"/>
      </w:pPr>
      <w:r>
        <w:rPr>
          <w:sz w:val="24"/>
        </w:rPr>
        <w:t>6.4项目成果终审后，</w:t>
      </w:r>
      <w:r>
        <w:rPr>
          <w:sz w:val="24"/>
        </w:rPr>
        <w:t>乙方</w:t>
      </w:r>
      <w:r>
        <w:rPr>
          <w:sz w:val="24"/>
        </w:rPr>
        <w:t>应按规定的时限，根据终审意见，修改并完成最终项目成果。</w:t>
      </w:r>
    </w:p>
    <w:p>
      <w:pPr>
        <w:pStyle w:val="null3"/>
        <w:ind w:firstLine="480"/>
        <w:jc w:val="both"/>
      </w:pPr>
      <w:r>
        <w:rPr>
          <w:sz w:val="24"/>
        </w:rPr>
        <w:t>6.5提交的最终项目成果必须加注</w:t>
      </w:r>
      <w:r>
        <w:rPr>
          <w:sz w:val="24"/>
        </w:rPr>
        <w:t>甲方</w:t>
      </w:r>
      <w:r>
        <w:rPr>
          <w:sz w:val="24"/>
        </w:rPr>
        <w:t>名称、</w:t>
      </w:r>
      <w:r>
        <w:rPr>
          <w:sz w:val="24"/>
        </w:rPr>
        <w:t>乙方</w:t>
      </w:r>
      <w:r>
        <w:rPr>
          <w:sz w:val="24"/>
        </w:rPr>
        <w:t>名称及加盖</w:t>
      </w:r>
      <w:r>
        <w:rPr>
          <w:sz w:val="24"/>
        </w:rPr>
        <w:t>乙方</w:t>
      </w:r>
      <w:r>
        <w:rPr>
          <w:sz w:val="24"/>
        </w:rPr>
        <w:t>技术专用章。</w:t>
      </w:r>
    </w:p>
    <w:p>
      <w:pPr>
        <w:pStyle w:val="null3"/>
        <w:ind w:firstLine="480"/>
        <w:jc w:val="both"/>
      </w:pPr>
      <w:r>
        <w:rPr>
          <w:b/>
          <w:sz w:val="24"/>
        </w:rPr>
        <w:t>第七条</w:t>
      </w:r>
      <w:r>
        <w:rPr>
          <w:b/>
          <w:sz w:val="24"/>
        </w:rPr>
        <w:t xml:space="preserve"> </w:t>
      </w:r>
      <w:r>
        <w:rPr>
          <w:b/>
          <w:sz w:val="24"/>
        </w:rPr>
        <w:t>合同金额及付款方式</w:t>
      </w:r>
    </w:p>
    <w:p>
      <w:pPr>
        <w:pStyle w:val="null3"/>
        <w:ind w:firstLine="480"/>
        <w:jc w:val="both"/>
      </w:pPr>
      <w:r>
        <w:rPr>
          <w:sz w:val="24"/>
        </w:rPr>
        <w:t>7.1本合同的价格以成交价为准，固定总价包干。</w:t>
      </w:r>
    </w:p>
    <w:p>
      <w:pPr>
        <w:pStyle w:val="null3"/>
        <w:ind w:firstLine="480"/>
        <w:jc w:val="both"/>
      </w:pPr>
      <w:r>
        <w:rPr>
          <w:sz w:val="24"/>
        </w:rPr>
        <w:t>7.2合同总额大写：人民币</w:t>
      </w:r>
      <w:r>
        <w:rPr>
          <w:sz w:val="21"/>
          <w:u w:val="single"/>
        </w:rPr>
        <w:t xml:space="preserve"> </w:t>
      </w:r>
      <w:r>
        <w:rPr>
          <w:b/>
          <w:sz w:val="24"/>
          <w:u w:val="single"/>
        </w:rPr>
        <w:t>万</w:t>
      </w:r>
      <w:r>
        <w:rPr>
          <w:sz w:val="21"/>
          <w:u w:val="single"/>
        </w:rPr>
        <w:t xml:space="preserve"> </w:t>
      </w:r>
      <w:r>
        <w:rPr>
          <w:sz w:val="24"/>
        </w:rPr>
        <w:t>元整；小写：￥</w:t>
      </w:r>
      <w:r>
        <w:rPr>
          <w:sz w:val="24"/>
        </w:rPr>
        <w:t>0</w:t>
      </w:r>
      <w:r>
        <w:rPr>
          <w:sz w:val="24"/>
          <w:u w:val="single"/>
        </w:rPr>
        <w:t>00，000.00</w:t>
      </w:r>
      <w:r>
        <w:rPr>
          <w:sz w:val="24"/>
        </w:rPr>
        <w:t xml:space="preserve"> </w:t>
      </w:r>
      <w:r>
        <w:rPr>
          <w:sz w:val="24"/>
        </w:rPr>
        <w:t>元。</w:t>
      </w:r>
    </w:p>
    <w:p>
      <w:pPr>
        <w:pStyle w:val="null3"/>
        <w:ind w:firstLine="480"/>
        <w:jc w:val="both"/>
      </w:pPr>
      <w:r>
        <w:rPr>
          <w:sz w:val="24"/>
        </w:rPr>
        <w:t>7.3合同总额包含资料收集费、项目调研费、编制费、成果制作费、专家评审费用、评审后成果的修改与完善的费用、伴随服务费、办公费、住宿费、交通费、保险、税金、合同实施过程中的应预见和不可预见费用等完成合同规定责任和义务的一切费用及企业利润。</w:t>
      </w:r>
    </w:p>
    <w:p>
      <w:pPr>
        <w:pStyle w:val="null3"/>
        <w:ind w:firstLine="480"/>
        <w:jc w:val="both"/>
      </w:pPr>
      <w:r>
        <w:rPr>
          <w:sz w:val="24"/>
        </w:rPr>
        <w:t>7.4本项目款项以人民币转账方式支付，分</w:t>
      </w:r>
      <w:r>
        <w:rPr>
          <w:b/>
          <w:sz w:val="24"/>
          <w:u w:val="single"/>
        </w:rPr>
        <w:t>四期</w:t>
      </w:r>
      <w:r>
        <w:rPr>
          <w:sz w:val="24"/>
        </w:rPr>
        <w:t>支付：</w:t>
      </w:r>
    </w:p>
    <w:p>
      <w:pPr>
        <w:pStyle w:val="null3"/>
        <w:ind w:firstLine="480"/>
        <w:jc w:val="both"/>
      </w:pPr>
      <w:r>
        <w:rPr>
          <w:sz w:val="24"/>
        </w:rPr>
        <w:t>（</w:t>
      </w:r>
      <w:r>
        <w:rPr>
          <w:sz w:val="24"/>
        </w:rPr>
        <w:t>1</w:t>
      </w:r>
      <w:r>
        <w:rPr>
          <w:sz w:val="24"/>
        </w:rPr>
        <w:t>）</w:t>
      </w:r>
      <w:r>
        <w:rPr>
          <w:sz w:val="24"/>
        </w:rPr>
        <w:t>第一期支付：</w:t>
      </w:r>
      <w:r>
        <w:rPr>
          <w:sz w:val="24"/>
        </w:rPr>
        <w:t>签订合同后</w:t>
      </w:r>
      <w:r>
        <w:rPr>
          <w:sz w:val="24"/>
        </w:rPr>
        <w:t>20日内提交初步成果，由</w:t>
      </w:r>
      <w:r>
        <w:rPr>
          <w:sz w:val="24"/>
        </w:rPr>
        <w:t>甲方</w:t>
      </w:r>
      <w:r>
        <w:rPr>
          <w:sz w:val="24"/>
        </w:rPr>
        <w:t>向市财政主管部门申请支付合同总金额</w:t>
      </w:r>
      <w:r>
        <w:rPr>
          <w:sz w:val="24"/>
        </w:rPr>
        <w:t>20%的款项。</w:t>
      </w:r>
    </w:p>
    <w:p>
      <w:pPr>
        <w:pStyle w:val="null3"/>
        <w:ind w:firstLine="480"/>
        <w:jc w:val="both"/>
      </w:pPr>
      <w:r>
        <w:rPr>
          <w:sz w:val="24"/>
        </w:rPr>
        <w:t>（</w:t>
      </w:r>
      <w:r>
        <w:rPr>
          <w:sz w:val="24"/>
        </w:rPr>
        <w:t>2</w:t>
      </w:r>
      <w:r>
        <w:rPr>
          <w:sz w:val="24"/>
        </w:rPr>
        <w:t>）</w:t>
      </w:r>
      <w:r>
        <w:rPr>
          <w:sz w:val="24"/>
        </w:rPr>
        <w:t>第二期支付：乙方</w:t>
      </w:r>
      <w:r>
        <w:rPr>
          <w:sz w:val="24"/>
        </w:rPr>
        <w:t>提交中期成果，并通过</w:t>
      </w:r>
      <w:r>
        <w:rPr>
          <w:sz w:val="24"/>
        </w:rPr>
        <w:t>甲方</w:t>
      </w:r>
      <w:r>
        <w:rPr>
          <w:sz w:val="24"/>
        </w:rPr>
        <w:t>组织的成果专家评审会后的</w:t>
      </w:r>
      <w:r>
        <w:rPr>
          <w:sz w:val="24"/>
        </w:rPr>
        <w:t>15个工作日内，由</w:t>
      </w:r>
      <w:r>
        <w:rPr>
          <w:sz w:val="24"/>
        </w:rPr>
        <w:t>甲方</w:t>
      </w:r>
      <w:r>
        <w:rPr>
          <w:sz w:val="24"/>
        </w:rPr>
        <w:t>向市财政主管部门申请支付合同总金额</w:t>
      </w:r>
      <w:r>
        <w:rPr>
          <w:sz w:val="24"/>
        </w:rPr>
        <w:t>20%的款项。</w:t>
      </w:r>
    </w:p>
    <w:p>
      <w:pPr>
        <w:pStyle w:val="null3"/>
        <w:ind w:firstLine="480"/>
        <w:jc w:val="both"/>
      </w:pPr>
      <w:r>
        <w:rPr>
          <w:sz w:val="24"/>
        </w:rPr>
        <w:t>（</w:t>
      </w:r>
      <w:r>
        <w:rPr>
          <w:sz w:val="24"/>
        </w:rPr>
        <w:t>3</w:t>
      </w:r>
      <w:r>
        <w:rPr>
          <w:sz w:val="24"/>
        </w:rPr>
        <w:t>）</w:t>
      </w:r>
      <w:r>
        <w:rPr>
          <w:sz w:val="24"/>
        </w:rPr>
        <w:t>第三期支付：乙方</w:t>
      </w:r>
      <w:r>
        <w:rPr>
          <w:sz w:val="24"/>
        </w:rPr>
        <w:t>提交最终成果，并通过</w:t>
      </w:r>
      <w:r>
        <w:rPr>
          <w:sz w:val="24"/>
        </w:rPr>
        <w:t>甲方</w:t>
      </w:r>
      <w:r>
        <w:rPr>
          <w:sz w:val="24"/>
        </w:rPr>
        <w:t>组织的规划委员会后的</w:t>
      </w:r>
      <w:r>
        <w:rPr>
          <w:sz w:val="24"/>
        </w:rPr>
        <w:t>15个工作日内，由</w:t>
      </w:r>
      <w:r>
        <w:rPr>
          <w:sz w:val="24"/>
        </w:rPr>
        <w:t>甲方</w:t>
      </w:r>
      <w:r>
        <w:rPr>
          <w:sz w:val="24"/>
        </w:rPr>
        <w:t>向市财政主管部门申请支付合同总金额</w:t>
      </w:r>
      <w:r>
        <w:rPr>
          <w:sz w:val="24"/>
        </w:rPr>
        <w:t>30%的款项。</w:t>
      </w:r>
    </w:p>
    <w:p>
      <w:pPr>
        <w:pStyle w:val="null3"/>
        <w:ind w:firstLine="480"/>
        <w:jc w:val="both"/>
      </w:pPr>
      <w:r>
        <w:rPr>
          <w:sz w:val="24"/>
        </w:rPr>
        <w:t>（</w:t>
      </w:r>
      <w:r>
        <w:rPr>
          <w:sz w:val="24"/>
        </w:rPr>
        <w:t>4</w:t>
      </w:r>
      <w:r>
        <w:rPr>
          <w:sz w:val="24"/>
        </w:rPr>
        <w:t>）</w:t>
      </w:r>
      <w:r>
        <w:rPr>
          <w:sz w:val="24"/>
        </w:rPr>
        <w:t>第四期支付：乙方</w:t>
      </w:r>
      <w:r>
        <w:rPr>
          <w:sz w:val="24"/>
        </w:rPr>
        <w:t>最终成果取得政府批复后的</w:t>
      </w:r>
      <w:r>
        <w:rPr>
          <w:sz w:val="24"/>
        </w:rPr>
        <w:t>15个工作日内，由</w:t>
      </w:r>
      <w:r>
        <w:rPr>
          <w:sz w:val="24"/>
        </w:rPr>
        <w:t>甲方</w:t>
      </w:r>
      <w:r>
        <w:rPr>
          <w:sz w:val="24"/>
        </w:rPr>
        <w:t>向市财政主管部门申请支付合同总金额</w:t>
      </w:r>
      <w:r>
        <w:rPr>
          <w:sz w:val="24"/>
        </w:rPr>
        <w:t>30%的款项。</w:t>
      </w:r>
    </w:p>
    <w:p>
      <w:pPr>
        <w:pStyle w:val="null3"/>
        <w:ind w:firstLine="480"/>
        <w:jc w:val="both"/>
      </w:pPr>
      <w:r>
        <w:rPr>
          <w:sz w:val="24"/>
        </w:rPr>
        <w:t>根据国家税务机关的相关管理规定，乙方应在本单位机构所在地开具收款发票，甲方付款前，乙方必须向甲方提供相应款项的发票，收款方、出具发票方、合同乙方均必须与乙方名称一致。</w:t>
      </w:r>
    </w:p>
    <w:p>
      <w:pPr>
        <w:pStyle w:val="null3"/>
        <w:ind w:firstLine="480"/>
        <w:jc w:val="both"/>
      </w:pPr>
      <w:r>
        <w:rPr>
          <w:sz w:val="24"/>
        </w:rPr>
        <w:t>乙方开户银行名称、地址和账号为：</w:t>
      </w:r>
    </w:p>
    <w:p>
      <w:pPr>
        <w:pStyle w:val="null3"/>
        <w:ind w:firstLine="504"/>
        <w:jc w:val="both"/>
      </w:pPr>
      <w:r>
        <w:rPr>
          <w:sz w:val="24"/>
        </w:rPr>
        <w:t>开</w:t>
      </w:r>
      <w:r>
        <w:rPr>
          <w:sz w:val="24"/>
        </w:rPr>
        <w:t>户</w:t>
      </w:r>
      <w:r>
        <w:rPr>
          <w:sz w:val="24"/>
        </w:rPr>
        <w:t>名：</w:t>
      </w:r>
    </w:p>
    <w:p>
      <w:pPr>
        <w:pStyle w:val="null3"/>
        <w:ind w:firstLine="480"/>
        <w:jc w:val="both"/>
      </w:pPr>
      <w:r>
        <w:rPr>
          <w:sz w:val="24"/>
        </w:rPr>
        <w:t>纳税人识别号：</w:t>
      </w:r>
      <w:r>
        <w:rPr>
          <w:sz w:val="21"/>
          <w:u w:val="single"/>
        </w:rPr>
        <w:t xml:space="preserve">  </w:t>
      </w:r>
      <w:r>
        <w:rPr>
          <w:sz w:val="21"/>
        </w:rPr>
        <w:t xml:space="preserve">     </w:t>
      </w:r>
    </w:p>
    <w:p>
      <w:pPr>
        <w:pStyle w:val="null3"/>
        <w:ind w:firstLine="504"/>
        <w:jc w:val="both"/>
      </w:pPr>
      <w:r>
        <w:rPr>
          <w:sz w:val="24"/>
        </w:rPr>
        <w:t>开户银行：</w:t>
      </w:r>
    </w:p>
    <w:p>
      <w:pPr>
        <w:pStyle w:val="null3"/>
      </w:pPr>
      <w:r>
        <w:rPr>
          <w:sz w:val="24"/>
        </w:rPr>
        <w:t xml:space="preserve">    </w:t>
      </w:r>
      <w:r>
        <w:rPr>
          <w:sz w:val="24"/>
        </w:rPr>
        <w:t>银行行号：</w:t>
      </w:r>
    </w:p>
    <w:p>
      <w:pPr>
        <w:pStyle w:val="null3"/>
        <w:ind w:firstLine="504"/>
        <w:jc w:val="left"/>
      </w:pPr>
      <w:r>
        <w:rPr>
          <w:sz w:val="24"/>
        </w:rPr>
        <w:t>地</w:t>
      </w:r>
      <w:r>
        <w:rPr>
          <w:sz w:val="24"/>
        </w:rPr>
        <w:t xml:space="preserve">   </w:t>
      </w:r>
      <w:r>
        <w:rPr>
          <w:sz w:val="24"/>
        </w:rPr>
        <w:t>址：</w:t>
      </w:r>
    </w:p>
    <w:p>
      <w:pPr>
        <w:pStyle w:val="null3"/>
        <w:ind w:firstLine="504"/>
        <w:jc w:val="both"/>
      </w:pPr>
      <w:r>
        <w:rPr>
          <w:sz w:val="24"/>
        </w:rPr>
        <w:t>账</w:t>
      </w:r>
      <w:r>
        <w:rPr>
          <w:sz w:val="24"/>
        </w:rPr>
        <w:t xml:space="preserve">   </w:t>
      </w:r>
      <w:r>
        <w:rPr>
          <w:sz w:val="24"/>
        </w:rPr>
        <w:t>号：</w:t>
      </w:r>
    </w:p>
    <w:p>
      <w:pPr>
        <w:pStyle w:val="null3"/>
        <w:ind w:left="480"/>
        <w:jc w:val="both"/>
      </w:pPr>
      <w:r>
        <w:rPr>
          <w:b/>
          <w:sz w:val="24"/>
        </w:rPr>
        <w:t>第八条</w:t>
      </w:r>
      <w:r>
        <w:rPr>
          <w:b/>
          <w:sz w:val="24"/>
        </w:rPr>
        <w:t>双方权利与义务</w:t>
      </w:r>
    </w:p>
    <w:p>
      <w:pPr>
        <w:pStyle w:val="null3"/>
        <w:ind w:left="420" w:firstLine="480"/>
        <w:jc w:val="both"/>
      </w:pPr>
      <w:r>
        <w:rPr>
          <w:sz w:val="24"/>
        </w:rPr>
        <w:t>8.1 甲方</w:t>
      </w:r>
    </w:p>
    <w:p>
      <w:pPr>
        <w:pStyle w:val="null3"/>
        <w:ind w:firstLine="480"/>
        <w:jc w:val="both"/>
      </w:pPr>
      <w:r>
        <w:rPr>
          <w:sz w:val="24"/>
        </w:rPr>
        <w:t>8.1.1甲方应协助乙方开展此项目的编制工作，并提供相关资料，但不承诺提供所有资料。</w:t>
      </w:r>
    </w:p>
    <w:p>
      <w:pPr>
        <w:pStyle w:val="null3"/>
        <w:ind w:firstLine="480"/>
        <w:jc w:val="both"/>
      </w:pPr>
      <w:r>
        <w:rPr>
          <w:sz w:val="24"/>
        </w:rPr>
        <w:t>8.1.2甲方不得要求乙方违反国家、地方有关标准进行编制。</w:t>
      </w:r>
    </w:p>
    <w:p>
      <w:pPr>
        <w:pStyle w:val="null3"/>
        <w:ind w:firstLine="480"/>
        <w:jc w:val="both"/>
      </w:pPr>
      <w:r>
        <w:rPr>
          <w:sz w:val="24"/>
        </w:rPr>
        <w:t>8.1.3本项目成果署名权归甲、乙双方共有，版权归甲方所有；甲方对项目成果有权无偿使用，有权通过传播、媒介、书刊或其它形式介绍、展示及评价项目成果。</w:t>
      </w:r>
    </w:p>
    <w:p>
      <w:pPr>
        <w:pStyle w:val="null3"/>
        <w:ind w:firstLine="480"/>
        <w:jc w:val="both"/>
      </w:pPr>
      <w:r>
        <w:rPr>
          <w:sz w:val="24"/>
        </w:rPr>
        <w:t>8.2乙方</w:t>
      </w:r>
    </w:p>
    <w:p>
      <w:pPr>
        <w:pStyle w:val="null3"/>
        <w:ind w:firstLine="480"/>
        <w:jc w:val="both"/>
      </w:pPr>
      <w:r>
        <w:rPr>
          <w:sz w:val="24"/>
        </w:rPr>
        <w:t>8.2.1在编制过程中，乙方必须保证现状调研、项目编制工作的技术路线与方法制定、各阶段项目成果汇报、技术审查、专家评审等关键环节由技术负责人亲自承担，项目组成员驻本项目所在地(即四会市)的累计工作时间不少于1</w:t>
      </w:r>
      <w:r>
        <w:rPr>
          <w:sz w:val="24"/>
        </w:rPr>
        <w:t>0</w:t>
      </w:r>
      <w:r>
        <w:rPr>
          <w:sz w:val="24"/>
        </w:rPr>
        <w:t>天，并随时接受甲方的咨询及检查。项目负责人应具备该项目相关专业高级职称或以上。</w:t>
      </w:r>
    </w:p>
    <w:p>
      <w:pPr>
        <w:pStyle w:val="null3"/>
        <w:ind w:firstLine="480"/>
        <w:jc w:val="both"/>
      </w:pPr>
      <w:r>
        <w:rPr>
          <w:sz w:val="24"/>
        </w:rPr>
        <w:t>8.2.2项目主要技术人员（不包括项目负责人，不少于两人）必须全程参加项目调研、各阶段项目成果汇报、技术审查、专家评审等相关技术活动。</w:t>
      </w:r>
    </w:p>
    <w:p>
      <w:pPr>
        <w:pStyle w:val="null3"/>
        <w:ind w:firstLine="480"/>
        <w:jc w:val="both"/>
      </w:pPr>
      <w:r>
        <w:rPr>
          <w:sz w:val="24"/>
        </w:rPr>
        <w:t>8.2.3乙方应按国家技术规范、标准、规程及甲方提出的编制要求，进行编制工作，按合同规定的进度要求提交质量合格的成果，并对其负责。不得有被第三人追诉的情况，如编制中侵犯他人专利和技术秘密、知识产权问题。</w:t>
      </w:r>
    </w:p>
    <w:p>
      <w:pPr>
        <w:pStyle w:val="null3"/>
        <w:ind w:firstLine="480"/>
        <w:jc w:val="both"/>
      </w:pPr>
      <w:r>
        <w:rPr>
          <w:sz w:val="24"/>
        </w:rPr>
        <w:t>8.2.4乙方应按本合同规定的内容、进度及数量向甲方交付资料及项目成果。</w:t>
      </w:r>
    </w:p>
    <w:p>
      <w:pPr>
        <w:pStyle w:val="null3"/>
        <w:ind w:firstLine="480"/>
        <w:jc w:val="both"/>
      </w:pPr>
      <w:r>
        <w:rPr>
          <w:sz w:val="24"/>
        </w:rPr>
        <w:t>8.2.5乙方交付项目成果，按规定参加有关的技术审查、评审，并根据评审结论负责修改、调整与补充。</w:t>
      </w:r>
    </w:p>
    <w:p>
      <w:pPr>
        <w:pStyle w:val="null3"/>
        <w:ind w:firstLine="480"/>
        <w:jc w:val="both"/>
      </w:pPr>
      <w:r>
        <w:rPr>
          <w:sz w:val="24"/>
        </w:rPr>
        <w:t>8.2.6乙方在编制过程和成果报批过程中与甲方密切配合；负责解答相应的技术等问题，配合甲方对执行的项目成果进行定期检讨。</w:t>
      </w:r>
    </w:p>
    <w:p>
      <w:pPr>
        <w:pStyle w:val="null3"/>
        <w:ind w:firstLine="480"/>
        <w:jc w:val="both"/>
      </w:pPr>
      <w:r>
        <w:rPr>
          <w:sz w:val="24"/>
        </w:rPr>
        <w:t>8.2.7乙方在项目实施过程中，对甲方所提供的所有相关资料、数据，未经甲方书面同意不得向任何第三人泄露，且保密责任不因合同的终止或解除而失效。项目完成后，乙方须把甲方提供的所有资料、数据完整归还甲方，并不得留存任何复制品。</w:t>
      </w:r>
    </w:p>
    <w:p>
      <w:pPr>
        <w:pStyle w:val="null3"/>
        <w:ind w:firstLine="480"/>
        <w:jc w:val="both"/>
      </w:pPr>
      <w:r>
        <w:rPr>
          <w:sz w:val="24"/>
        </w:rPr>
        <w:t>8.2.8乙方对其工作人员在合同履行期间的一切行为负责，期间发生的一切安全事故责任及因此发生的人身损害赔偿和其他费用由乙方承担，与甲方无关。</w:t>
      </w:r>
    </w:p>
    <w:p>
      <w:pPr>
        <w:pStyle w:val="null3"/>
        <w:ind w:firstLine="480"/>
        <w:jc w:val="both"/>
      </w:pPr>
      <w:r>
        <w:rPr>
          <w:b/>
          <w:sz w:val="24"/>
        </w:rPr>
        <w:t>第九条</w:t>
      </w:r>
      <w:r>
        <w:rPr>
          <w:b/>
          <w:sz w:val="24"/>
        </w:rPr>
        <w:t>违约责任</w:t>
      </w:r>
    </w:p>
    <w:p>
      <w:pPr>
        <w:pStyle w:val="null3"/>
        <w:ind w:left="420" w:firstLine="480"/>
        <w:jc w:val="both"/>
      </w:pPr>
      <w:r>
        <w:rPr>
          <w:sz w:val="24"/>
        </w:rPr>
        <w:t>9.1解约责任：</w:t>
      </w:r>
    </w:p>
    <w:p>
      <w:pPr>
        <w:pStyle w:val="null3"/>
        <w:ind w:firstLine="480"/>
        <w:jc w:val="both"/>
      </w:pPr>
      <w:r>
        <w:rPr>
          <w:sz w:val="24"/>
        </w:rPr>
        <w:t>9.1.1合同生效后，甲方非因乙方原因要求终止或解除合同，乙方未开始工作的，乙方应退还甲方已付的款项，已开始工作的，甲方根据乙方已进行的实际工作量支付相关费用。</w:t>
      </w:r>
    </w:p>
    <w:p>
      <w:pPr>
        <w:pStyle w:val="null3"/>
        <w:ind w:firstLine="480"/>
        <w:jc w:val="both"/>
      </w:pPr>
      <w:r>
        <w:rPr>
          <w:sz w:val="24"/>
        </w:rPr>
        <w:t>9.1.2如乙方违约，甲方有权要求乙方予以整改，乙方不按甲方要求整改的，甲方有权终止或解除合同，此情形下，甲方无须根据乙方已进行的实际工作量向乙方支付费用，并有权追回已支付的相关费用（含税），同时乙方应按本合同已支付款项200%的比例向甲方支付违约金。</w:t>
      </w:r>
    </w:p>
    <w:p>
      <w:pPr>
        <w:pStyle w:val="null3"/>
        <w:ind w:firstLine="480"/>
        <w:jc w:val="both"/>
      </w:pPr>
      <w:r>
        <w:rPr>
          <w:sz w:val="24"/>
        </w:rPr>
        <w:t>9.1.3乙方要求终止或解除合同，乙方应按本合同已支付款项200%的比例向甲方支付违约金，由此造成甲方损失的，乙方另外应全额赔偿甲方损失。</w:t>
      </w:r>
    </w:p>
    <w:p>
      <w:pPr>
        <w:pStyle w:val="null3"/>
        <w:ind w:firstLine="480"/>
        <w:jc w:val="both"/>
      </w:pPr>
      <w:r>
        <w:rPr>
          <w:sz w:val="24"/>
        </w:rPr>
        <w:t>9.1.4由于不可抗力导致合同目的不能实现而终止或解除合同的，各方均无须向对方承担责任。</w:t>
      </w:r>
    </w:p>
    <w:p>
      <w:pPr>
        <w:pStyle w:val="null3"/>
        <w:ind w:firstLine="480"/>
        <w:jc w:val="both"/>
      </w:pPr>
      <w:r>
        <w:rPr>
          <w:sz w:val="24"/>
        </w:rPr>
        <w:t>9.1.5无论何种情形（包括但不限于合同提前终止或解除），甲方有权利用乙方已完成的工作成果，并且甲方引用乙方工作成果所形成的新技术成果属于甲方所有，甲方可依法享有该项技术成果取得的经济权利和其他一切权利。</w:t>
      </w:r>
    </w:p>
    <w:p>
      <w:pPr>
        <w:pStyle w:val="null3"/>
        <w:ind w:firstLine="480"/>
        <w:jc w:val="both"/>
      </w:pPr>
      <w:r>
        <w:rPr>
          <w:sz w:val="24"/>
        </w:rPr>
        <w:t>9.1.6由于甲方的原因使本合同项目工作受到阻碍或延误，以致发生了附加工作或延长了工作时间，则乙方应当将此情况与可能产生的影响及时通知甲方。完成项目业务的时间相应延长，但甲方不向乙方支付附加工作的报酬。</w:t>
      </w:r>
    </w:p>
    <w:p>
      <w:pPr>
        <w:pStyle w:val="null3"/>
        <w:ind w:firstLine="480"/>
        <w:jc w:val="both"/>
      </w:pPr>
      <w:r>
        <w:rPr>
          <w:sz w:val="24"/>
        </w:rPr>
        <w:t>9.1.7由于特殊原因但非乙方自身原因，令乙方产生额外工作，经双方协商和甲方书面委托后，可对乙方的额外工作作出适当经济补偿，补偿费用最终以协商为准。</w:t>
      </w:r>
    </w:p>
    <w:p>
      <w:pPr>
        <w:pStyle w:val="null3"/>
        <w:ind w:firstLine="480"/>
        <w:jc w:val="both"/>
      </w:pPr>
      <w:r>
        <w:rPr>
          <w:sz w:val="24"/>
        </w:rPr>
        <w:t>9.1.8由于特殊原因但非乙方原因导致本合同终止，经双方协商后，甲方可对乙方已完成的工作按比例作出适当经济补偿，补偿费用最终以协商为准。</w:t>
      </w:r>
    </w:p>
    <w:p>
      <w:pPr>
        <w:pStyle w:val="null3"/>
        <w:ind w:firstLine="480"/>
        <w:jc w:val="both"/>
      </w:pPr>
      <w:r>
        <w:rPr>
          <w:sz w:val="24"/>
        </w:rPr>
        <w:t>9.2超时交付成果：由于乙方自身原因，延误了项目成果交付时间，每延误一天，甲方有权向乙方扣罚合同金额千分之一的逾期违约金。延误时间超过30天的，将视为乙方违约，甲方有权终止合同并按合同第9.1.2条处理。</w:t>
      </w:r>
    </w:p>
    <w:p>
      <w:pPr>
        <w:pStyle w:val="null3"/>
        <w:ind w:firstLine="480"/>
        <w:jc w:val="both"/>
      </w:pPr>
      <w:r>
        <w:rPr>
          <w:sz w:val="24"/>
        </w:rPr>
        <w:t>9.3成果质量：乙方应对成果资料及文件出现的遗漏或错误负责，在甲方规定的时限内无偿负责完善相关内容，且确保通过各环节的审查（审批），否则按乙方违约处理。由于乙方编制错误造成的损失，乙方除负责采取有效补救措施外，应免收受损失部分的合同价款，甲方有权要求乙方赔偿因此造成的损失，赔偿额度不超过合同总额。</w:t>
      </w:r>
    </w:p>
    <w:p>
      <w:pPr>
        <w:pStyle w:val="null3"/>
        <w:ind w:firstLine="480"/>
        <w:jc w:val="both"/>
      </w:pPr>
      <w:r>
        <w:rPr>
          <w:sz w:val="24"/>
        </w:rPr>
        <w:t>9.4更换人员要求：一般情况下，项目负责人及主要技术人员不得随意更换。乙方如确需更换项目负责人及主要技术人员须报甲方审批，替换人员的专业要相符，职称应不低于被替换人员，且符合合同对被替换人员的相关要求。如果乙方随意更换，甲方有权以项目负责人每人每次￥20000.00元、主要技术人员每人每次￥10000.00元的标准扣减费用。</w:t>
      </w:r>
    </w:p>
    <w:p>
      <w:pPr>
        <w:pStyle w:val="null3"/>
        <w:ind w:firstLine="480"/>
        <w:jc w:val="both"/>
      </w:pPr>
      <w:r>
        <w:rPr>
          <w:sz w:val="24"/>
        </w:rPr>
        <w:t>9.5 未能提供服务：乙方技术负责人和主要技术人员需按甲方要求参加调研和相关技术会议。技术负责人未按合同第8.2.1条执行，将视为乙方违约，甲方有权以每人每次￥20000.00元的标准扣减费用。项目主要技术人员未按合同第8.2.2条执行，将视为乙方违约，甲方有权以每人每次￥10000.00元的标准扣减费用。</w:t>
      </w:r>
    </w:p>
    <w:p>
      <w:pPr>
        <w:pStyle w:val="null3"/>
        <w:ind w:firstLine="480"/>
        <w:jc w:val="both"/>
      </w:pPr>
      <w:r>
        <w:rPr>
          <w:b/>
          <w:sz w:val="24"/>
        </w:rPr>
        <w:t>第十条</w:t>
      </w:r>
      <w:r>
        <w:rPr>
          <w:b/>
          <w:sz w:val="24"/>
        </w:rPr>
        <w:t>服务要求、项目的实施情况及责任承担</w:t>
      </w:r>
    </w:p>
    <w:p>
      <w:pPr>
        <w:pStyle w:val="null3"/>
        <w:ind w:firstLine="470"/>
        <w:jc w:val="both"/>
      </w:pPr>
      <w:r>
        <w:rPr>
          <w:sz w:val="24"/>
        </w:rPr>
        <w:t>10.1在项目实施期间，如甲方认为乙方人员不称职，乙方应在收到甲方通知3天内无条件予以更换。</w:t>
      </w:r>
    </w:p>
    <w:p>
      <w:pPr>
        <w:pStyle w:val="null3"/>
        <w:ind w:firstLine="470"/>
        <w:jc w:val="both"/>
      </w:pPr>
      <w:r>
        <w:rPr>
          <w:sz w:val="24"/>
        </w:rPr>
        <w:t>10.2乙方在交付项目成果后，按规定协助组织和参加有关的成果审查或评审，并根据审查结论负责对项目成果进行调整和补充，不另外收费。乙方负责对项目成果出现的遗漏或错误进行修改或补充，并对项目成果是否审批通过负责。</w:t>
      </w:r>
    </w:p>
    <w:p>
      <w:pPr>
        <w:pStyle w:val="null3"/>
        <w:ind w:firstLine="470"/>
        <w:jc w:val="both"/>
      </w:pPr>
      <w:r>
        <w:rPr>
          <w:sz w:val="24"/>
        </w:rPr>
        <w:t>10.3乙方在合同履行过程中如果使用了他人的专利和专有技术，所需费用由乙方自行承担；如果乙方向甲方交付的工作成果涉及第三人权利而引发争议，由乙方承担由此引起的一切经济和法律责任。</w:t>
      </w:r>
    </w:p>
    <w:p>
      <w:pPr>
        <w:pStyle w:val="null3"/>
        <w:ind w:firstLine="470"/>
        <w:jc w:val="both"/>
      </w:pPr>
      <w:r>
        <w:rPr>
          <w:sz w:val="24"/>
        </w:rPr>
        <w:t>10.4乙方技术负责人及主要技术人员不履行职责的，将视为乙方违约并按合同第9.6条处理。</w:t>
      </w:r>
    </w:p>
    <w:p>
      <w:pPr>
        <w:pStyle w:val="null3"/>
        <w:ind w:firstLine="470"/>
        <w:jc w:val="both"/>
      </w:pPr>
      <w:r>
        <w:rPr>
          <w:sz w:val="24"/>
        </w:rPr>
        <w:t>10.5若乙方提交的项目成果因质量原因无法通过审查或审批，甲方则不予付款，已付款项，乙方须全部无条件退回甲方，并视为乙方违约，甲方有权解除合同并按合同第9.4条处理。</w:t>
      </w:r>
    </w:p>
    <w:p>
      <w:pPr>
        <w:pStyle w:val="null3"/>
        <w:ind w:firstLine="480"/>
        <w:jc w:val="both"/>
      </w:pPr>
      <w:r>
        <w:rPr>
          <w:b/>
          <w:sz w:val="24"/>
        </w:rPr>
        <w:t>第十一条</w:t>
      </w:r>
      <w:r>
        <w:rPr>
          <w:b/>
          <w:sz w:val="24"/>
        </w:rPr>
        <w:t xml:space="preserve"> </w:t>
      </w:r>
      <w:r>
        <w:rPr>
          <w:b/>
          <w:sz w:val="24"/>
        </w:rPr>
        <w:t>保密协议</w:t>
      </w:r>
    </w:p>
    <w:p>
      <w:pPr>
        <w:pStyle w:val="null3"/>
        <w:numPr>
          <w:ilvl w:val="0"/>
          <w:numId w:val="1"/>
        </w:numPr>
        <w:ind w:firstLine="480"/>
        <w:jc w:val="both"/>
      </w:pPr>
      <w:r>
        <w:rPr>
          <w:sz w:val="24"/>
        </w:rPr>
        <w:t>保密内容（包括技术信息和经营信息）：</w:t>
      </w:r>
      <w:r>
        <w:rPr>
          <w:sz w:val="24"/>
        </w:rPr>
        <w:t>发包人</w:t>
      </w:r>
      <w:r>
        <w:rPr>
          <w:sz w:val="24"/>
        </w:rPr>
        <w:t>提供给</w:t>
      </w:r>
      <w:r>
        <w:rPr>
          <w:sz w:val="24"/>
        </w:rPr>
        <w:t>设计人</w:t>
      </w:r>
      <w:r>
        <w:rPr>
          <w:sz w:val="24"/>
        </w:rPr>
        <w:t>的所有资料均受版权保护（特别是基础地形图资料属于国家保密文件范围），仅作为此次设计之用，未经</w:t>
      </w:r>
      <w:r>
        <w:rPr>
          <w:sz w:val="24"/>
        </w:rPr>
        <w:t>发包人</w:t>
      </w:r>
      <w:r>
        <w:rPr>
          <w:sz w:val="24"/>
        </w:rPr>
        <w:t>授权，任何人不得擅自复制、改编、分发、发布及另作他用。</w:t>
      </w:r>
    </w:p>
    <w:p>
      <w:pPr>
        <w:pStyle w:val="null3"/>
        <w:ind w:firstLine="480"/>
        <w:jc w:val="left"/>
      </w:pPr>
      <w:r>
        <w:rPr>
          <w:sz w:val="24"/>
        </w:rPr>
        <w:t>2、设计成果审批实施前，任何单位和个人未经</w:t>
      </w:r>
      <w:r>
        <w:rPr>
          <w:sz w:val="24"/>
        </w:rPr>
        <w:t>发包人</w:t>
      </w:r>
      <w:r>
        <w:rPr>
          <w:sz w:val="24"/>
        </w:rPr>
        <w:t>同意都无权以任何形式向社会公开展示该项目阶段成果。</w:t>
      </w:r>
    </w:p>
    <w:p>
      <w:pPr>
        <w:pStyle w:val="null3"/>
        <w:ind w:firstLine="480"/>
        <w:jc w:val="both"/>
      </w:pPr>
      <w:r>
        <w:rPr>
          <w:sz w:val="24"/>
        </w:rPr>
        <w:t>3．涉密人员范围：双方直接或间接参与本项目的有关人员。</w:t>
      </w:r>
    </w:p>
    <w:p>
      <w:pPr>
        <w:pStyle w:val="null3"/>
        <w:ind w:firstLine="480"/>
        <w:jc w:val="both"/>
      </w:pPr>
      <w:r>
        <w:rPr>
          <w:sz w:val="24"/>
        </w:rPr>
        <w:t>4．泄密责任：项目进行期间及完成后，</w:t>
      </w:r>
      <w:r>
        <w:rPr>
          <w:sz w:val="24"/>
        </w:rPr>
        <w:t>发包人</w:t>
      </w:r>
      <w:r>
        <w:rPr>
          <w:sz w:val="24"/>
        </w:rPr>
        <w:t>、</w:t>
      </w:r>
      <w:r>
        <w:rPr>
          <w:sz w:val="24"/>
        </w:rPr>
        <w:t>设计人</w:t>
      </w:r>
      <w:r>
        <w:rPr>
          <w:sz w:val="24"/>
        </w:rPr>
        <w:t>双方均有责任对本项目的技术保密承担相应责任，并按照国家有关知识产权保护法律、法规执行。</w:t>
      </w:r>
    </w:p>
    <w:p>
      <w:pPr>
        <w:pStyle w:val="null3"/>
        <w:ind w:firstLine="480"/>
        <w:jc w:val="both"/>
      </w:pPr>
      <w:r>
        <w:rPr>
          <w:b/>
          <w:sz w:val="24"/>
        </w:rPr>
        <w:t>第十二条</w:t>
      </w:r>
      <w:r>
        <w:rPr>
          <w:b/>
          <w:sz w:val="24"/>
        </w:rPr>
        <w:t xml:space="preserve"> </w:t>
      </w:r>
      <w:r>
        <w:rPr>
          <w:b/>
          <w:sz w:val="24"/>
        </w:rPr>
        <w:t>争议解决</w:t>
      </w:r>
    </w:p>
    <w:p>
      <w:pPr>
        <w:pStyle w:val="null3"/>
        <w:ind w:firstLine="480"/>
        <w:jc w:val="both"/>
      </w:pPr>
      <w:r>
        <w:rPr>
          <w:sz w:val="24"/>
        </w:rPr>
        <w:t>双方在履约中发生争执和分歧，双方应通过友好协商解决，若经协商不能达成协议时，</w:t>
      </w:r>
      <w:r>
        <w:rPr>
          <w:sz w:val="24"/>
        </w:rPr>
        <w:t>双方当事人同意向</w:t>
      </w:r>
      <w:r>
        <w:rPr>
          <w:sz w:val="24"/>
        </w:rPr>
        <w:t>合同签订</w:t>
      </w:r>
      <w:r>
        <w:rPr>
          <w:sz w:val="24"/>
        </w:rPr>
        <w:t>所在地</w:t>
      </w:r>
      <w:r>
        <w:rPr>
          <w:sz w:val="24"/>
        </w:rPr>
        <w:t>人民法院起诉。</w:t>
      </w:r>
    </w:p>
    <w:p>
      <w:pPr>
        <w:pStyle w:val="null3"/>
        <w:ind w:firstLine="480"/>
        <w:jc w:val="both"/>
      </w:pPr>
      <w:r>
        <w:rPr>
          <w:b/>
          <w:sz w:val="24"/>
        </w:rPr>
        <w:t>第十三条</w:t>
      </w:r>
      <w:r>
        <w:rPr>
          <w:b/>
          <w:sz w:val="24"/>
        </w:rPr>
        <w:t>合同生效</w:t>
      </w:r>
    </w:p>
    <w:p>
      <w:pPr>
        <w:pStyle w:val="null3"/>
        <w:ind w:left="420" w:firstLine="480"/>
        <w:jc w:val="both"/>
      </w:pPr>
      <w:r>
        <w:rPr>
          <w:sz w:val="24"/>
        </w:rPr>
        <w:t>本合同在甲、乙双方法人代表或其授权代表签字盖章之日起生效。</w:t>
      </w:r>
    </w:p>
    <w:p>
      <w:pPr>
        <w:pStyle w:val="null3"/>
        <w:ind w:firstLine="480"/>
        <w:jc w:val="both"/>
      </w:pPr>
      <w:r>
        <w:rPr>
          <w:b/>
          <w:sz w:val="24"/>
        </w:rPr>
        <w:t>第十四条</w:t>
      </w:r>
      <w:r>
        <w:rPr>
          <w:b/>
          <w:sz w:val="24"/>
        </w:rPr>
        <w:t>其他</w:t>
      </w:r>
    </w:p>
    <w:p>
      <w:pPr>
        <w:pStyle w:val="null3"/>
        <w:ind w:firstLine="470"/>
        <w:jc w:val="both"/>
      </w:pPr>
      <w:r>
        <w:rPr>
          <w:sz w:val="24"/>
        </w:rPr>
        <w:t>14.1 所有经双方签署确认的文件（包括会议纪要、补充协议、往来信函）、报价文件、合同附件及《成交通知书》均为本合同不可分割的有效组成部分，与本合同具有同等的法律效力和履约义务，其缔约生效日期为有效签署或盖章确认之日期。</w:t>
      </w:r>
    </w:p>
    <w:p>
      <w:pPr>
        <w:pStyle w:val="null3"/>
        <w:ind w:firstLine="480"/>
        <w:jc w:val="both"/>
      </w:pPr>
      <w:r>
        <w:rPr>
          <w:sz w:val="24"/>
        </w:rPr>
        <w:t>14.2 未经甲方书面同意，乙方不得擅自向第三方转让本合同项下任何权利和义务。</w:t>
      </w:r>
    </w:p>
    <w:p>
      <w:pPr>
        <w:pStyle w:val="null3"/>
        <w:ind w:firstLine="480"/>
        <w:jc w:val="both"/>
      </w:pPr>
      <w:r>
        <w:rPr>
          <w:sz w:val="24"/>
        </w:rPr>
        <w:t>14.3 本合同壹式</w:t>
      </w:r>
      <w:r>
        <w:rPr>
          <w:sz w:val="24"/>
          <w:u w:val="single"/>
        </w:rPr>
        <w:t xml:space="preserve"> </w:t>
      </w:r>
      <w:r>
        <w:rPr>
          <w:sz w:val="24"/>
          <w:u w:val="single"/>
        </w:rPr>
        <w:t>肆</w:t>
      </w:r>
      <w:r>
        <w:rPr>
          <w:sz w:val="24"/>
        </w:rPr>
        <w:t>份，其中甲方</w:t>
      </w:r>
      <w:r>
        <w:rPr>
          <w:sz w:val="24"/>
          <w:u w:val="single"/>
        </w:rPr>
        <w:t xml:space="preserve"> </w:t>
      </w:r>
      <w:r>
        <w:rPr>
          <w:sz w:val="24"/>
          <w:u w:val="single"/>
        </w:rPr>
        <w:t>贰</w:t>
      </w:r>
      <w:r>
        <w:rPr>
          <w:sz w:val="24"/>
        </w:rPr>
        <w:t>份、乙方</w:t>
      </w:r>
      <w:r>
        <w:rPr>
          <w:sz w:val="24"/>
          <w:u w:val="single"/>
        </w:rPr>
        <w:t xml:space="preserve"> </w:t>
      </w:r>
      <w:r>
        <w:rPr>
          <w:sz w:val="24"/>
          <w:u w:val="single"/>
        </w:rPr>
        <w:t>贰</w:t>
      </w:r>
      <w:r>
        <w:rPr>
          <w:sz w:val="24"/>
        </w:rPr>
        <w:t>份，具同等法律效力。</w:t>
      </w:r>
    </w:p>
    <w:p>
      <w:pPr>
        <w:pStyle w:val="null3"/>
        <w:ind w:firstLine="480"/>
        <w:jc w:val="both"/>
      </w:pPr>
      <w:r>
        <w:rPr>
          <w:sz w:val="24"/>
        </w:rPr>
        <w:t>14.4 双方均已对以上各条款及附件作充分了解，并明确理解由此而产生的相关权责。</w:t>
      </w:r>
    </w:p>
    <w:p>
      <w:pPr>
        <w:pStyle w:val="null3"/>
        <w:ind w:firstLine="480"/>
        <w:jc w:val="both"/>
      </w:pPr>
      <w:r>
        <w:rPr>
          <w:sz w:val="24"/>
        </w:rPr>
        <w:t>（以下无正文）</w:t>
      </w:r>
    </w:p>
    <w:p>
      <w:pPr>
        <w:pStyle w:val="null3"/>
      </w:pPr>
    </w:p>
    <w:p>
      <w:pPr>
        <w:pStyle w:val="null3"/>
        <w:ind w:firstLine="480"/>
      </w:pPr>
      <w:r>
        <w:rPr>
          <w:sz w:val="28"/>
        </w:rPr>
        <w:t>（签署页）</w:t>
      </w:r>
    </w:p>
    <w:p>
      <w:pPr>
        <w:pStyle w:val="null3"/>
      </w:pPr>
      <w:r>
        <w:rPr/>
        <w:t xml:space="preserve"> </w:t>
      </w:r>
    </w:p>
    <w:p>
      <w:pPr>
        <w:pStyle w:val="null3"/>
        <w:ind w:firstLine="570"/>
        <w:jc w:val="left"/>
      </w:pPr>
    </w:p>
    <w:p>
      <w:pPr>
        <w:pStyle w:val="null3"/>
        <w:ind w:firstLine="570"/>
        <w:jc w:val="left"/>
      </w:pPr>
    </w:p>
    <w:p>
      <w:pPr>
        <w:pStyle w:val="null3"/>
        <w:ind w:firstLine="570"/>
        <w:jc w:val="left"/>
      </w:pPr>
      <w:r>
        <w:rPr>
          <w:sz w:val="28"/>
        </w:rPr>
        <w:t>甲方名称：</w:t>
      </w:r>
      <w:r>
        <w:rPr>
          <w:sz w:val="28"/>
          <w:u w:val="single"/>
        </w:rPr>
        <w:t xml:space="preserve">                                    </w:t>
      </w:r>
      <w:r>
        <w:rPr>
          <w:sz w:val="28"/>
          <w:u w:val="single"/>
        </w:rPr>
        <w:t>（盖章）</w:t>
      </w:r>
      <w:r>
        <w:rPr>
          <w:sz w:val="28"/>
          <w:u w:val="single"/>
        </w:rPr>
        <w:t xml:space="preserve"> </w:t>
      </w:r>
    </w:p>
    <w:p>
      <w:pPr>
        <w:pStyle w:val="null3"/>
        <w:ind w:firstLine="570"/>
        <w:jc w:val="both"/>
      </w:pPr>
      <w:r>
        <w:rPr>
          <w:sz w:val="21"/>
        </w:rPr>
        <w:t xml:space="preserve">          </w:t>
      </w:r>
    </w:p>
    <w:p>
      <w:pPr>
        <w:pStyle w:val="null3"/>
        <w:ind w:firstLine="570"/>
        <w:jc w:val="both"/>
      </w:pPr>
    </w:p>
    <w:p>
      <w:pPr>
        <w:pStyle w:val="null3"/>
        <w:ind w:firstLine="570"/>
        <w:jc w:val="both"/>
      </w:pPr>
      <w:r>
        <w:rPr>
          <w:sz w:val="28"/>
        </w:rPr>
        <w:t>法定代表人／委托代理人：</w:t>
      </w:r>
      <w:r>
        <w:rPr>
          <w:sz w:val="28"/>
          <w:u w:val="single"/>
        </w:rPr>
        <w:t xml:space="preserve">    </w:t>
      </w:r>
      <w:r>
        <w:rPr>
          <w:sz w:val="28"/>
          <w:u w:val="single"/>
        </w:rPr>
        <w:t>（签名）</w:t>
      </w:r>
    </w:p>
    <w:p>
      <w:pPr>
        <w:pStyle w:val="null3"/>
        <w:ind w:firstLine="570"/>
        <w:jc w:val="both"/>
      </w:pPr>
    </w:p>
    <w:p>
      <w:pPr>
        <w:pStyle w:val="null3"/>
        <w:ind w:firstLine="570"/>
        <w:jc w:val="both"/>
      </w:pPr>
    </w:p>
    <w:p>
      <w:pPr>
        <w:pStyle w:val="null3"/>
        <w:ind w:firstLine="480"/>
        <w:jc w:val="both"/>
      </w:pPr>
      <w:r>
        <w:rPr>
          <w:sz w:val="21"/>
        </w:rPr>
        <w:t xml:space="preserve">                            </w:t>
      </w:r>
      <w:r>
        <w:rPr>
          <w:sz w:val="28"/>
        </w:rPr>
        <w:t>签订时间：</w:t>
      </w:r>
      <w:r>
        <w:rPr>
          <w:sz w:val="28"/>
        </w:rPr>
        <w:t xml:space="preserve">      </w:t>
      </w:r>
      <w:r>
        <w:rPr>
          <w:sz w:val="28"/>
        </w:rPr>
        <w:t>年</w:t>
      </w:r>
      <w:r>
        <w:rPr>
          <w:sz w:val="28"/>
        </w:rPr>
        <w:t xml:space="preserve">   </w:t>
      </w:r>
      <w:r>
        <w:rPr>
          <w:sz w:val="28"/>
        </w:rPr>
        <w:t>月</w:t>
      </w:r>
      <w:r>
        <w:rPr>
          <w:sz w:val="28"/>
        </w:rPr>
        <w:t xml:space="preserve">   </w:t>
      </w:r>
      <w:r>
        <w:rPr>
          <w:sz w:val="28"/>
        </w:rPr>
        <w:t>日</w:t>
      </w:r>
    </w:p>
    <w:p>
      <w:pPr>
        <w:pStyle w:val="null3"/>
        <w:ind w:firstLine="480"/>
        <w:jc w:val="both"/>
      </w:pPr>
    </w:p>
    <w:p>
      <w:pPr>
        <w:pStyle w:val="null3"/>
        <w:ind w:firstLine="480"/>
        <w:jc w:val="both"/>
      </w:pPr>
    </w:p>
    <w:p>
      <w:pPr>
        <w:pStyle w:val="null3"/>
        <w:ind w:firstLine="480"/>
        <w:jc w:val="both"/>
      </w:pPr>
    </w:p>
    <w:p>
      <w:pPr>
        <w:pStyle w:val="null3"/>
      </w:pPr>
    </w:p>
    <w:p>
      <w:pPr>
        <w:pStyle w:val="null3"/>
        <w:ind w:firstLine="480"/>
        <w:jc w:val="both"/>
      </w:pPr>
    </w:p>
    <w:p>
      <w:pPr>
        <w:pStyle w:val="null3"/>
        <w:ind w:firstLine="570"/>
        <w:jc w:val="left"/>
      </w:pPr>
      <w:r>
        <w:rPr>
          <w:sz w:val="28"/>
        </w:rPr>
        <w:t>乙方名称：</w:t>
      </w:r>
      <w:r>
        <w:rPr>
          <w:sz w:val="28"/>
          <w:u w:val="single"/>
        </w:rPr>
        <w:t xml:space="preserve">                                     </w:t>
      </w:r>
      <w:r>
        <w:rPr>
          <w:sz w:val="28"/>
          <w:u w:val="single"/>
        </w:rPr>
        <w:t>（盖章）</w:t>
      </w:r>
      <w:r>
        <w:rPr>
          <w:sz w:val="21"/>
        </w:rPr>
        <w:t xml:space="preserve">   </w:t>
      </w:r>
    </w:p>
    <w:p>
      <w:pPr>
        <w:pStyle w:val="null3"/>
        <w:ind w:firstLine="560"/>
        <w:jc w:val="both"/>
      </w:pPr>
      <w:r>
        <w:rPr>
          <w:sz w:val="21"/>
        </w:rPr>
        <w:t xml:space="preserve">           </w:t>
      </w:r>
    </w:p>
    <w:p>
      <w:pPr>
        <w:pStyle w:val="null3"/>
        <w:ind w:firstLine="560"/>
        <w:jc w:val="both"/>
      </w:pPr>
    </w:p>
    <w:p>
      <w:pPr>
        <w:pStyle w:val="null3"/>
        <w:ind w:firstLine="570"/>
        <w:jc w:val="both"/>
      </w:pPr>
      <w:r>
        <w:rPr>
          <w:sz w:val="28"/>
        </w:rPr>
        <w:t>法定代表人／委托代理人：</w:t>
      </w:r>
      <w:r>
        <w:rPr>
          <w:sz w:val="28"/>
          <w:u w:val="single"/>
        </w:rPr>
        <w:t xml:space="preserve">       </w:t>
      </w:r>
      <w:r>
        <w:rPr>
          <w:sz w:val="28"/>
          <w:u w:val="single"/>
        </w:rPr>
        <w:t>　（签名）</w:t>
      </w:r>
    </w:p>
    <w:p>
      <w:pPr>
        <w:pStyle w:val="null3"/>
        <w:ind w:firstLine="570"/>
        <w:jc w:val="both"/>
      </w:pPr>
    </w:p>
    <w:p>
      <w:pPr>
        <w:pStyle w:val="null3"/>
        <w:ind w:firstLine="570"/>
        <w:jc w:val="both"/>
      </w:pPr>
    </w:p>
    <w:p>
      <w:pPr>
        <w:pStyle w:val="null3"/>
        <w:ind w:firstLine="565"/>
        <w:jc w:val="center"/>
      </w:pPr>
      <w:r>
        <w:rPr>
          <w:sz w:val="21"/>
        </w:rPr>
        <w:t xml:space="preserve">                       </w:t>
      </w:r>
      <w:r>
        <w:rPr>
          <w:sz w:val="28"/>
        </w:rPr>
        <w:t>签订时间：</w:t>
      </w:r>
      <w:r>
        <w:rPr>
          <w:sz w:val="28"/>
        </w:rPr>
        <w:t xml:space="preserve">      </w:t>
      </w:r>
      <w:r>
        <w:rPr>
          <w:sz w:val="28"/>
        </w:rPr>
        <w:t>年</w:t>
      </w:r>
      <w:r>
        <w:rPr>
          <w:sz w:val="28"/>
        </w:rPr>
        <w:t xml:space="preserve">   </w:t>
      </w:r>
      <w:r>
        <w:rPr>
          <w:sz w:val="28"/>
        </w:rPr>
        <w:t>月</w:t>
      </w:r>
      <w:r>
        <w:rPr>
          <w:sz w:val="28"/>
        </w:rPr>
        <w:t xml:space="preserve">   </w:t>
      </w:r>
      <w:r>
        <w:rPr>
          <w:sz w:val="28"/>
        </w:rPr>
        <w:t>日</w:t>
      </w:r>
      <w:r>
        <w:rPr>
          <w:sz w:val="21"/>
        </w:rPr>
        <w:t xml:space="preserve"> </w:t>
      </w:r>
    </w:p>
    <w:p>
      <w:pPr>
        <w:pStyle w:val="null3"/>
      </w:pPr>
    </w:p>
    <w:p>
      <w:pPr>
        <w:pStyle w:val="null3"/>
        <w:ind w:firstLine="480"/>
      </w:pPr>
      <w:r>
        <w:rPr>
          <w:sz w:val="28"/>
        </w:rPr>
        <w:t>附件：成交通知书</w:t>
      </w:r>
    </w:p>
    <w:p>
      <w:pPr>
        <w:pStyle w:val="null3"/>
      </w:pPr>
      <w:r>
        <w:rPr/>
        <w:t xml:space="preserve"> </w:t>
      </w:r>
    </w:p>
    <w:p>
      <w:pPr>
        <w:pStyle w:val="null3"/>
      </w:pP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441284-2024-00281</w:t>
      </w:r>
    </w:p>
    <w:p>
      <w:pPr>
        <w:pStyle w:val="null3"/>
        <w:ind w:firstLine="480"/>
        <w:jc w:val="center"/>
        <w:outlineLvl w:val="3"/>
      </w:pPr>
      <w:r>
        <w:rPr>
          <w:b/>
          <w:sz w:val="24"/>
        </w:rPr>
        <w:t>采购项目编号：</w:t>
      </w:r>
      <w:r>
        <w:rPr>
          <w:b/>
          <w:sz w:val="24"/>
        </w:rPr>
        <w:t>0809-2441SHC3B203</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广东华伦招标有限公司</w:t>
      </w:r>
    </w:p>
    <w:p>
      <w:pPr>
        <w:pStyle w:val="null3"/>
        <w:ind w:firstLine="480"/>
      </w:pPr>
      <w:r>
        <w:rPr/>
        <w:t>你方组织的</w:t>
      </w:r>
      <w:r>
        <w:rPr>
          <w:u w:val="single"/>
        </w:rPr>
        <w:t>“</w:t>
      </w:r>
      <w:r>
        <w:rPr>
          <w:u w:val="single"/>
        </w:rPr>
        <w:t>肇庆市四会市地豆镇镇村国土空间集成规划（2023-2035年）项目</w:t>
      </w:r>
      <w:r>
        <w:rPr>
          <w:u w:val="single"/>
        </w:rPr>
        <w:t>”</w:t>
      </w:r>
      <w:r>
        <w:rPr/>
        <w:t>项目的竞争性磋商[采购项目编号为：</w:t>
      </w:r>
      <w:r>
        <w:rPr>
          <w:u w:val="single"/>
        </w:rPr>
        <w:t>0809-2441SHC3B203</w:t>
      </w:r>
      <w:r>
        <w:rPr/>
        <w:t>]，我方愿参与响应。</w:t>
      </w:r>
    </w:p>
    <w:p>
      <w:pPr>
        <w:pStyle w:val="null3"/>
        <w:ind w:firstLine="480"/>
      </w:pPr>
      <w:r>
        <w:rPr/>
        <w:t>我方确认收到贵方提供的</w:t>
      </w:r>
      <w:r>
        <w:rPr>
          <w:u w:val="single"/>
        </w:rPr>
        <w:t>“</w:t>
      </w:r>
      <w:r>
        <w:rPr>
          <w:u w:val="single"/>
        </w:rPr>
        <w:t>肇庆市四会市地豆镇镇村国土空间集成规划（2023-2035年）项目</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广东华伦招标有限公司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肇庆市四会市地豆镇镇村国土空间集成规划（2023-2035年）项目</w:t>
      </w:r>
      <w:r>
        <w:rPr/>
        <w:t>”项目采购[采购项目编号为</w:t>
      </w:r>
      <w:r>
        <w:rPr/>
        <w:t>0809-2441SHC3B203</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四会市自然资源局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广东华伦招标有限公司</w:t>
      </w:r>
    </w:p>
    <w:p>
      <w:pPr>
        <w:pStyle w:val="null3"/>
        <w:ind w:firstLine="480"/>
      </w:pPr>
      <w:r>
        <w:rPr/>
        <w:t>我单位参加贵公司组织的</w:t>
      </w:r>
      <w:r>
        <w:rPr/>
        <w:t>肇庆市四会市地豆镇镇村国土空间集成规划（2023-2035年）项目</w:t>
      </w:r>
      <w:r>
        <w:rPr/>
        <w:t>（采购项目编号：</w:t>
      </w:r>
      <w:r>
        <w:rPr/>
        <w:t>0809-2441SHC3B203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广东华伦招标有限公司</w:t>
      </w:r>
    </w:p>
    <w:p>
      <w:pPr>
        <w:pStyle w:val="null3"/>
        <w:ind w:firstLine="480"/>
      </w:pPr>
      <w:r>
        <w:rPr/>
        <w:t>我单位已登记并准备参与“</w:t>
      </w:r>
      <w:r>
        <w:rPr/>
        <w:t>肇庆市四会市地豆镇镇村国土空间集成规划（2023-2035年）项目</w:t>
      </w:r>
      <w:r>
        <w:rPr/>
        <w:t>”项目（采购项目编号：</w:t>
      </w:r>
      <w:r>
        <w:rPr/>
        <w:t>0809-2441SHC3B203</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