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440605-2023-06466</w:t>
      </w:r>
    </w:p>
    <w:p>
      <w:pPr>
        <w:jc w:val="center"/>
      </w:pPr>
      <w:r>
        <w:rPr>
          <w:b/>
          <w:sz w:val="24"/>
        </w:rPr>
        <w:t>采购项目编号：</w:t>
      </w:r>
      <w:r>
        <w:rPr>
          <w:b/>
          <w:sz w:val="24"/>
        </w:rPr>
        <w:t>沥采2023034</w:t>
      </w:r>
    </w:p>
    <w:p>
      <w:pPr>
        <w:jc w:val="center"/>
      </w:pPr>
      <w:r>
        <w:rPr>
          <w:b/>
          <w:sz w:val="24"/>
        </w:rPr>
        <w:t>项目名称：</w:t>
      </w:r>
      <w:r>
        <w:rPr>
          <w:b/>
          <w:sz w:val="24"/>
        </w:rPr>
        <w:t>血管内超声系统</w:t>
      </w:r>
    </w:p>
    <w:p>
      <w:pPr>
        <w:jc w:val="center"/>
      </w:pPr>
      <w:r>
        <w:rPr>
          <w:b/>
          <w:sz w:val="24"/>
        </w:rPr>
        <w:t>采购人：</w:t>
      </w:r>
      <w:r>
        <w:rPr>
          <w:b/>
          <w:sz w:val="24"/>
        </w:rPr>
        <w:t>佛山市南海区第五人民医院</w:t>
      </w:r>
    </w:p>
    <w:p>
      <w:pPr>
        <w:jc w:val="center"/>
      </w:pPr>
      <w:r>
        <w:rPr>
          <w:b/>
          <w:sz w:val="24"/>
        </w:rPr>
        <w:t>采购代理机构：</w:t>
      </w:r>
      <w:r>
        <w:rPr>
          <w:b/>
          <w:sz w:val="24"/>
        </w:rPr>
        <w:t>广东华伦招标有限公司南海分公司</w:t>
      </w:r>
    </w:p>
    <w:p>
      <w:pPr>
        <w:ind w:firstLine="480"/>
      </w:pPr>
    </w:p>
    <w:p>
      <w:r>
        <w:rPr/>
        <w:t xml:space="preserve"> </w:t>
      </w:r>
    </w:p>
    <w:p/>
    <w:p>
      <w:pPr>
        <w:jc w:val="center"/>
      </w:pPr>
      <w:r>
        <w:rPr>
          <w:b/>
          <w:sz w:val="36"/>
        </w:rPr>
        <w:t>第一章投标邀请</w:t>
      </w:r>
    </w:p>
    <w:p>
      <w:pPr>
        <w:ind w:firstLine="480"/>
      </w:pPr>
      <w:r>
        <w:rPr/>
        <w:t>广东华伦招标有限公司南海分公司</w:t>
      </w:r>
      <w:r>
        <w:rPr/>
        <w:t>受</w:t>
      </w:r>
      <w:r>
        <w:rPr/>
        <w:t>佛山市南海区第五人民医院</w:t>
      </w:r>
      <w:r>
        <w:rPr/>
        <w:t>的委托，采用</w:t>
      </w:r>
      <w:r>
        <w:rPr/>
        <w:t>公开招标</w:t>
      </w:r>
      <w:r>
        <w:rPr/>
        <w:t>方式组织采购</w:t>
      </w:r>
      <w:r>
        <w:rPr/>
        <w:t>血管内超声系统</w:t>
      </w:r>
      <w:r>
        <w:rPr/>
        <w:t>。欢迎符合资格条件的国内供应商参加投标。</w:t>
      </w:r>
    </w:p>
    <w:p>
      <w:r>
        <w:rPr>
          <w:b/>
          <w:sz w:val="28"/>
        </w:rPr>
        <w:t>一.项目概述</w:t>
      </w:r>
    </w:p>
    <w:p>
      <w:r>
        <w:rPr>
          <w:b/>
          <w:sz w:val="24"/>
        </w:rPr>
        <w:t>1.名称与编号</w:t>
      </w:r>
    </w:p>
    <w:p>
      <w:pPr>
        <w:ind w:firstLine="480"/>
      </w:pPr>
      <w:r>
        <w:rPr/>
        <w:t>项目名称：</w:t>
      </w:r>
      <w:r>
        <w:rPr/>
        <w:t>血管内超声系统</w:t>
      </w:r>
    </w:p>
    <w:p>
      <w:pPr>
        <w:ind w:firstLine="480"/>
      </w:pPr>
      <w:r>
        <w:rPr/>
        <w:t>采购计划编号：</w:t>
      </w:r>
      <w:r>
        <w:rPr/>
        <w:t>440605-2023-06466</w:t>
      </w:r>
    </w:p>
    <w:p>
      <w:pPr>
        <w:ind w:firstLine="480"/>
      </w:pPr>
      <w:r>
        <w:rPr/>
        <w:t>采购项目编号：</w:t>
      </w:r>
      <w:r>
        <w:rPr/>
        <w:t>沥采2023034</w:t>
      </w:r>
    </w:p>
    <w:p>
      <w:pPr>
        <w:ind w:firstLine="480"/>
      </w:pPr>
      <w:r>
        <w:rPr/>
        <w:t>采购方式：</w:t>
      </w:r>
      <w:r>
        <w:rPr/>
        <w:t>公开招标</w:t>
      </w:r>
    </w:p>
    <w:p>
      <w:pPr>
        <w:ind w:firstLine="480"/>
      </w:pPr>
      <w:r>
        <w:rPr/>
        <w:t>预算金额：</w:t>
      </w:r>
      <w:r>
        <w:rPr/>
        <w:t>1,195,166.67</w:t>
      </w:r>
      <w:r>
        <w:rPr/>
        <w:t>元</w:t>
      </w:r>
    </w:p>
    <w:p>
      <w:r>
        <w:rPr>
          <w:b/>
          <w:sz w:val="24"/>
        </w:rPr>
        <w:t>2.项目内容及需求情况（采购项目技术规格、参数及要求）</w:t>
      </w:r>
    </w:p>
    <w:p>
      <w:pPr>
        <w:ind w:firstLine="480"/>
      </w:pPr>
    </w:p>
    <w:p/>
    <w:p>
      <w:r>
        <w:rPr/>
        <w:t>采购包1(血管内超声系统):</w:t>
      </w:r>
    </w:p>
    <w:p>
      <w:r>
        <w:rPr/>
        <w:t>采购包预算金额：1,195,166.67元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医用超声波仪器及设备</w:t>
            </w:r>
          </w:p>
        </w:tc>
        <w:tc>
          <w:tcPr>
            <w:tcW w:type="dxa" w:w="2052"/>
          </w:tcPr>
          <w:p>
            <w:r>
              <w:rPr/>
              <w:t>血管内超声系统</w:t>
            </w:r>
          </w:p>
        </w:tc>
        <w:tc>
          <w:tcPr>
            <w:tcW w:type="dxa" w:w="977"/>
          </w:tcPr>
          <w:p>
            <w:r>
              <w:rPr/>
              <w:t>1.00(套)</w:t>
            </w:r>
          </w:p>
        </w:tc>
        <w:tc>
          <w:tcPr>
            <w:tcW w:type="dxa" w:w="977"/>
          </w:tcPr>
          <w:p>
            <w:r>
              <w:rPr/>
              <w:t>详见第二章</w:t>
            </w:r>
          </w:p>
        </w:tc>
        <w:tc>
          <w:tcPr>
            <w:tcW w:type="dxa" w:w="977"/>
          </w:tcPr>
          <w:p>
            <w:r>
              <w:rPr/>
              <w:t>1,195,166.67</w:t>
            </w:r>
          </w:p>
        </w:tc>
        <w:tc>
          <w:tcPr>
            <w:tcW w:type="dxa" w:w="977"/>
          </w:tcPr>
          <w:p>
            <w:r>
              <w:rPr/>
              <w:t>否</w:t>
            </w:r>
          </w:p>
        </w:tc>
      </w:tr>
    </w:tbl>
    <w:p/>
    <w:p>
      <w:r>
        <w:rPr/>
        <w:t>本采购包不接受联合体投标</w:t>
      </w:r>
    </w:p>
    <w:p/>
    <w:p>
      <w:r>
        <w:rPr/>
        <w:t>合同履行期限：合同签订后45天内完成全部货物交货、安装、调试和验收合格</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
      <w:r>
        <w:rPr/>
        <w:t>2）有依法缴纳税收和社会保障资金的良好记录：提供以下证明材料之一：①提供投标截止日前12个月内任意1个月依法缴纳税收和社会保障资金的相关材料；如依法免税或不需要缴纳社会保障资金的，提供相应证明材料；②提供加盖供应商公章的《政府采购供应商资格信用承诺函》（详见采购公告附件）；</w:t>
      </w:r>
    </w:p>
    <w:p/>
    <w:p>
      <w:r>
        <w:rPr/>
        <w:t>3）具有良好的商业信誉和健全的财务会计制度：提供以下证明材料之一：①提供2021年度或2022年度经审计的财务状况报告或基本开户行（或基本存款账户行）出具的资信证明，或最近一期财务报表（适用在上一年度或本财务年度成立的法人或其他组织），或人民银行出具的个人信用报告（适用于自然人）；②提供加盖供应商公章的《政府采购供应商资格信用承诺函》（详见采购公告附件）；</w:t>
      </w:r>
    </w:p>
    <w:p/>
    <w:p>
      <w:r>
        <w:rPr/>
        <w:t>4）履行合同所必需的设备和专业技术能力：按投标（响应）文件格式填报设备及专业技术能力情况；</w:t>
      </w:r>
    </w:p>
    <w:p/>
    <w:p>
      <w:r>
        <w:rPr/>
        <w:t>5）参加采购活动前3年内，在经营活动中没有重大违法记录：参照投标函相关承诺格式内容或提供加盖供应商公章的《政府采购供应商资格信用承诺函》（详见采购公告附件）。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p/>
    <w:p>
      <w:r>
        <w:rPr>
          <w:b/>
          <w:sz w:val="24"/>
        </w:rPr>
        <w:t>2.落实政府采购政策需满足的资格要求：</w:t>
      </w:r>
    </w:p>
    <w:p>
      <w:pPr>
        <w:ind w:firstLine="480"/>
      </w:pPr>
    </w:p>
    <w:p>
      <w:pPr>
        <w:jc w:val="left"/>
      </w:pPr>
    </w:p>
    <w:p>
      <w:r>
        <w:rPr/>
        <w:t>采购包1（血管内超声系统）：</w:t>
      </w:r>
      <w:r>
        <w:rPr/>
        <w:t>采购包整体专门面向中小企业。本项目属于整体预留专门面向中小企业采购的项目（采购包），供应商提供的货物须全部由中小企业生产且使用该中小企业商号或注册商标，该中小企业须符合本项目采购标的对应行业（本项目行业为：工业）的政策划分标准（监狱企业、残疾人福利性单位视同小微企业）。中小企业以供应商提供的《中小企业声明函（货物）》为判定标准；残疾人福利性单位以供应商提供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采购包1（血管内超声系统）：</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资格审查期间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采购包）投标；（参照投标（报价）函相关承诺格式内容）</w:t>
      </w:r>
    </w:p>
    <w:p/>
    <w:p>
      <w:r>
        <w:rPr/>
        <w:t>3)本项目采购标的物为第三类医疗器械，如投标人为所投产品的生产企业，须提供监督管理部门签发的有效的《医疗器械生产许可证》复印件（如国家另有规定，则适用其规定）；如投标人为所投产品的代理商或经销商，须提供监督管理部门签发的有效的《医疗器械经营许可证》复印件（如国家另有规定，则适用其规定）；</w:t>
      </w:r>
    </w:p>
    <w:p/>
    <w:p>
      <w:r>
        <w:rPr/>
        <w:t>4)本项目不接受联合体投标。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佛山市公共资源交易网（http://ggzy.foshan.gov.cn/），佛山市南海区人民政府网(http://www.nanhai.gov.cn)，广东华伦招标有限公司南海分公司网（https://www.gdhualun.com.cn/）</w:t>
      </w:r>
    </w:p>
    <w:p>
      <w:r>
        <w:rPr>
          <w:b/>
          <w:sz w:val="28"/>
        </w:rPr>
        <w:t>六.本项目联系方式：</w:t>
      </w:r>
    </w:p>
    <w:p>
      <w:r>
        <w:rPr>
          <w:b/>
          <w:sz w:val="24"/>
        </w:rPr>
        <w:t>1.采购人信息</w:t>
      </w:r>
    </w:p>
    <w:p>
      <w:pPr>
        <w:ind w:firstLine="480"/>
      </w:pPr>
      <w:r>
        <w:rPr/>
        <w:t>名称：</w:t>
      </w:r>
      <w:r>
        <w:rPr/>
        <w:t>佛山市南海区第五人民医院</w:t>
      </w:r>
    </w:p>
    <w:p>
      <w:pPr>
        <w:ind w:firstLine="480"/>
      </w:pPr>
      <w:r>
        <w:rPr/>
        <w:t>地址：</w:t>
      </w:r>
      <w:r>
        <w:rPr/>
        <w:t>佛山市南海区大沥镇钟边路63号</w:t>
      </w:r>
    </w:p>
    <w:p>
      <w:pPr>
        <w:ind w:firstLine="480"/>
      </w:pPr>
      <w:r>
        <w:rPr/>
        <w:t>联系方式：</w:t>
      </w:r>
      <w:r>
        <w:rPr/>
        <w:t>0757-81093051</w:t>
      </w:r>
    </w:p>
    <w:p>
      <w:r>
        <w:rPr>
          <w:b/>
          <w:sz w:val="24"/>
        </w:rPr>
        <w:t>2.采购代理机构信息</w:t>
      </w:r>
    </w:p>
    <w:p>
      <w:pPr>
        <w:ind w:firstLine="480"/>
      </w:pPr>
      <w:r>
        <w:rPr/>
        <w:t>名称：</w:t>
      </w:r>
      <w:r>
        <w:rPr/>
        <w:t>广东华伦招标有限公司南海分公司</w:t>
      </w:r>
    </w:p>
    <w:p>
      <w:pPr>
        <w:ind w:firstLine="480"/>
      </w:pPr>
      <w:r>
        <w:rPr/>
        <w:t>地址：</w:t>
      </w:r>
      <w:r>
        <w:rPr/>
        <w:t>广东省佛山市南海区大沥镇盐步富华北街1号美的德贤大厦418铺</w:t>
      </w:r>
    </w:p>
    <w:p>
      <w:pPr>
        <w:ind w:firstLine="480"/>
      </w:pPr>
      <w:r>
        <w:rPr/>
        <w:t>联系方式：</w:t>
      </w:r>
      <w:r>
        <w:rPr/>
        <w:t>020-83172166-821</w:t>
      </w:r>
    </w:p>
    <w:p>
      <w:r>
        <w:rPr>
          <w:b/>
          <w:sz w:val="24"/>
        </w:rPr>
        <w:t>3.项目联系方式</w:t>
      </w:r>
    </w:p>
    <w:p>
      <w:pPr>
        <w:ind w:firstLine="480"/>
      </w:pPr>
      <w:r>
        <w:rPr/>
        <w:t>项目联系人：</w:t>
      </w:r>
      <w:r>
        <w:rPr/>
        <w:t>广东华伦招标有限公司南海分公司</w:t>
      </w:r>
    </w:p>
    <w:p>
      <w:pPr>
        <w:ind w:firstLine="480"/>
      </w:pPr>
      <w:r>
        <w:rPr/>
        <w:t>电话：</w:t>
      </w:r>
      <w:r>
        <w:rPr/>
        <w:t>020-83172166-821</w:t>
      </w:r>
    </w:p>
    <w:p>
      <w:r>
        <w:rPr>
          <w:b/>
          <w:sz w:val="24"/>
        </w:rPr>
        <w:t>4.技术支持联系方式</w:t>
      </w:r>
    </w:p>
    <w:p>
      <w:pPr>
        <w:ind w:firstLine="480"/>
      </w:pPr>
      <w:r>
        <w:rPr/>
        <w:t>云平台联系方式：020-88696588</w:t>
      </w:r>
    </w:p>
    <w:p>
      <w:r>
        <w:rPr/>
        <w:t>采购代理机构：</w:t>
      </w:r>
      <w:r>
        <w:rPr/>
        <w:t>广东华伦招标有限公司南海分公司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1"/>
        </w:rPr>
        <w:t>1.项目属性：货物类</w:t>
      </w:r>
    </w:p>
    <w:p>
      <w:pPr>
        <w:ind w:firstLine="480"/>
        <w:jc w:val="both"/>
      </w:pPr>
      <w:r>
        <w:rPr>
          <w:sz w:val="21"/>
        </w:rPr>
        <w:t>2.凡标有“★”的为关键的商务、技术指标要求，必须完全满足这些要求，未达到这些指标要求的将导致投标无效；标“▲”号的为比较重要的商务、技术指标，未达到这些指标要求的将被严重扣分，但不会导致投标无效。</w:t>
      </w:r>
    </w:p>
    <w:p>
      <w:pPr>
        <w:ind w:firstLine="480"/>
        <w:jc w:val="both"/>
      </w:pPr>
      <w:r>
        <w:rPr>
          <w:sz w:val="21"/>
        </w:rPr>
        <w:t>3.投标人必须对包内所有内容进行投标，不允许只对包内其中部分内容进行投标。</w:t>
      </w:r>
    </w:p>
    <w:p>
      <w:pPr>
        <w:ind w:firstLine="480"/>
        <w:jc w:val="both"/>
      </w:pPr>
      <w:r>
        <w:rPr>
          <w:sz w:val="21"/>
        </w:rPr>
        <w:t>4.根据《关于印发中小企业划型标准规定的通知》（工信部联企业〔2011〕300号）规定，本项目采购标的对应的中小企业划分标准所属行业为：</w:t>
      </w:r>
      <w:r>
        <w:rPr>
          <w:b/>
          <w:sz w:val="21"/>
          <w:u w:val="single"/>
        </w:rPr>
        <w:t>工业</w:t>
      </w:r>
      <w:r>
        <w:rPr>
          <w:sz w:val="21"/>
        </w:rPr>
        <w:t>。</w:t>
      </w:r>
    </w:p>
    <w:p>
      <w:pPr>
        <w:ind w:firstLine="480"/>
        <w:jc w:val="both"/>
      </w:pPr>
      <w:r>
        <w:rPr>
          <w:sz w:val="21"/>
        </w:rPr>
        <w:t>5.需要落实的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pPr>
        <w:ind w:firstLine="480"/>
        <w:jc w:val="both"/>
      </w:pPr>
      <w:r>
        <w:rPr>
          <w:sz w:val="21"/>
        </w:rPr>
        <w:t>6.</w:t>
      </w:r>
      <w:r>
        <w:rPr>
          <w:sz w:val="21"/>
        </w:rPr>
        <w:t>凡属于《中华人民共和国实施强制性产品认证的产品目录》的产品，供应商应在投标（响应）文件中提供该产品的</w:t>
      </w:r>
      <w:r>
        <w:rPr>
          <w:sz w:val="21"/>
        </w:rPr>
        <w:t>“中国强制性产品认证”（CCC认证）证书复印件以及在全国认证认可信息公共服务平台上http://cx.cnca.cn查询结果的截图（证书状态必须为“有效”），否则其投标（响应）无效。</w:t>
      </w:r>
    </w:p>
    <w:p>
      <w:pPr>
        <w:ind w:firstLine="480"/>
        <w:jc w:val="both"/>
      </w:pPr>
      <w:r>
        <w:rPr>
          <w:sz w:val="21"/>
        </w:rPr>
        <w:t>7.</w:t>
      </w:r>
      <w:r>
        <w:rPr>
          <w:sz w:val="21"/>
        </w:rPr>
        <w:t>节能产品的优先采购和强制采购以财政部、发展改革委、生态环境部等部门公布的最新《节能产品政府采购品目清单》中所列产品及相关规定为准。属于《节能产品政府采购品目清单》范围产品类别的，供应商应填写《政策适用性说明》（见投标（响应）文件格式）明确列明具体产品的名称并提交国家确定的认证机构出具的处于有效期之内的节能产品认证证书复印件以及在全国认证认可信息公共服务平台上</w:t>
      </w:r>
      <w:r>
        <w:rPr>
          <w:sz w:val="21"/>
        </w:rPr>
        <w:t>http://cx.cnca.cn查询结果的截图（证书状态必须为“有效”）。供应商可查询中国政府采购网（网址 http://www.ccgp.gov.cn）了解《节能产品政府采购品目清单》，属于《节能产品政府采购品目清单》范围中政府强制采购产品类别的，为实质性条款，若有负偏离或不满足则导致投标（响应）无效。强制采购节能产品在价格评审中不作价格扣除。</w:t>
      </w:r>
    </w:p>
    <w:p>
      <w:pPr>
        <w:ind w:firstLine="480"/>
        <w:jc w:val="both"/>
      </w:pPr>
      <w:r>
        <w:rPr>
          <w:sz w:val="21"/>
        </w:rPr>
        <w:t>8.</w:t>
      </w:r>
      <w:r>
        <w:rPr>
          <w:sz w:val="21"/>
        </w:rPr>
        <w:t>环境标志产品采购以财政部、发展改革委、生态环境部等部门公布的最新《环境标志产品政府采购品目清单》中所列产品及相关规定为准。属于《环境标志产品政府采购品目清单》范围产品类别的，供应商应填写《政策适用性说明》（见投标（响应）文件格式）明确列明具体产品的名称并提交国家确定的认证机构出具的处于有效期之内的环境标志产品认证证书复印件以及在全国认证认可信息公共服务平台上</w:t>
      </w:r>
      <w:r>
        <w:rPr>
          <w:sz w:val="21"/>
        </w:rPr>
        <w:t>http://cx.cnca.cn查询结果的截图（证书状态必须为“有效”）。供应商可查询中国政府采购网（网址http://www.ccgp.gov.cn）了解《环境标志产品政府采购品目清单》。</w:t>
      </w:r>
    </w:p>
    <w:p>
      <w:pPr>
        <w:ind w:firstLine="480"/>
        <w:jc w:val="both"/>
      </w:pPr>
      <w:r>
        <w:rPr>
          <w:sz w:val="21"/>
        </w:rPr>
        <w:t>9</w:t>
      </w:r>
      <w:r>
        <w:rPr>
          <w:sz w:val="21"/>
        </w:rPr>
        <w:t>.采购内容清单</w:t>
      </w:r>
    </w:p>
    <w:p>
      <w:pPr>
        <w:ind w:firstLine="480"/>
        <w:jc w:val="both"/>
      </w:pPr>
      <w:r>
        <w:rPr>
          <w:sz w:val="21"/>
        </w:rPr>
        <w:t>采购包</w:t>
      </w:r>
      <w:r>
        <w:rPr>
          <w:sz w:val="21"/>
        </w:rPr>
        <w:t>1（</w:t>
      </w:r>
      <w:r>
        <w:rPr>
          <w:sz w:val="21"/>
        </w:rPr>
        <w:t>血管内超声系统</w:t>
      </w:r>
      <w:r>
        <w:rPr>
          <w:sz w:val="21"/>
        </w:rPr>
        <w:t>）采购内容清单：</w:t>
      </w:r>
    </w:p>
    <w:tbl>
      <w:tblPr>
        <w:tblW w:w="0" w:type="auto"/>
        <w:tblInd w:type="dxa" w:w="165"/>
        <w:tblBorders>
          <w:top w:val="none" w:color="000000" w:sz="4"/>
          <w:left w:val="none" w:color="000000" w:sz="4"/>
          <w:bottom w:val="none" w:color="000000" w:sz="4"/>
          <w:right w:val="none" w:color="000000" w:sz="4"/>
          <w:insideH w:val="none"/>
          <w:insideV w:val="none"/>
        </w:tblBorders>
      </w:tblPr>
      <w:tblGrid>
        <w:gridCol w:w="2745"/>
        <w:gridCol w:w="1677"/>
        <w:gridCol w:w="1885"/>
        <w:gridCol w:w="1969"/>
      </w:tblGrid>
      <w:tr>
        <w:tc>
          <w:tcPr>
            <w:tcW w:type="dxa" w:w="2745"/>
            <w:tcBorders>
              <w:top w:val="single" w:color="000000" w:sz="4"/>
              <w:left w:val="single" w:color="000000" w:sz="4"/>
              <w:bottom w:val="single" w:color="000000" w:sz="4"/>
              <w:right w:val="single" w:color="000000" w:sz="4"/>
            </w:tcBorders>
            <w:vAlign w:val="top"/>
          </w:tcPr>
          <w:p>
            <w:pPr>
              <w:jc w:val="center"/>
            </w:pPr>
            <w:r>
              <w:rPr>
                <w:sz w:val="21"/>
              </w:rPr>
              <w:t>项目内容</w:t>
            </w:r>
          </w:p>
        </w:tc>
        <w:tc>
          <w:tcPr>
            <w:tcW w:type="dxa" w:w="1677"/>
            <w:tcBorders>
              <w:top w:val="single" w:color="000000" w:sz="4"/>
              <w:left w:val="none" w:color="000000" w:sz="4"/>
              <w:bottom w:val="single" w:color="000000" w:sz="4"/>
              <w:right w:val="single" w:color="000000" w:sz="4"/>
            </w:tcBorders>
            <w:vAlign w:val="top"/>
          </w:tcPr>
          <w:p>
            <w:pPr>
              <w:jc w:val="center"/>
            </w:pPr>
            <w:r>
              <w:rPr>
                <w:sz w:val="21"/>
              </w:rPr>
              <w:t>数量（单位）</w:t>
            </w:r>
          </w:p>
        </w:tc>
        <w:tc>
          <w:tcPr>
            <w:tcW w:type="dxa" w:w="1885"/>
            <w:tcBorders>
              <w:top w:val="single" w:color="000000" w:sz="4"/>
              <w:left w:val="none" w:color="000000" w:sz="4"/>
              <w:bottom w:val="single" w:color="000000" w:sz="4"/>
              <w:right w:val="single" w:color="000000" w:sz="4"/>
            </w:tcBorders>
            <w:vAlign w:val="top"/>
          </w:tcPr>
          <w:p>
            <w:pPr>
              <w:jc w:val="center"/>
            </w:pPr>
            <w:r>
              <w:rPr>
                <w:sz w:val="21"/>
              </w:rPr>
              <w:t>项目预算</w:t>
            </w:r>
          </w:p>
          <w:p>
            <w:pPr>
              <w:jc w:val="center"/>
            </w:pPr>
            <w:r>
              <w:rPr>
                <w:sz w:val="21"/>
              </w:rPr>
              <w:t>(人民币：元)</w:t>
            </w:r>
          </w:p>
        </w:tc>
        <w:tc>
          <w:tcPr>
            <w:tcW w:type="dxa" w:w="1969"/>
            <w:tcBorders>
              <w:top w:val="single" w:color="000000" w:sz="4"/>
              <w:left w:val="none" w:color="000000" w:sz="4"/>
              <w:bottom w:val="single" w:color="000000" w:sz="4"/>
              <w:right w:val="single" w:color="000000" w:sz="4"/>
            </w:tcBorders>
            <w:vAlign w:val="top"/>
          </w:tcPr>
          <w:p>
            <w:pPr>
              <w:jc w:val="center"/>
            </w:pPr>
            <w:r>
              <w:rPr>
                <w:sz w:val="21"/>
              </w:rPr>
              <w:t>是否允许进口产品</w:t>
            </w:r>
          </w:p>
        </w:tc>
      </w:tr>
      <w:tr>
        <w:tc>
          <w:tcPr>
            <w:tcW w:type="dxa" w:w="2745"/>
            <w:tcBorders>
              <w:top w:val="none" w:color="000000" w:sz="4"/>
              <w:left w:val="single" w:color="000000" w:sz="4"/>
              <w:bottom w:val="single" w:color="000000" w:sz="4"/>
              <w:right w:val="single" w:color="000000" w:sz="4"/>
            </w:tcBorders>
            <w:vAlign w:val="top"/>
          </w:tcPr>
          <w:p>
            <w:pPr>
              <w:jc w:val="center"/>
            </w:pPr>
            <w:r>
              <w:rPr>
                <w:sz w:val="21"/>
              </w:rPr>
              <w:t>血管内超声系统</w:t>
            </w:r>
          </w:p>
        </w:tc>
        <w:tc>
          <w:tcPr>
            <w:tcW w:type="dxa" w:w="167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885"/>
            <w:tcBorders>
              <w:top w:val="none" w:color="000000" w:sz="4"/>
              <w:left w:val="none" w:color="000000" w:sz="4"/>
              <w:bottom w:val="single" w:color="000000" w:sz="4"/>
              <w:right w:val="single" w:color="000000" w:sz="4"/>
            </w:tcBorders>
            <w:vAlign w:val="top"/>
          </w:tcPr>
          <w:p>
            <w:pPr>
              <w:jc w:val="center"/>
            </w:pPr>
            <w:r>
              <w:rPr>
                <w:sz w:val="21"/>
              </w:rPr>
              <w:t>1,195,166.67</w:t>
            </w:r>
          </w:p>
        </w:tc>
        <w:tc>
          <w:tcPr>
            <w:tcW w:type="dxa" w:w="1969"/>
            <w:tcBorders>
              <w:top w:val="none" w:color="000000" w:sz="4"/>
              <w:left w:val="none" w:color="000000" w:sz="4"/>
              <w:bottom w:val="single" w:color="000000" w:sz="4"/>
              <w:right w:val="single" w:color="000000" w:sz="4"/>
            </w:tcBorders>
            <w:vAlign w:val="top"/>
          </w:tcPr>
          <w:p>
            <w:pPr>
              <w:jc w:val="center"/>
            </w:pPr>
            <w:r>
              <w:rPr>
                <w:sz w:val="21"/>
              </w:rPr>
              <w:t>否</w:t>
            </w:r>
          </w:p>
        </w:tc>
      </w:tr>
    </w:tbl>
    <w:p>
      <w:pPr>
        <w:jc w:val="both"/>
      </w:pPr>
    </w:p>
    <w:p>
      <w:pPr>
        <w:jc w:val="both"/>
      </w:pPr>
    </w:p>
    <w:p>
      <w:pPr>
        <w:jc w:val="both"/>
      </w:pPr>
      <w:r>
        <w:rPr/>
        <w:t xml:space="preserve"> </w:t>
      </w:r>
    </w:p>
    <w:p>
      <w:pPr>
        <w:jc w:val="both"/>
      </w:pPr>
      <w:r>
        <w:rPr/>
        <w:t xml:space="preserve"> </w:t>
      </w:r>
    </w:p>
    <w:p/>
    <w:p>
      <w:pPr>
        <w:ind w:firstLine="480"/>
      </w:pPr>
    </w:p>
    <w:p/>
    <w:p>
      <w:r>
        <w:rPr/>
        <w:t>采购包1（血管内超声系统）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合同签订后45天内完成全部货物交货、安装、调试和验收合格</w:t>
            </w:r>
          </w:p>
        </w:tc>
      </w:tr>
      <w:tr>
        <w:tc>
          <w:tcPr>
            <w:tcW w:type="dxa" w:w="4153"/>
          </w:tcPr>
          <w:p>
            <w:r>
              <w:rPr/>
              <w:t>标的提供的地点</w:t>
            </w:r>
          </w:p>
        </w:tc>
        <w:tc>
          <w:tcPr>
            <w:tcW w:type="dxa" w:w="4153"/>
          </w:tcPr>
          <w:p/>
          <w:p>
            <w:r>
              <w:rPr/>
              <w:t>佛山市南海区第五人民医院（采购人指定地点）</w:t>
            </w:r>
          </w:p>
        </w:tc>
      </w:tr>
      <w:tr>
        <w:tc>
          <w:tcPr>
            <w:tcW w:type="dxa" w:w="4153"/>
          </w:tcPr>
          <w:p>
            <w:r>
              <w:rPr/>
              <w:t>付款方式</w:t>
            </w:r>
          </w:p>
        </w:tc>
        <w:tc>
          <w:tcPr>
            <w:tcW w:type="dxa" w:w="4153"/>
          </w:tcPr>
          <w:p/>
          <w:p/>
          <w:p>
            <w:r>
              <w:rPr/>
              <w:t>1期：支付比例45%,★本合同的每笔款项以人民币支票或银行汇款方式支付，合同设备到采购人指定地点交付并完成安装验收后，中标人凭： 1.合同； 2.验收调试合格报告（验收时间为货到安装完成后一个月内）； 3.开具的正式发票等。 到货安装、调试完成后一个月内由采购人向中标人支付合同款项的45%；</w:t>
            </w:r>
          </w:p>
          <w:p/>
          <w:p>
            <w:r>
              <w:rPr/>
              <w:t>2期：支付比例45%,★验收合格后二个月内由采购人向中标人支付合同款项的45%；</w:t>
            </w:r>
          </w:p>
          <w:p/>
          <w:p>
            <w:r>
              <w:rPr/>
              <w:t>3期：支付比例10%,★余款在验收合格一年后15天内由采购人付清。</w:t>
            </w:r>
          </w:p>
        </w:tc>
      </w:tr>
      <w:tr>
        <w:tc>
          <w:tcPr>
            <w:tcW w:type="dxa" w:w="4153"/>
          </w:tcPr>
          <w:p>
            <w:r>
              <w:rPr/>
              <w:t>验收要求</w:t>
            </w:r>
          </w:p>
        </w:tc>
        <w:tc>
          <w:tcPr>
            <w:tcW w:type="dxa" w:w="4153"/>
          </w:tcPr>
          <w:p/>
          <w:p/>
          <w:p/>
          <w:p>
            <w:r>
              <w:rPr/>
              <w:t>1期：1.货物若有国家标准按照国家标准验收，若无国家标准按行业标准验收，为原制造商制造的全新产品，整机无污染，无侵权行为、表面无划损、无任何缺陷隐患，在中国境内可依常规安全合法使用。 2.货物为原厂商未启封全新包装，具出厂合格证，序列号、包装箱号与出厂批号一致，并可追索查阅。所有随设备的附件必须齐全。 3.中标人应将关键主机设备的用户手册、保修手册、有关单证资料及配备件、随机工具等交付给采购人，使用操作及安全须知等重要资料应附有中文说明。 4.采购人组成验收小组按国家有关规定、规范进行验收，必要时邀请相关的专业人员或机构参与验收。因货物质量问题发生争议时，由采购人所在地质量技术监督部门鉴定。货物符合质量技术标准的，鉴定费由采购人承担；否则鉴定费由中标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报价要求，★投标货币为人民币报价。投标人的投标报价需包含但不限于货物费、运输费、保险费、安装费、技术服务费（含联络费、培训费、调试费、保修费）、随机零配件、标配工具、税费、验收费、质保期服务及不可预见费等完成本招标内容所需的一切费用。中标人在合同期内出现的任何遗漏，均由中标人负责，采购人将不再另外支付任何费用。</w:t>
            </w:r>
          </w:p>
          <w:p/>
          <w:p>
            <w:r>
              <w:rPr/>
              <w:t>二、交货要求，1.交货期：合同签订后45天内完成全部货物交货、安装、调试和验收合格 2.交货地点：佛山市南海区第五人民医院（采购人指定地点）</w:t>
            </w:r>
          </w:p>
          <w:p/>
          <w:p>
            <w:r>
              <w:rPr/>
              <w:t>三、保修期和售后服务要求，1.保修≥3年，自采购人验收合格之日起计算。保修期满后，中标人为设备提供终身维护（有偿），并对器械进行检测和维护。 2.中标人需提供货物的快速操作指引卡、完整厂家操作手册、维修保养手册和图纸（包括光盘等），并提供完整的校验检测专用模具和工具，货物应由具备资格认证的工程师进行现场安装。 3.技术服务培训安排： （1）中标人负责在现场对设备操作人员进行产品特性、构造、工作原理、相关功能的运用操作、日常保养及维护等进行全程示范、操作性专职培训，保证采购人使用人员能够熟练掌握各种设备和软件等常规使用方法，特殊情况需要求到院外进行培训的，所产生食宿及培训费用由中标人承担。 （2）中标人在现场安装及日常维护时负责对采购人维修保养人员进行培训，负责设备的一般维修保养，所需费用包含在投标报价中。 （3）为确保能顺利开展临床相关工作，中标人应随时负责上门进行技术支持；设备验收完毕后对采购人技术人员进行跟踪指导，及时解决使用中遇到的疑难问题，确保设备使用操作正常。 （4）中标人需及时对产品进行技术升级，确保采购人享受厂家所提供的新科技成果，并负责技术指导、培训，所需费用包含在投标报价中。 4.故障维修响应时间：保修期内在接到故障通知后2小时内响应，4小时内到达故障现场检修，如48小时内无法修复，将无偿提供同档次设备给采购人备用，所需费用包含在投标报价中。 5.每次维修或保养前负责工程师事先与采购人沟通，约定具体时间，征求采购人意见，结合实际情况采取最快最有效的方法确保仪器能正常运转。</w:t>
            </w:r>
          </w:p>
          <w:p/>
          <w:p>
            <w:r>
              <w:rPr/>
              <w:t>四、其他要求，1.★所投产品具有相关行政主管部门颁发的有效的医疗器械注册证明； 2.投标人若为所投产品的经销商或代理商（非制造商），需在投标文件中提供有效的制造商或代理商授权书。</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医用超声波仪器及设备</w:t>
            </w:r>
          </w:p>
        </w:tc>
        <w:tc>
          <w:tcPr>
            <w:tcW w:type="dxa" w:w="831"/>
          </w:tcPr>
          <w:p>
            <w:pPr>
              <w:jc w:val="left"/>
            </w:pPr>
            <w:r>
              <w:rPr/>
              <w:t>血管内超声系统</w:t>
            </w:r>
          </w:p>
        </w:tc>
        <w:tc>
          <w:tcPr>
            <w:tcW w:type="dxa" w:w="831"/>
          </w:tcPr>
          <w:p>
            <w:pPr>
              <w:jc w:val="left"/>
            </w:pPr>
            <w:r>
              <w:rPr/>
              <w:t>套</w:t>
            </w:r>
          </w:p>
        </w:tc>
        <w:tc>
          <w:tcPr>
            <w:tcW w:type="dxa" w:w="831"/>
          </w:tcPr>
          <w:p>
            <w:pPr>
              <w:jc w:val="right"/>
            </w:pPr>
            <w:r>
              <w:rPr/>
              <w:t>1.00</w:t>
            </w:r>
          </w:p>
        </w:tc>
        <w:tc>
          <w:tcPr>
            <w:tcW w:type="dxa" w:w="831"/>
          </w:tcPr>
          <w:p>
            <w:pPr>
              <w:jc w:val="right"/>
            </w:pPr>
            <w:r>
              <w:rPr/>
              <w:t>1,195,166.67</w:t>
            </w:r>
          </w:p>
        </w:tc>
        <w:tc>
          <w:tcPr>
            <w:tcW w:type="dxa" w:w="831"/>
          </w:tcPr>
          <w:p>
            <w:pPr>
              <w:jc w:val="right"/>
            </w:pPr>
            <w:r>
              <w:rPr/>
              <w:t>1,195,166.67</w:t>
            </w:r>
          </w:p>
        </w:tc>
        <w:tc>
          <w:tcPr>
            <w:tcW w:type="dxa" w:w="831"/>
          </w:tcPr>
          <w:p>
            <w:r>
              <w:rPr/>
              <w:t>工业</w:t>
            </w:r>
          </w:p>
        </w:tc>
        <w:tc>
          <w:tcPr>
            <w:tcW w:type="dxa" w:w="831"/>
          </w:tcPr>
          <w:p>
            <w:r>
              <w:rPr/>
              <w:t>详见附表一</w:t>
            </w:r>
          </w:p>
        </w:tc>
      </w:tr>
    </w:tbl>
    <w:p/>
    <w:p>
      <w:r>
        <w:rPr>
          <w:b/>
        </w:rPr>
        <w:t>附表</w:t>
      </w:r>
      <w:r>
        <w:rPr>
          <w:b/>
        </w:rPr>
        <w:t>一</w:t>
      </w:r>
      <w:r>
        <w:rPr>
          <w:b/>
        </w:rPr>
        <w:t>：</w:t>
      </w:r>
      <w:r>
        <w:rPr>
          <w:b/>
        </w:rPr>
        <w:t>血管内超声系统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（一）设备硬件要求：</w:t>
            </w:r>
          </w:p>
          <w:p>
            <w:pPr>
              <w:jc w:val="both"/>
            </w:pPr>
            <w:r>
              <w:rPr>
                <w:sz w:val="21"/>
              </w:rPr>
              <w:t>1.多功能介入超声诊断平台，配套FFR（血流储备分数）模块，可用于冠状动脉和心腔内介入治疗。</w:t>
            </w:r>
          </w:p>
        </w:tc>
      </w:tr>
      <w:tr>
        <w:tc>
          <w:tcPr>
            <w:tcW w:type="dxa" w:w="2076"/>
          </w:tcPr>
          <w:p>
            <w:r>
              <w:rPr/>
              <w:t>▲</w:t>
            </w:r>
          </w:p>
        </w:tc>
        <w:tc>
          <w:tcPr>
            <w:tcW w:type="dxa" w:w="415"/>
          </w:tcPr>
          <w:p>
            <w:r>
              <w:rPr/>
              <w:t>2</w:t>
            </w:r>
          </w:p>
        </w:tc>
        <w:tc>
          <w:tcPr>
            <w:tcW w:type="dxa" w:w="5814"/>
          </w:tcPr>
          <w:p>
            <w:pPr>
              <w:jc w:val="both"/>
            </w:pPr>
            <w:r>
              <w:rPr>
                <w:sz w:val="21"/>
              </w:rPr>
              <w:t>2.触摸屏式控制面板，可以显示所有按钮，避免污物流入按键缝隙造成控制界面污染及电子故障。</w:t>
            </w:r>
          </w:p>
        </w:tc>
      </w:tr>
      <w:tr>
        <w:tc>
          <w:tcPr>
            <w:tcW w:type="dxa" w:w="2076"/>
          </w:tcPr>
          <w:p/>
        </w:tc>
        <w:tc>
          <w:tcPr>
            <w:tcW w:type="dxa" w:w="415"/>
          </w:tcPr>
          <w:p>
            <w:r>
              <w:rPr/>
              <w:t>3</w:t>
            </w:r>
          </w:p>
        </w:tc>
        <w:tc>
          <w:tcPr>
            <w:tcW w:type="dxa" w:w="5814"/>
          </w:tcPr>
          <w:p>
            <w:pPr>
              <w:jc w:val="both"/>
            </w:pPr>
            <w:r>
              <w:rPr>
                <w:sz w:val="21"/>
              </w:rPr>
              <w:t>3.配备光电鼠标，通过鼠标进行操作，描绘图像，符合用户习惯。可以通过鼠标滚轮在不同的Frame之间切换。</w:t>
            </w:r>
          </w:p>
        </w:tc>
      </w:tr>
      <w:tr>
        <w:tc>
          <w:tcPr>
            <w:tcW w:type="dxa" w:w="2076"/>
          </w:tcPr>
          <w:p/>
        </w:tc>
        <w:tc>
          <w:tcPr>
            <w:tcW w:type="dxa" w:w="415"/>
          </w:tcPr>
          <w:p>
            <w:r>
              <w:rPr/>
              <w:t>4</w:t>
            </w:r>
          </w:p>
        </w:tc>
        <w:tc>
          <w:tcPr>
            <w:tcW w:type="dxa" w:w="5814"/>
          </w:tcPr>
          <w:p>
            <w:pPr>
              <w:jc w:val="both"/>
            </w:pPr>
            <w:r>
              <w:rPr>
                <w:sz w:val="21"/>
              </w:rPr>
              <w:t>4.内置高速硬盘和专用可移动硬盘，可存储的病人数据≥200例。</w:t>
            </w:r>
          </w:p>
        </w:tc>
      </w:tr>
      <w:tr>
        <w:tc>
          <w:tcPr>
            <w:tcW w:type="dxa" w:w="2076"/>
          </w:tcPr>
          <w:p/>
        </w:tc>
        <w:tc>
          <w:tcPr>
            <w:tcW w:type="dxa" w:w="415"/>
          </w:tcPr>
          <w:p>
            <w:r>
              <w:rPr/>
              <w:t>5</w:t>
            </w:r>
          </w:p>
        </w:tc>
        <w:tc>
          <w:tcPr>
            <w:tcW w:type="dxa" w:w="5814"/>
          </w:tcPr>
          <w:p>
            <w:pPr>
              <w:jc w:val="both"/>
            </w:pPr>
            <w:r>
              <w:rPr>
                <w:sz w:val="21"/>
              </w:rPr>
              <w:t>5.存储方式多样，可以将图像以DICOM 3.0的格式存储于CD,DVD、移动硬盘，并可以上传至网络。</w:t>
            </w:r>
          </w:p>
        </w:tc>
      </w:tr>
      <w:tr>
        <w:tc>
          <w:tcPr>
            <w:tcW w:type="dxa" w:w="2076"/>
          </w:tcPr>
          <w:p/>
        </w:tc>
        <w:tc>
          <w:tcPr>
            <w:tcW w:type="dxa" w:w="415"/>
          </w:tcPr>
          <w:p>
            <w:r>
              <w:rPr/>
              <w:t>6</w:t>
            </w:r>
          </w:p>
        </w:tc>
        <w:tc>
          <w:tcPr>
            <w:tcW w:type="dxa" w:w="5814"/>
          </w:tcPr>
          <w:p>
            <w:pPr>
              <w:jc w:val="both"/>
            </w:pPr>
            <w:r>
              <w:rPr>
                <w:sz w:val="21"/>
              </w:rPr>
              <w:t>6.具有≥19英寸高分辨率彩色LCD显示器，(含内置式麦克风、扬声器)。</w:t>
            </w:r>
          </w:p>
        </w:tc>
      </w:tr>
      <w:tr>
        <w:tc>
          <w:tcPr>
            <w:tcW w:type="dxa" w:w="2076"/>
          </w:tcPr>
          <w:p/>
        </w:tc>
        <w:tc>
          <w:tcPr>
            <w:tcW w:type="dxa" w:w="415"/>
          </w:tcPr>
          <w:p>
            <w:r>
              <w:rPr/>
              <w:t>7</w:t>
            </w:r>
          </w:p>
        </w:tc>
        <w:tc>
          <w:tcPr>
            <w:tcW w:type="dxa" w:w="5814"/>
          </w:tcPr>
          <w:p>
            <w:pPr>
              <w:jc w:val="both"/>
            </w:pPr>
            <w:r>
              <w:rPr>
                <w:sz w:val="21"/>
              </w:rPr>
              <w:t>7.系统处理器：双CPU分布式系统，采集处理器主频不低于2GHz，一级缓存不低于20KB，二级缓存不低于128KB，显像处理器主频不低于3.0GHz，核心数量不低于4个，线程数量不低于4线程，三级缓存不低于6MB。</w:t>
            </w:r>
          </w:p>
        </w:tc>
      </w:tr>
      <w:tr>
        <w:tc>
          <w:tcPr>
            <w:tcW w:type="dxa" w:w="2076"/>
          </w:tcPr>
          <w:p/>
        </w:tc>
        <w:tc>
          <w:tcPr>
            <w:tcW w:type="dxa" w:w="415"/>
          </w:tcPr>
          <w:p>
            <w:r>
              <w:rPr/>
              <w:t>8</w:t>
            </w:r>
          </w:p>
        </w:tc>
        <w:tc>
          <w:tcPr>
            <w:tcW w:type="dxa" w:w="5814"/>
          </w:tcPr>
          <w:p>
            <w:pPr>
              <w:jc w:val="both"/>
            </w:pPr>
            <w:r>
              <w:rPr>
                <w:sz w:val="21"/>
              </w:rPr>
              <w:t>8.配备专业热敏</w:t>
            </w:r>
            <w:r>
              <w:rPr>
                <w:sz w:val="21"/>
              </w:rPr>
              <w:t>彩色</w:t>
            </w:r>
            <w:r>
              <w:rPr>
                <w:sz w:val="21"/>
              </w:rPr>
              <w:t>图文输出设备。</w:t>
            </w:r>
          </w:p>
        </w:tc>
      </w:tr>
      <w:tr>
        <w:tc>
          <w:tcPr>
            <w:tcW w:type="dxa" w:w="2076"/>
          </w:tcPr>
          <w:p/>
        </w:tc>
        <w:tc>
          <w:tcPr>
            <w:tcW w:type="dxa" w:w="415"/>
          </w:tcPr>
          <w:p>
            <w:r>
              <w:rPr/>
              <w:t>9</w:t>
            </w:r>
          </w:p>
        </w:tc>
        <w:tc>
          <w:tcPr>
            <w:tcW w:type="dxa" w:w="5814"/>
          </w:tcPr>
          <w:p>
            <w:pPr>
              <w:jc w:val="both"/>
            </w:pPr>
            <w:r>
              <w:rPr>
                <w:sz w:val="21"/>
              </w:rPr>
              <w:t>9.驱动马达兼具自动回撤和手动回撤功能，可显示回撤距离。自动回撤，回撤速度有0.5mm/s和1mm/s两种模式，自动回撤距离不低于10cm，最大采集数约6000帧图像。手动回撤，最大采集数为6800帧图像。</w:t>
            </w:r>
          </w:p>
        </w:tc>
      </w:tr>
      <w:tr>
        <w:tc>
          <w:tcPr>
            <w:tcW w:type="dxa" w:w="2076"/>
          </w:tcPr>
          <w:p/>
        </w:tc>
        <w:tc>
          <w:tcPr>
            <w:tcW w:type="dxa" w:w="415"/>
          </w:tcPr>
          <w:p>
            <w:r>
              <w:rPr/>
              <w:t>10</w:t>
            </w:r>
          </w:p>
        </w:tc>
        <w:tc>
          <w:tcPr>
            <w:tcW w:type="dxa" w:w="5814"/>
          </w:tcPr>
          <w:p>
            <w:pPr>
              <w:jc w:val="both"/>
            </w:pPr>
            <w:r>
              <w:rPr>
                <w:sz w:val="21"/>
              </w:rPr>
              <w:t>10.移动式系统，配备移动台车。</w:t>
            </w:r>
          </w:p>
        </w:tc>
      </w:tr>
      <w:tr>
        <w:tc>
          <w:tcPr>
            <w:tcW w:type="dxa" w:w="2076"/>
          </w:tcPr>
          <w:p/>
        </w:tc>
        <w:tc>
          <w:tcPr>
            <w:tcW w:type="dxa" w:w="415"/>
          </w:tcPr>
          <w:p>
            <w:r>
              <w:rPr/>
              <w:t>11</w:t>
            </w:r>
          </w:p>
        </w:tc>
        <w:tc>
          <w:tcPr>
            <w:tcW w:type="dxa" w:w="5814"/>
          </w:tcPr>
          <w:p>
            <w:pPr>
              <w:jc w:val="both"/>
            </w:pPr>
            <w:r>
              <w:rPr>
                <w:sz w:val="21"/>
              </w:rPr>
              <w:t>11.蓝牙通信模块的工作频率≥2.4GHz，最大通讯距离可达视距60米；从光学压力导丝输入到Pd out的延迟&lt;25ms，压力导丝采用光学传感器设计，工作长度185cm，可弯曲长度约33cm，并覆盖亲水涂层。</w:t>
            </w:r>
          </w:p>
        </w:tc>
      </w:tr>
      <w:tr>
        <w:tc>
          <w:tcPr>
            <w:tcW w:type="dxa" w:w="2076"/>
          </w:tcPr>
          <w:p/>
        </w:tc>
        <w:tc>
          <w:tcPr>
            <w:tcW w:type="dxa" w:w="415"/>
          </w:tcPr>
          <w:p>
            <w:r>
              <w:rPr/>
              <w:t>12</w:t>
            </w:r>
          </w:p>
        </w:tc>
        <w:tc>
          <w:tcPr>
            <w:tcW w:type="dxa" w:w="5814"/>
          </w:tcPr>
          <w:p>
            <w:pPr>
              <w:jc w:val="both"/>
            </w:pPr>
            <w:r>
              <w:rPr>
                <w:b/>
                <w:sz w:val="21"/>
              </w:rPr>
              <w:t>（二）软件技术要求：</w:t>
            </w:r>
          </w:p>
          <w:p>
            <w:pPr>
              <w:jc w:val="both"/>
            </w:pPr>
            <w:r>
              <w:rPr>
                <w:sz w:val="21"/>
              </w:rPr>
              <w:t>1.具有自动化血管壁和血管内腔测量功能的计算软件，该功能可通过计算机图像分析功能自动检测和识别截面管腔和血管边界。</w:t>
            </w:r>
          </w:p>
        </w:tc>
      </w:tr>
      <w:tr>
        <w:tc>
          <w:tcPr>
            <w:tcW w:type="dxa" w:w="2076"/>
          </w:tcPr>
          <w:p/>
        </w:tc>
        <w:tc>
          <w:tcPr>
            <w:tcW w:type="dxa" w:w="415"/>
          </w:tcPr>
          <w:p>
            <w:r>
              <w:rPr/>
              <w:t>13</w:t>
            </w:r>
          </w:p>
        </w:tc>
        <w:tc>
          <w:tcPr>
            <w:tcW w:type="dxa" w:w="5814"/>
          </w:tcPr>
          <w:p>
            <w:pPr>
              <w:jc w:val="both"/>
            </w:pPr>
            <w:r>
              <w:rPr>
                <w:sz w:val="21"/>
              </w:rPr>
              <w:t>2.具有图像动态回顾功能，反复播放当前位置前后一定帧数范围的图像，组成动态影像，以清晰确定血管腔及血流边界；帧数范围可在3-15范围内调节。</w:t>
            </w:r>
          </w:p>
        </w:tc>
      </w:tr>
      <w:tr>
        <w:tc>
          <w:tcPr>
            <w:tcW w:type="dxa" w:w="2076"/>
          </w:tcPr>
          <w:p/>
        </w:tc>
        <w:tc>
          <w:tcPr>
            <w:tcW w:type="dxa" w:w="415"/>
          </w:tcPr>
          <w:p>
            <w:r>
              <w:rPr/>
              <w:t>14</w:t>
            </w:r>
          </w:p>
        </w:tc>
        <w:tc>
          <w:tcPr>
            <w:tcW w:type="dxa" w:w="5814"/>
          </w:tcPr>
          <w:p>
            <w:pPr>
              <w:jc w:val="both"/>
            </w:pPr>
          </w:p>
          <w:p>
            <w:pPr>
              <w:jc w:val="both"/>
            </w:pPr>
            <w:r>
              <w:rPr>
                <w:sz w:val="21"/>
              </w:rPr>
              <w:t>3.</w:t>
            </w:r>
            <w:r>
              <w:rPr>
                <w:sz w:val="21"/>
              </w:rPr>
              <w:t>具有双图功能：主显示屏上同时显示来自同一回撤不同帧的两幅截面图像。 通过双图，可以查看血管的多个部分，并比较远端和近端图像及病变，它还可以自动显示图像之间的距离。</w:t>
            </w:r>
          </w:p>
          <w:p>
            <w:pPr>
              <w:jc w:val="both"/>
            </w:pPr>
          </w:p>
        </w:tc>
      </w:tr>
      <w:tr>
        <w:tc>
          <w:tcPr>
            <w:tcW w:type="dxa" w:w="2076"/>
          </w:tcPr>
          <w:p/>
        </w:tc>
        <w:tc>
          <w:tcPr>
            <w:tcW w:type="dxa" w:w="415"/>
          </w:tcPr>
          <w:p>
            <w:r>
              <w:rPr/>
              <w:t>15</w:t>
            </w:r>
          </w:p>
        </w:tc>
        <w:tc>
          <w:tcPr>
            <w:tcW w:type="dxa" w:w="5814"/>
          </w:tcPr>
          <w:p>
            <w:pPr>
              <w:jc w:val="both"/>
            </w:pPr>
            <w:r>
              <w:rPr>
                <w:sz w:val="21"/>
              </w:rPr>
              <w:t>4.根据数据处理控件,提供图像处理以帮助除去图像中因血细胞移动反射而形成的“血斑”，使图像更清晰。</w:t>
            </w:r>
          </w:p>
        </w:tc>
      </w:tr>
      <w:tr>
        <w:tc>
          <w:tcPr>
            <w:tcW w:type="dxa" w:w="2076"/>
          </w:tcPr>
          <w:p/>
        </w:tc>
        <w:tc>
          <w:tcPr>
            <w:tcW w:type="dxa" w:w="415"/>
          </w:tcPr>
          <w:p>
            <w:r>
              <w:rPr/>
              <w:t>16</w:t>
            </w:r>
          </w:p>
        </w:tc>
        <w:tc>
          <w:tcPr>
            <w:tcW w:type="dxa" w:w="5814"/>
          </w:tcPr>
          <w:p>
            <w:pPr>
              <w:jc w:val="both"/>
            </w:pPr>
            <w:r>
              <w:rPr>
                <w:sz w:val="21"/>
              </w:rPr>
              <w:t>5.书签：可在任意位置添加书签，数量不限，便于记录并快速查看书签图像。</w:t>
            </w:r>
          </w:p>
        </w:tc>
      </w:tr>
      <w:tr>
        <w:tc>
          <w:tcPr>
            <w:tcW w:type="dxa" w:w="2076"/>
          </w:tcPr>
          <w:p/>
        </w:tc>
        <w:tc>
          <w:tcPr>
            <w:tcW w:type="dxa" w:w="415"/>
          </w:tcPr>
          <w:p>
            <w:r>
              <w:rPr/>
              <w:t>17</w:t>
            </w:r>
          </w:p>
        </w:tc>
        <w:tc>
          <w:tcPr>
            <w:tcW w:type="dxa" w:w="5814"/>
          </w:tcPr>
          <w:p>
            <w:pPr>
              <w:jc w:val="both"/>
            </w:pPr>
            <w:r>
              <w:rPr>
                <w:sz w:val="21"/>
              </w:rPr>
              <w:t>6.书签缩略图：将书签的帧的缩略图显示在截面视图之下，允许您快速地识别并导航到加书签的帧，同时显示相应的截面图像。</w:t>
            </w:r>
          </w:p>
        </w:tc>
      </w:tr>
      <w:tr>
        <w:tc>
          <w:tcPr>
            <w:tcW w:type="dxa" w:w="2076"/>
          </w:tcPr>
          <w:p/>
        </w:tc>
        <w:tc>
          <w:tcPr>
            <w:tcW w:type="dxa" w:w="415"/>
          </w:tcPr>
          <w:p>
            <w:r>
              <w:rPr/>
              <w:t>18</w:t>
            </w:r>
          </w:p>
        </w:tc>
        <w:tc>
          <w:tcPr>
            <w:tcW w:type="dxa" w:w="5814"/>
          </w:tcPr>
          <w:p>
            <w:pPr>
              <w:jc w:val="both"/>
            </w:pPr>
            <w:r>
              <w:rPr>
                <w:sz w:val="21"/>
              </w:rPr>
              <w:t>7.自动书签距离测量：可自动测量书签间距离、当前位置到各书签的距离或者当前位置到参考位置的距离。</w:t>
            </w:r>
          </w:p>
        </w:tc>
      </w:tr>
      <w:tr>
        <w:tc>
          <w:tcPr>
            <w:tcW w:type="dxa" w:w="2076"/>
          </w:tcPr>
          <w:p/>
        </w:tc>
        <w:tc>
          <w:tcPr>
            <w:tcW w:type="dxa" w:w="415"/>
          </w:tcPr>
          <w:p>
            <w:r>
              <w:rPr/>
              <w:t>19</w:t>
            </w:r>
          </w:p>
        </w:tc>
        <w:tc>
          <w:tcPr>
            <w:tcW w:type="dxa" w:w="5814"/>
          </w:tcPr>
          <w:p>
            <w:pPr>
              <w:jc w:val="both"/>
            </w:pPr>
            <w:r>
              <w:rPr>
                <w:sz w:val="21"/>
              </w:rPr>
              <w:t>8.注释:可在图像中任意位置添加注释，注释可自定义，可保存或修改。</w:t>
            </w:r>
          </w:p>
        </w:tc>
      </w:tr>
      <w:tr>
        <w:tc>
          <w:tcPr>
            <w:tcW w:type="dxa" w:w="2076"/>
          </w:tcPr>
          <w:p/>
        </w:tc>
        <w:tc>
          <w:tcPr>
            <w:tcW w:type="dxa" w:w="415"/>
          </w:tcPr>
          <w:p>
            <w:r>
              <w:rPr/>
              <w:t>20</w:t>
            </w:r>
          </w:p>
        </w:tc>
        <w:tc>
          <w:tcPr>
            <w:tcW w:type="dxa" w:w="5814"/>
          </w:tcPr>
          <w:p>
            <w:pPr>
              <w:jc w:val="both"/>
            </w:pPr>
            <w:r>
              <w:rPr>
                <w:sz w:val="21"/>
              </w:rPr>
              <w:t>9.长轴标尺：长轴图像下显示距离标尺，以便于进行测量。</w:t>
            </w:r>
          </w:p>
        </w:tc>
      </w:tr>
      <w:tr>
        <w:tc>
          <w:tcPr>
            <w:tcW w:type="dxa" w:w="2076"/>
          </w:tcPr>
          <w:p>
            <w:r>
              <w:rPr/>
              <w:t>▲</w:t>
            </w:r>
          </w:p>
        </w:tc>
        <w:tc>
          <w:tcPr>
            <w:tcW w:type="dxa" w:w="415"/>
          </w:tcPr>
          <w:p>
            <w:r>
              <w:rPr/>
              <w:t>21</w:t>
            </w:r>
          </w:p>
        </w:tc>
        <w:tc>
          <w:tcPr>
            <w:tcW w:type="dxa" w:w="5814"/>
          </w:tcPr>
          <w:p>
            <w:pPr>
              <w:jc w:val="both"/>
            </w:pPr>
            <w:r>
              <w:rPr>
                <w:sz w:val="21"/>
              </w:rPr>
              <w:t>10.对于图像的任意帧在主机上可以进行多次面积和距离测量：可进行≥3次面积测量和≥9次距离测量。</w:t>
            </w:r>
          </w:p>
        </w:tc>
      </w:tr>
      <w:tr>
        <w:tc>
          <w:tcPr>
            <w:tcW w:type="dxa" w:w="2076"/>
          </w:tcPr>
          <w:p/>
        </w:tc>
        <w:tc>
          <w:tcPr>
            <w:tcW w:type="dxa" w:w="415"/>
          </w:tcPr>
          <w:p>
            <w:r>
              <w:rPr/>
              <w:t>22</w:t>
            </w:r>
          </w:p>
        </w:tc>
        <w:tc>
          <w:tcPr>
            <w:tcW w:type="dxa" w:w="5814"/>
          </w:tcPr>
          <w:p>
            <w:pPr>
              <w:jc w:val="both"/>
            </w:pPr>
            <w:r>
              <w:rPr>
                <w:sz w:val="21"/>
              </w:rPr>
              <w:t>11.可提供图像直接以".wmv"视频输出格式及PNG或者JPG格式的静态图片。</w:t>
            </w:r>
          </w:p>
        </w:tc>
      </w:tr>
      <w:tr>
        <w:tc>
          <w:tcPr>
            <w:tcW w:type="dxa" w:w="2076"/>
          </w:tcPr>
          <w:p/>
        </w:tc>
        <w:tc>
          <w:tcPr>
            <w:tcW w:type="dxa" w:w="415"/>
          </w:tcPr>
          <w:p>
            <w:r>
              <w:rPr/>
              <w:t>23</w:t>
            </w:r>
          </w:p>
        </w:tc>
        <w:tc>
          <w:tcPr>
            <w:tcW w:type="dxa" w:w="5814"/>
          </w:tcPr>
          <w:p>
            <w:pPr>
              <w:jc w:val="both"/>
            </w:pPr>
            <w:r>
              <w:rPr>
                <w:sz w:val="21"/>
              </w:rPr>
              <w:t>12.DICOM 3.0格式病例存档，并提供五种压缩格式：无压缩格式、JEPG Lossless格式 和JEPG HIGH QUALITY格式、JPEG MED QUALITY格式和JPEG LOW QUALITY格式。</w:t>
            </w:r>
          </w:p>
        </w:tc>
      </w:tr>
      <w:tr>
        <w:tc>
          <w:tcPr>
            <w:tcW w:type="dxa" w:w="2076"/>
          </w:tcPr>
          <w:p/>
        </w:tc>
        <w:tc>
          <w:tcPr>
            <w:tcW w:type="dxa" w:w="415"/>
          </w:tcPr>
          <w:p>
            <w:r>
              <w:rPr/>
              <w:t>24</w:t>
            </w:r>
          </w:p>
        </w:tc>
        <w:tc>
          <w:tcPr>
            <w:tcW w:type="dxa" w:w="5814"/>
          </w:tcPr>
          <w:p>
            <w:pPr>
              <w:jc w:val="both"/>
            </w:pPr>
            <w:r>
              <w:rPr>
                <w:sz w:val="21"/>
              </w:rPr>
              <w:t>13.图像降噪模式：具备图像降噪选择模式，可以有效降低图像噪声信号，提高图像分辨率。</w:t>
            </w:r>
          </w:p>
        </w:tc>
      </w:tr>
      <w:tr>
        <w:tc>
          <w:tcPr>
            <w:tcW w:type="dxa" w:w="2076"/>
          </w:tcPr>
          <w:p/>
        </w:tc>
        <w:tc>
          <w:tcPr>
            <w:tcW w:type="dxa" w:w="415"/>
          </w:tcPr>
          <w:p>
            <w:r>
              <w:rPr/>
              <w:t>25</w:t>
            </w:r>
          </w:p>
        </w:tc>
        <w:tc>
          <w:tcPr>
            <w:tcW w:type="dxa" w:w="5814"/>
          </w:tcPr>
          <w:p>
            <w:pPr>
              <w:jc w:val="both"/>
            </w:pPr>
            <w:r>
              <w:rPr>
                <w:sz w:val="21"/>
              </w:rPr>
              <w:t>14.管腔暗度调节模式：具备管腔暗度调节选择模式，通过管腔暗度调节，可以有效得分辨出血液与其他组织。</w:t>
            </w:r>
          </w:p>
        </w:tc>
      </w:tr>
      <w:tr>
        <w:tc>
          <w:tcPr>
            <w:tcW w:type="dxa" w:w="2076"/>
          </w:tcPr>
          <w:p/>
        </w:tc>
        <w:tc>
          <w:tcPr>
            <w:tcW w:type="dxa" w:w="415"/>
          </w:tcPr>
          <w:p>
            <w:r>
              <w:rPr/>
              <w:t>26</w:t>
            </w:r>
          </w:p>
        </w:tc>
        <w:tc>
          <w:tcPr>
            <w:tcW w:type="dxa" w:w="5814"/>
          </w:tcPr>
          <w:p>
            <w:pPr>
              <w:jc w:val="both"/>
            </w:pPr>
            <w:r>
              <w:rPr>
                <w:sz w:val="21"/>
              </w:rPr>
              <w:t>15.长轴标签功能：开启该功能后，长轴远端和近端自动标记，利于术中快速识别。</w:t>
            </w:r>
          </w:p>
        </w:tc>
      </w:tr>
      <w:tr>
        <w:tc>
          <w:tcPr>
            <w:tcW w:type="dxa" w:w="2076"/>
          </w:tcPr>
          <w:p/>
        </w:tc>
        <w:tc>
          <w:tcPr>
            <w:tcW w:type="dxa" w:w="415"/>
          </w:tcPr>
          <w:p>
            <w:r>
              <w:rPr/>
              <w:t>27</w:t>
            </w:r>
          </w:p>
        </w:tc>
        <w:tc>
          <w:tcPr>
            <w:tcW w:type="dxa" w:w="5814"/>
          </w:tcPr>
          <w:p>
            <w:pPr>
              <w:jc w:val="both"/>
            </w:pPr>
            <w:r>
              <w:rPr>
                <w:sz w:val="21"/>
              </w:rPr>
              <w:t>16.病例转换功能：主机上任意病例转换为Demo Case，并可对ID及名字等进行编辑。</w:t>
            </w:r>
          </w:p>
        </w:tc>
      </w:tr>
      <w:tr>
        <w:tc>
          <w:tcPr>
            <w:tcW w:type="dxa" w:w="2076"/>
          </w:tcPr>
          <w:p/>
        </w:tc>
        <w:tc>
          <w:tcPr>
            <w:tcW w:type="dxa" w:w="415"/>
          </w:tcPr>
          <w:p>
            <w:r>
              <w:rPr/>
              <w:t>28</w:t>
            </w:r>
          </w:p>
        </w:tc>
        <w:tc>
          <w:tcPr>
            <w:tcW w:type="dxa" w:w="5814"/>
          </w:tcPr>
          <w:p>
            <w:pPr>
              <w:jc w:val="both"/>
            </w:pPr>
            <w:r>
              <w:rPr>
                <w:sz w:val="21"/>
              </w:rPr>
              <w:t>17.界面扁平化：功能键扁平化设置，快速直接访问/切换软件功能。</w:t>
            </w:r>
          </w:p>
        </w:tc>
      </w:tr>
      <w:tr>
        <w:tc>
          <w:tcPr>
            <w:tcW w:type="dxa" w:w="2076"/>
          </w:tcPr>
          <w:p>
            <w:r>
              <w:rPr/>
              <w:t>▲</w:t>
            </w:r>
          </w:p>
        </w:tc>
        <w:tc>
          <w:tcPr>
            <w:tcW w:type="dxa" w:w="415"/>
          </w:tcPr>
          <w:p>
            <w:r>
              <w:rPr/>
              <w:t>29</w:t>
            </w:r>
          </w:p>
        </w:tc>
        <w:tc>
          <w:tcPr>
            <w:tcW w:type="dxa" w:w="5814"/>
          </w:tcPr>
          <w:p>
            <w:pPr>
              <w:jc w:val="both"/>
            </w:pPr>
            <w:r>
              <w:rPr>
                <w:sz w:val="21"/>
              </w:rPr>
              <w:t>18.用于冠脉血管的超声导管：具有宽带技术的机械旋转式超声导管，频率≥</w:t>
            </w:r>
            <w:r>
              <w:rPr>
                <w:sz w:val="21"/>
              </w:rPr>
              <w:t>50</w:t>
            </w:r>
            <w:r>
              <w:rPr>
                <w:sz w:val="21"/>
              </w:rPr>
              <w:t>MHz，轴向分辨率≤</w:t>
            </w:r>
            <w:r>
              <w:rPr>
                <w:sz w:val="21"/>
              </w:rPr>
              <w:t>24</w:t>
            </w:r>
            <w:r>
              <w:rPr>
                <w:sz w:val="21"/>
              </w:rPr>
              <w:t>微米。</w:t>
            </w:r>
          </w:p>
        </w:tc>
      </w:tr>
      <w:tr>
        <w:tc>
          <w:tcPr>
            <w:tcW w:type="dxa" w:w="2076"/>
          </w:tcPr>
          <w:p/>
        </w:tc>
        <w:tc>
          <w:tcPr>
            <w:tcW w:type="dxa" w:w="415"/>
          </w:tcPr>
          <w:p>
            <w:r>
              <w:rPr/>
              <w:t>30</w:t>
            </w:r>
          </w:p>
        </w:tc>
        <w:tc>
          <w:tcPr>
            <w:tcW w:type="dxa" w:w="5814"/>
          </w:tcPr>
          <w:p>
            <w:pPr>
              <w:jc w:val="both"/>
            </w:pPr>
            <w:r>
              <w:rPr>
                <w:sz w:val="21"/>
              </w:rPr>
              <w:t>19.具有宽带技术的机械旋转式超声导管，频率≥</w:t>
            </w:r>
            <w:r>
              <w:rPr>
                <w:sz w:val="21"/>
              </w:rPr>
              <w:t>50</w:t>
            </w:r>
            <w:r>
              <w:rPr>
                <w:sz w:val="21"/>
              </w:rPr>
              <w:t>MHz, 最大外廓≤3.15F，可兼容5F指引导管。</w:t>
            </w:r>
          </w:p>
        </w:tc>
      </w:tr>
      <w:tr>
        <w:tc>
          <w:tcPr>
            <w:tcW w:type="dxa" w:w="2076"/>
          </w:tcPr>
          <w:p>
            <w:r>
              <w:rPr/>
              <w:t>▲</w:t>
            </w:r>
          </w:p>
        </w:tc>
        <w:tc>
          <w:tcPr>
            <w:tcW w:type="dxa" w:w="415"/>
          </w:tcPr>
          <w:p>
            <w:r>
              <w:rPr/>
              <w:t>31</w:t>
            </w:r>
          </w:p>
        </w:tc>
        <w:tc>
          <w:tcPr>
            <w:tcW w:type="dxa" w:w="5814"/>
          </w:tcPr>
          <w:p>
            <w:pPr>
              <w:jc w:val="both"/>
            </w:pPr>
            <w:r>
              <w:rPr>
                <w:sz w:val="21"/>
              </w:rPr>
              <w:t>20.用于心腔内的超声导管：工作频率≤</w:t>
            </w:r>
            <w:r>
              <w:rPr>
                <w:sz w:val="21"/>
              </w:rPr>
              <w:t>20</w:t>
            </w:r>
            <w:r>
              <w:rPr>
                <w:sz w:val="21"/>
              </w:rPr>
              <w:t>MHz，可以探测心脏腔内各组织成分的形态、比重和质地。</w:t>
            </w:r>
          </w:p>
        </w:tc>
      </w:tr>
      <w:tr>
        <w:tc>
          <w:tcPr>
            <w:tcW w:type="dxa" w:w="2076"/>
          </w:tcPr>
          <w:p/>
        </w:tc>
        <w:tc>
          <w:tcPr>
            <w:tcW w:type="dxa" w:w="415"/>
          </w:tcPr>
          <w:p>
            <w:r>
              <w:rPr/>
              <w:t>32</w:t>
            </w:r>
          </w:p>
        </w:tc>
        <w:tc>
          <w:tcPr>
            <w:tcW w:type="dxa" w:w="5814"/>
          </w:tcPr>
          <w:p>
            <w:pPr>
              <w:jc w:val="both"/>
            </w:pPr>
            <w:r>
              <w:rPr>
                <w:sz w:val="21"/>
              </w:rPr>
              <w:t>21.压力导丝头端3CM不透射线、柔软可塑形；距离头端3cm处安装有光学压力传感器。</w:t>
            </w:r>
          </w:p>
        </w:tc>
      </w:tr>
      <w:tr>
        <w:tc>
          <w:tcPr>
            <w:tcW w:type="dxa" w:w="2076"/>
          </w:tcPr>
          <w:p/>
        </w:tc>
        <w:tc>
          <w:tcPr>
            <w:tcW w:type="dxa" w:w="415"/>
          </w:tcPr>
          <w:p>
            <w:r>
              <w:rPr/>
              <w:t>33</w:t>
            </w:r>
          </w:p>
        </w:tc>
        <w:tc>
          <w:tcPr>
            <w:tcW w:type="dxa" w:w="5814"/>
          </w:tcPr>
          <w:p>
            <w:pPr>
              <w:jc w:val="both"/>
            </w:pPr>
            <w:r>
              <w:rPr>
                <w:sz w:val="21"/>
              </w:rPr>
              <w:t>22.臂用和股用标记位于压力导丝近段，可辅助估算压力导丝相对于远端导管头端的位置，导丝直径0.014″。</w:t>
            </w:r>
          </w:p>
        </w:tc>
      </w:tr>
      <w:tr>
        <w:tc>
          <w:tcPr>
            <w:tcW w:type="dxa" w:w="2076"/>
          </w:tcPr>
          <w:p/>
        </w:tc>
        <w:tc>
          <w:tcPr>
            <w:tcW w:type="dxa" w:w="415"/>
          </w:tcPr>
          <w:p>
            <w:r>
              <w:rPr/>
              <w:t>34</w:t>
            </w:r>
          </w:p>
        </w:tc>
        <w:tc>
          <w:tcPr>
            <w:tcW w:type="dxa" w:w="5814"/>
          </w:tcPr>
          <w:p>
            <w:pPr>
              <w:jc w:val="both"/>
            </w:pPr>
            <w:r>
              <w:rPr>
                <w:sz w:val="21"/>
              </w:rPr>
              <w:t>23.压力导丝通过光缆与信号处理器连接，光缆长度约为2米。</w:t>
            </w:r>
          </w:p>
        </w:tc>
      </w:tr>
      <w:tr>
        <w:tc>
          <w:tcPr>
            <w:tcW w:type="dxa" w:w="2076"/>
          </w:tcPr>
          <w:p/>
        </w:tc>
        <w:tc>
          <w:tcPr>
            <w:tcW w:type="dxa" w:w="415"/>
          </w:tcPr>
          <w:p>
            <w:r>
              <w:rPr/>
              <w:t>35</w:t>
            </w:r>
          </w:p>
        </w:tc>
        <w:tc>
          <w:tcPr>
            <w:tcW w:type="dxa" w:w="5814"/>
          </w:tcPr>
          <w:p>
            <w:pPr>
              <w:jc w:val="both"/>
            </w:pPr>
            <w:r>
              <w:rPr>
                <w:sz w:val="21"/>
              </w:rPr>
              <w:t>24.压力准确性：+/-3%或+/-3mmHg(取较大值)</w:t>
            </w:r>
          </w:p>
        </w:tc>
      </w:tr>
      <w:tr>
        <w:tc>
          <w:tcPr>
            <w:tcW w:type="dxa" w:w="2076"/>
          </w:tcPr>
          <w:p/>
        </w:tc>
        <w:tc>
          <w:tcPr>
            <w:tcW w:type="dxa" w:w="415"/>
          </w:tcPr>
          <w:p>
            <w:r>
              <w:rPr/>
              <w:t>36</w:t>
            </w:r>
          </w:p>
        </w:tc>
        <w:tc>
          <w:tcPr>
            <w:tcW w:type="dxa" w:w="5814"/>
          </w:tcPr>
          <w:p>
            <w:pPr>
              <w:jc w:val="both"/>
            </w:pPr>
            <w:r>
              <w:rPr>
                <w:sz w:val="21"/>
              </w:rPr>
              <w:t>25.压力导丝：</w:t>
            </w:r>
          </w:p>
          <w:p>
            <w:pPr>
              <w:jc w:val="both"/>
            </w:pPr>
            <w:r>
              <w:rPr>
                <w:sz w:val="21"/>
              </w:rPr>
              <w:t>零点热效应：</w:t>
            </w:r>
            <w:r>
              <w:rPr>
                <w:sz w:val="21"/>
              </w:rPr>
              <w:t>0.3mmHg/℃</w:t>
            </w:r>
          </w:p>
          <w:p>
            <w:pPr>
              <w:jc w:val="both"/>
            </w:pPr>
            <w:r>
              <w:rPr>
                <w:sz w:val="21"/>
              </w:rPr>
              <w:t>零点漂移：</w:t>
            </w:r>
            <w:r>
              <w:rPr>
                <w:sz w:val="21"/>
              </w:rPr>
              <w:t>&lt;3mmHg/H</w:t>
            </w:r>
          </w:p>
          <w:p>
            <w:pPr>
              <w:jc w:val="both"/>
            </w:pPr>
            <w:r>
              <w:rPr>
                <w:sz w:val="21"/>
              </w:rPr>
              <w:t>频率响应：</w:t>
            </w:r>
            <w:r>
              <w:rPr>
                <w:sz w:val="21"/>
              </w:rPr>
              <w:t>&gt;25Hz</w:t>
            </w:r>
          </w:p>
          <w:p>
            <w:pPr>
              <w:jc w:val="both"/>
            </w:pPr>
            <w:r>
              <w:rPr>
                <w:sz w:val="21"/>
              </w:rPr>
              <w:t>操作范围：</w:t>
            </w:r>
            <w:r>
              <w:rPr>
                <w:sz w:val="21"/>
              </w:rPr>
              <w:t>-45mmHg至300mmHg</w:t>
            </w:r>
          </w:p>
        </w:tc>
      </w:tr>
      <w:tr>
        <w:tc>
          <w:tcPr>
            <w:tcW w:type="dxa" w:w="2076"/>
          </w:tcPr>
          <w:p/>
        </w:tc>
        <w:tc>
          <w:tcPr>
            <w:tcW w:type="dxa" w:w="415"/>
          </w:tcPr>
          <w:p>
            <w:r>
              <w:rPr/>
              <w:t>37</w:t>
            </w:r>
          </w:p>
        </w:tc>
        <w:tc>
          <w:tcPr>
            <w:tcW w:type="dxa" w:w="5814"/>
          </w:tcPr>
          <w:p>
            <w:pPr>
              <w:jc w:val="both"/>
            </w:pPr>
            <w:r>
              <w:rPr>
                <w:b/>
                <w:sz w:val="21"/>
              </w:rPr>
              <w:t>（三）基本配置要求：</w:t>
            </w:r>
          </w:p>
          <w:tbl>
            <w:tblPr>
              <w:tblInd w:type="dxa" w:w="240"/>
              <w:tblBorders>
                <w:top w:val="none" w:color="000000" w:sz="4"/>
                <w:left w:val="none" w:color="000000" w:sz="4"/>
                <w:bottom w:val="none" w:color="000000" w:sz="4"/>
                <w:right w:val="none" w:color="000000" w:sz="4"/>
                <w:insideH w:val="none"/>
                <w:insideV w:val="none"/>
              </w:tblBorders>
            </w:tblPr>
            <w:tblGrid>
              <w:gridCol w:w="827"/>
              <w:gridCol w:w="2792"/>
              <w:gridCol w:w="892"/>
              <w:gridCol w:w="1060"/>
            </w:tblGrid>
            <w:tr>
              <w:tc>
                <w:tcPr>
                  <w:tcW w:type="dxa" w:w="827"/>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2792"/>
                  <w:tcBorders>
                    <w:top w:val="single" w:color="000000" w:sz="4"/>
                    <w:left w:val="none" w:color="000000" w:sz="4"/>
                    <w:bottom w:val="single" w:color="000000" w:sz="4"/>
                    <w:right w:val="single" w:color="000000" w:sz="4"/>
                  </w:tcBorders>
                  <w:vAlign w:val="top"/>
                </w:tcPr>
                <w:p>
                  <w:pPr>
                    <w:jc w:val="center"/>
                  </w:pPr>
                  <w:r>
                    <w:rPr>
                      <w:b/>
                      <w:sz w:val="24"/>
                    </w:rPr>
                    <w:t>物料名称</w:t>
                  </w:r>
                </w:p>
              </w:tc>
              <w:tc>
                <w:tcPr>
                  <w:tcW w:type="dxa" w:w="892"/>
                  <w:tcBorders>
                    <w:top w:val="single" w:color="000000" w:sz="4"/>
                    <w:left w:val="none" w:color="000000" w:sz="4"/>
                    <w:bottom w:val="single" w:color="000000" w:sz="4"/>
                    <w:right w:val="single" w:color="000000" w:sz="4"/>
                  </w:tcBorders>
                  <w:vAlign w:val="top"/>
                </w:tcPr>
                <w:p>
                  <w:pPr>
                    <w:jc w:val="center"/>
                  </w:pPr>
                  <w:r>
                    <w:rPr>
                      <w:b/>
                      <w:sz w:val="24"/>
                    </w:rPr>
                    <w:t>数量</w:t>
                  </w:r>
                </w:p>
              </w:tc>
              <w:tc>
                <w:tcPr>
                  <w:tcW w:type="dxa" w:w="1060"/>
                  <w:tcBorders>
                    <w:top w:val="single" w:color="000000" w:sz="4"/>
                    <w:left w:val="none" w:color="000000" w:sz="4"/>
                    <w:bottom w:val="single" w:color="000000" w:sz="4"/>
                    <w:right w:val="single" w:color="000000" w:sz="4"/>
                  </w:tcBorders>
                  <w:vAlign w:val="top"/>
                </w:tcPr>
                <w:p>
                  <w:pPr>
                    <w:jc w:val="center"/>
                  </w:pPr>
                  <w:r>
                    <w:rPr>
                      <w:b/>
                      <w:sz w:val="24"/>
                    </w:rPr>
                    <w:t>单位</w:t>
                  </w:r>
                </w:p>
              </w:tc>
            </w:tr>
            <w:tr>
              <w:tc>
                <w:tcPr>
                  <w:tcW w:type="dxa" w:w="827"/>
                  <w:tcBorders>
                    <w:top w:val="none" w:color="000000" w:sz="4"/>
                    <w:left w:val="single" w:color="000000" w:sz="4"/>
                    <w:bottom w:val="single" w:color="000000" w:sz="4"/>
                    <w:right w:val="single" w:color="000000" w:sz="4"/>
                  </w:tcBorders>
                  <w:vAlign w:val="top"/>
                </w:tcPr>
                <w:p>
                  <w:pPr>
                    <w:jc w:val="center"/>
                  </w:pPr>
                  <w:r>
                    <w:rPr>
                      <w:sz w:val="24"/>
                    </w:rPr>
                    <w:t>1</w:t>
                  </w:r>
                </w:p>
              </w:tc>
              <w:tc>
                <w:tcPr>
                  <w:tcW w:type="dxa" w:w="2792"/>
                  <w:tcBorders>
                    <w:top w:val="none" w:color="000000" w:sz="4"/>
                    <w:left w:val="none" w:color="000000" w:sz="4"/>
                    <w:bottom w:val="single" w:color="000000" w:sz="4"/>
                    <w:right w:val="single" w:color="000000" w:sz="4"/>
                  </w:tcBorders>
                  <w:vAlign w:val="top"/>
                </w:tcPr>
                <w:p>
                  <w:pPr>
                    <w:jc w:val="both"/>
                  </w:pPr>
                  <w:r>
                    <w:rPr>
                      <w:sz w:val="24"/>
                    </w:rPr>
                    <w:t>主机</w:t>
                  </w:r>
                </w:p>
              </w:tc>
              <w:tc>
                <w:tcPr>
                  <w:tcW w:type="dxa" w:w="892"/>
                  <w:tcBorders>
                    <w:top w:val="none" w:color="000000" w:sz="4"/>
                    <w:left w:val="none" w:color="000000" w:sz="4"/>
                    <w:bottom w:val="single" w:color="000000" w:sz="4"/>
                    <w:right w:val="single" w:color="000000" w:sz="4"/>
                  </w:tcBorders>
                  <w:vAlign w:val="top"/>
                </w:tcPr>
                <w:p>
                  <w:pPr>
                    <w:jc w:val="center"/>
                  </w:pPr>
                  <w:r>
                    <w:rPr>
                      <w:sz w:val="24"/>
                    </w:rPr>
                    <w:t>1</w:t>
                  </w:r>
                </w:p>
              </w:tc>
              <w:tc>
                <w:tcPr>
                  <w:tcW w:type="dxa" w:w="1060"/>
                  <w:tcBorders>
                    <w:top w:val="none" w:color="000000" w:sz="4"/>
                    <w:left w:val="none" w:color="000000" w:sz="4"/>
                    <w:bottom w:val="single" w:color="000000" w:sz="4"/>
                    <w:right w:val="single" w:color="000000" w:sz="4"/>
                  </w:tcBorders>
                  <w:vAlign w:val="top"/>
                </w:tcPr>
                <w:p>
                  <w:pPr>
                    <w:jc w:val="center"/>
                  </w:pPr>
                  <w:r>
                    <w:rPr>
                      <w:sz w:val="24"/>
                    </w:rPr>
                    <w:t>台</w:t>
                  </w:r>
                </w:p>
              </w:tc>
            </w:tr>
            <w:tr>
              <w:tc>
                <w:tcPr>
                  <w:tcW w:type="dxa" w:w="827"/>
                  <w:tcBorders>
                    <w:top w:val="none" w:color="000000" w:sz="4"/>
                    <w:left w:val="single" w:color="000000" w:sz="4"/>
                    <w:bottom w:val="single" w:color="000000" w:sz="4"/>
                    <w:right w:val="single" w:color="000000" w:sz="4"/>
                  </w:tcBorders>
                  <w:vAlign w:val="top"/>
                </w:tcPr>
                <w:p>
                  <w:pPr>
                    <w:jc w:val="center"/>
                  </w:pPr>
                  <w:r>
                    <w:rPr>
                      <w:sz w:val="24"/>
                    </w:rPr>
                    <w:t>2</w:t>
                  </w:r>
                </w:p>
              </w:tc>
              <w:tc>
                <w:tcPr>
                  <w:tcW w:type="dxa" w:w="2792"/>
                  <w:tcBorders>
                    <w:top w:val="none" w:color="000000" w:sz="4"/>
                    <w:left w:val="none" w:color="000000" w:sz="4"/>
                    <w:bottom w:val="single" w:color="000000" w:sz="4"/>
                    <w:right w:val="single" w:color="000000" w:sz="4"/>
                  </w:tcBorders>
                  <w:vAlign w:val="top"/>
                </w:tcPr>
                <w:p>
                  <w:pPr>
                    <w:jc w:val="both"/>
                  </w:pPr>
                  <w:r>
                    <w:rPr>
                      <w:sz w:val="24"/>
                    </w:rPr>
                    <w:t>移动台车</w:t>
                  </w:r>
                </w:p>
              </w:tc>
              <w:tc>
                <w:tcPr>
                  <w:tcW w:type="dxa" w:w="892"/>
                  <w:tcBorders>
                    <w:top w:val="none" w:color="000000" w:sz="4"/>
                    <w:left w:val="none" w:color="000000" w:sz="4"/>
                    <w:bottom w:val="single" w:color="000000" w:sz="4"/>
                    <w:right w:val="single" w:color="000000" w:sz="4"/>
                  </w:tcBorders>
                  <w:vAlign w:val="top"/>
                </w:tcPr>
                <w:p>
                  <w:pPr>
                    <w:jc w:val="center"/>
                  </w:pPr>
                  <w:r>
                    <w:rPr>
                      <w:sz w:val="24"/>
                    </w:rPr>
                    <w:t>1</w:t>
                  </w:r>
                </w:p>
              </w:tc>
              <w:tc>
                <w:tcPr>
                  <w:tcW w:type="dxa" w:w="1060"/>
                  <w:tcBorders>
                    <w:top w:val="none" w:color="000000" w:sz="4"/>
                    <w:left w:val="none" w:color="000000" w:sz="4"/>
                    <w:bottom w:val="single" w:color="000000" w:sz="4"/>
                    <w:right w:val="single" w:color="000000" w:sz="4"/>
                  </w:tcBorders>
                  <w:vAlign w:val="top"/>
                </w:tcPr>
                <w:p>
                  <w:pPr>
                    <w:jc w:val="center"/>
                  </w:pPr>
                  <w:r>
                    <w:rPr>
                      <w:sz w:val="24"/>
                    </w:rPr>
                    <w:t>台</w:t>
                  </w:r>
                </w:p>
              </w:tc>
            </w:tr>
            <w:tr>
              <w:tc>
                <w:tcPr>
                  <w:tcW w:type="dxa" w:w="827"/>
                  <w:tcBorders>
                    <w:top w:val="none" w:color="000000" w:sz="4"/>
                    <w:left w:val="single" w:color="000000" w:sz="4"/>
                    <w:bottom w:val="single" w:color="000000" w:sz="4"/>
                    <w:right w:val="single" w:color="000000" w:sz="4"/>
                  </w:tcBorders>
                  <w:vAlign w:val="top"/>
                </w:tcPr>
                <w:p>
                  <w:pPr>
                    <w:jc w:val="center"/>
                  </w:pPr>
                  <w:r>
                    <w:rPr>
                      <w:sz w:val="24"/>
                    </w:rPr>
                    <w:t>3</w:t>
                  </w:r>
                </w:p>
              </w:tc>
              <w:tc>
                <w:tcPr>
                  <w:tcW w:type="dxa" w:w="2792"/>
                  <w:tcBorders>
                    <w:top w:val="none" w:color="000000" w:sz="4"/>
                    <w:left w:val="none" w:color="000000" w:sz="4"/>
                    <w:bottom w:val="single" w:color="000000" w:sz="4"/>
                    <w:right w:val="single" w:color="000000" w:sz="4"/>
                  </w:tcBorders>
                  <w:vAlign w:val="top"/>
                </w:tcPr>
                <w:p>
                  <w:pPr>
                    <w:jc w:val="both"/>
                  </w:pPr>
                  <w:r>
                    <w:rPr>
                      <w:sz w:val="24"/>
                    </w:rPr>
                    <w:t>图像显示屏</w:t>
                  </w:r>
                </w:p>
              </w:tc>
              <w:tc>
                <w:tcPr>
                  <w:tcW w:type="dxa" w:w="892"/>
                  <w:tcBorders>
                    <w:top w:val="none" w:color="000000" w:sz="4"/>
                    <w:left w:val="none" w:color="000000" w:sz="4"/>
                    <w:bottom w:val="single" w:color="000000" w:sz="4"/>
                    <w:right w:val="single" w:color="000000" w:sz="4"/>
                  </w:tcBorders>
                  <w:vAlign w:val="top"/>
                </w:tcPr>
                <w:p>
                  <w:pPr>
                    <w:jc w:val="center"/>
                  </w:pPr>
                  <w:r>
                    <w:rPr>
                      <w:sz w:val="24"/>
                    </w:rPr>
                    <w:t>1</w:t>
                  </w:r>
                </w:p>
              </w:tc>
              <w:tc>
                <w:tcPr>
                  <w:tcW w:type="dxa" w:w="1060"/>
                  <w:tcBorders>
                    <w:top w:val="none" w:color="000000" w:sz="4"/>
                    <w:left w:val="none" w:color="000000" w:sz="4"/>
                    <w:bottom w:val="single" w:color="000000" w:sz="4"/>
                    <w:right w:val="single" w:color="000000" w:sz="4"/>
                  </w:tcBorders>
                  <w:vAlign w:val="top"/>
                </w:tcPr>
                <w:p>
                  <w:pPr>
                    <w:jc w:val="center"/>
                  </w:pPr>
                  <w:r>
                    <w:rPr>
                      <w:sz w:val="24"/>
                    </w:rPr>
                    <w:t>台</w:t>
                  </w:r>
                </w:p>
              </w:tc>
            </w:tr>
            <w:tr>
              <w:tc>
                <w:tcPr>
                  <w:tcW w:type="dxa" w:w="827"/>
                  <w:tcBorders>
                    <w:top w:val="none" w:color="000000" w:sz="4"/>
                    <w:left w:val="single" w:color="000000" w:sz="4"/>
                    <w:bottom w:val="single" w:color="000000" w:sz="4"/>
                    <w:right w:val="single" w:color="000000" w:sz="4"/>
                  </w:tcBorders>
                  <w:vAlign w:val="top"/>
                </w:tcPr>
                <w:p>
                  <w:pPr>
                    <w:jc w:val="center"/>
                  </w:pPr>
                  <w:r>
                    <w:rPr>
                      <w:sz w:val="24"/>
                    </w:rPr>
                    <w:t>4</w:t>
                  </w:r>
                </w:p>
              </w:tc>
              <w:tc>
                <w:tcPr>
                  <w:tcW w:type="dxa" w:w="2792"/>
                  <w:tcBorders>
                    <w:top w:val="none" w:color="000000" w:sz="4"/>
                    <w:left w:val="none" w:color="000000" w:sz="4"/>
                    <w:bottom w:val="single" w:color="000000" w:sz="4"/>
                    <w:right w:val="single" w:color="000000" w:sz="4"/>
                  </w:tcBorders>
                  <w:vAlign w:val="top"/>
                </w:tcPr>
                <w:p>
                  <w:pPr>
                    <w:jc w:val="both"/>
                  </w:pPr>
                  <w:r>
                    <w:rPr>
                      <w:sz w:val="24"/>
                    </w:rPr>
                    <w:t>采集处理器</w:t>
                  </w:r>
                </w:p>
              </w:tc>
              <w:tc>
                <w:tcPr>
                  <w:tcW w:type="dxa" w:w="892"/>
                  <w:tcBorders>
                    <w:top w:val="none" w:color="000000" w:sz="4"/>
                    <w:left w:val="none" w:color="000000" w:sz="4"/>
                    <w:bottom w:val="single" w:color="000000" w:sz="4"/>
                    <w:right w:val="single" w:color="000000" w:sz="4"/>
                  </w:tcBorders>
                  <w:vAlign w:val="top"/>
                </w:tcPr>
                <w:p>
                  <w:pPr>
                    <w:jc w:val="center"/>
                  </w:pPr>
                  <w:r>
                    <w:rPr>
                      <w:sz w:val="24"/>
                    </w:rPr>
                    <w:t>1</w:t>
                  </w:r>
                </w:p>
              </w:tc>
              <w:tc>
                <w:tcPr>
                  <w:tcW w:type="dxa" w:w="1060"/>
                  <w:tcBorders>
                    <w:top w:val="none" w:color="000000" w:sz="4"/>
                    <w:left w:val="none" w:color="000000" w:sz="4"/>
                    <w:bottom w:val="single" w:color="000000" w:sz="4"/>
                    <w:right w:val="single" w:color="000000" w:sz="4"/>
                  </w:tcBorders>
                  <w:vAlign w:val="top"/>
                </w:tcPr>
                <w:p>
                  <w:pPr>
                    <w:jc w:val="center"/>
                  </w:pPr>
                  <w:r>
                    <w:rPr>
                      <w:sz w:val="24"/>
                    </w:rPr>
                    <w:t>台</w:t>
                  </w:r>
                </w:p>
              </w:tc>
            </w:tr>
            <w:tr>
              <w:tc>
                <w:tcPr>
                  <w:tcW w:type="dxa" w:w="82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2792"/>
                  <w:tcBorders>
                    <w:top w:val="none" w:color="000000" w:sz="4"/>
                    <w:left w:val="none" w:color="000000" w:sz="4"/>
                    <w:bottom w:val="single" w:color="000000" w:sz="4"/>
                    <w:right w:val="single" w:color="000000" w:sz="4"/>
                  </w:tcBorders>
                  <w:vAlign w:val="top"/>
                </w:tcPr>
                <w:p>
                  <w:pPr>
                    <w:jc w:val="both"/>
                  </w:pPr>
                  <w:r>
                    <w:rPr>
                      <w:sz w:val="24"/>
                    </w:rPr>
                    <w:t>显像处理器</w:t>
                  </w:r>
                </w:p>
              </w:tc>
              <w:tc>
                <w:tcPr>
                  <w:tcW w:type="dxa" w:w="892"/>
                  <w:tcBorders>
                    <w:top w:val="none" w:color="000000" w:sz="4"/>
                    <w:left w:val="none" w:color="000000" w:sz="4"/>
                    <w:bottom w:val="single" w:color="000000" w:sz="4"/>
                    <w:right w:val="single" w:color="000000" w:sz="4"/>
                  </w:tcBorders>
                  <w:vAlign w:val="top"/>
                </w:tcPr>
                <w:p>
                  <w:pPr>
                    <w:jc w:val="center"/>
                  </w:pPr>
                  <w:r>
                    <w:rPr>
                      <w:sz w:val="24"/>
                    </w:rPr>
                    <w:t>1</w:t>
                  </w:r>
                </w:p>
              </w:tc>
              <w:tc>
                <w:tcPr>
                  <w:tcW w:type="dxa" w:w="1060"/>
                  <w:tcBorders>
                    <w:top w:val="none" w:color="000000" w:sz="4"/>
                    <w:left w:val="none" w:color="000000" w:sz="4"/>
                    <w:bottom w:val="single" w:color="000000" w:sz="4"/>
                    <w:right w:val="single" w:color="000000" w:sz="4"/>
                  </w:tcBorders>
                  <w:vAlign w:val="top"/>
                </w:tcPr>
                <w:p>
                  <w:pPr>
                    <w:jc w:val="center"/>
                  </w:pPr>
                  <w:r>
                    <w:rPr>
                      <w:sz w:val="24"/>
                    </w:rPr>
                    <w:t>台</w:t>
                  </w:r>
                </w:p>
              </w:tc>
            </w:tr>
            <w:tr>
              <w:tc>
                <w:tcPr>
                  <w:tcW w:type="dxa" w:w="827"/>
                  <w:tcBorders>
                    <w:top w:val="none" w:color="000000" w:sz="4"/>
                    <w:left w:val="single" w:color="000000" w:sz="4"/>
                    <w:bottom w:val="single" w:color="000000" w:sz="4"/>
                    <w:right w:val="single" w:color="000000" w:sz="4"/>
                  </w:tcBorders>
                  <w:vAlign w:val="top"/>
                </w:tcPr>
                <w:p>
                  <w:pPr>
                    <w:jc w:val="center"/>
                  </w:pPr>
                  <w:r>
                    <w:rPr>
                      <w:sz w:val="24"/>
                    </w:rPr>
                    <w:t>6</w:t>
                  </w:r>
                </w:p>
              </w:tc>
              <w:tc>
                <w:tcPr>
                  <w:tcW w:type="dxa" w:w="2792"/>
                  <w:tcBorders>
                    <w:top w:val="none" w:color="000000" w:sz="4"/>
                    <w:left w:val="none" w:color="000000" w:sz="4"/>
                    <w:bottom w:val="single" w:color="000000" w:sz="4"/>
                    <w:right w:val="single" w:color="000000" w:sz="4"/>
                  </w:tcBorders>
                  <w:vAlign w:val="top"/>
                </w:tcPr>
                <w:p>
                  <w:pPr>
                    <w:jc w:val="both"/>
                  </w:pPr>
                  <w:r>
                    <w:rPr>
                      <w:sz w:val="24"/>
                    </w:rPr>
                    <w:t>系统软件</w:t>
                  </w:r>
                </w:p>
              </w:tc>
              <w:tc>
                <w:tcPr>
                  <w:tcW w:type="dxa" w:w="892"/>
                  <w:tcBorders>
                    <w:top w:val="none" w:color="000000" w:sz="4"/>
                    <w:left w:val="none" w:color="000000" w:sz="4"/>
                    <w:bottom w:val="single" w:color="000000" w:sz="4"/>
                    <w:right w:val="single" w:color="000000" w:sz="4"/>
                  </w:tcBorders>
                  <w:vAlign w:val="top"/>
                </w:tcPr>
                <w:p>
                  <w:pPr>
                    <w:jc w:val="center"/>
                  </w:pPr>
                  <w:r>
                    <w:rPr>
                      <w:sz w:val="24"/>
                    </w:rPr>
                    <w:t>1</w:t>
                  </w:r>
                </w:p>
              </w:tc>
              <w:tc>
                <w:tcPr>
                  <w:tcW w:type="dxa" w:w="1060"/>
                  <w:tcBorders>
                    <w:top w:val="none" w:color="000000" w:sz="4"/>
                    <w:left w:val="none" w:color="000000" w:sz="4"/>
                    <w:bottom w:val="single" w:color="000000" w:sz="4"/>
                    <w:right w:val="single" w:color="000000" w:sz="4"/>
                  </w:tcBorders>
                  <w:vAlign w:val="top"/>
                </w:tcPr>
                <w:p>
                  <w:pPr>
                    <w:jc w:val="center"/>
                  </w:pPr>
                  <w:r>
                    <w:rPr>
                      <w:sz w:val="24"/>
                    </w:rPr>
                    <w:t>套</w:t>
                  </w:r>
                </w:p>
              </w:tc>
            </w:tr>
            <w:tr>
              <w:tc>
                <w:tcPr>
                  <w:tcW w:type="dxa" w:w="827"/>
                  <w:tcBorders>
                    <w:top w:val="none" w:color="000000" w:sz="4"/>
                    <w:left w:val="single" w:color="000000" w:sz="4"/>
                    <w:bottom w:val="single" w:color="000000" w:sz="4"/>
                    <w:right w:val="single" w:color="000000" w:sz="4"/>
                  </w:tcBorders>
                  <w:vAlign w:val="top"/>
                </w:tcPr>
                <w:p>
                  <w:pPr>
                    <w:jc w:val="center"/>
                  </w:pPr>
                  <w:r>
                    <w:rPr>
                      <w:sz w:val="24"/>
                    </w:rPr>
                    <w:t>7</w:t>
                  </w:r>
                </w:p>
              </w:tc>
              <w:tc>
                <w:tcPr>
                  <w:tcW w:type="dxa" w:w="2792"/>
                  <w:tcBorders>
                    <w:top w:val="none" w:color="000000" w:sz="4"/>
                    <w:left w:val="none" w:color="000000" w:sz="4"/>
                    <w:bottom w:val="single" w:color="000000" w:sz="4"/>
                    <w:right w:val="single" w:color="000000" w:sz="4"/>
                  </w:tcBorders>
                  <w:vAlign w:val="top"/>
                </w:tcPr>
                <w:p>
                  <w:pPr>
                    <w:jc w:val="both"/>
                  </w:pPr>
                  <w:r>
                    <w:rPr>
                      <w:sz w:val="24"/>
                    </w:rPr>
                    <w:t>图文输出设备</w:t>
                  </w:r>
                </w:p>
              </w:tc>
              <w:tc>
                <w:tcPr>
                  <w:tcW w:type="dxa" w:w="892"/>
                  <w:tcBorders>
                    <w:top w:val="none" w:color="000000" w:sz="4"/>
                    <w:left w:val="none" w:color="000000" w:sz="4"/>
                    <w:bottom w:val="single" w:color="000000" w:sz="4"/>
                    <w:right w:val="single" w:color="000000" w:sz="4"/>
                  </w:tcBorders>
                  <w:vAlign w:val="top"/>
                </w:tcPr>
                <w:p>
                  <w:pPr>
                    <w:jc w:val="center"/>
                  </w:pPr>
                  <w:r>
                    <w:rPr>
                      <w:sz w:val="24"/>
                    </w:rPr>
                    <w:t>1</w:t>
                  </w:r>
                </w:p>
              </w:tc>
              <w:tc>
                <w:tcPr>
                  <w:tcW w:type="dxa" w:w="1060"/>
                  <w:tcBorders>
                    <w:top w:val="none" w:color="000000" w:sz="4"/>
                    <w:left w:val="none" w:color="000000" w:sz="4"/>
                    <w:bottom w:val="single" w:color="000000" w:sz="4"/>
                    <w:right w:val="single" w:color="000000" w:sz="4"/>
                  </w:tcBorders>
                  <w:vAlign w:val="top"/>
                </w:tcPr>
                <w:p>
                  <w:pPr>
                    <w:jc w:val="center"/>
                  </w:pPr>
                  <w:r>
                    <w:rPr>
                      <w:sz w:val="24"/>
                    </w:rPr>
                    <w:t>台</w:t>
                  </w:r>
                </w:p>
              </w:tc>
            </w:tr>
            <w:tr>
              <w:tc>
                <w:tcPr>
                  <w:tcW w:type="dxa" w:w="827"/>
                  <w:tcBorders>
                    <w:top w:val="none" w:color="000000" w:sz="4"/>
                    <w:left w:val="single" w:color="000000" w:sz="4"/>
                    <w:bottom w:val="single" w:color="000000" w:sz="4"/>
                    <w:right w:val="single" w:color="000000" w:sz="4"/>
                  </w:tcBorders>
                  <w:vAlign w:val="top"/>
                </w:tcPr>
                <w:p>
                  <w:pPr>
                    <w:jc w:val="center"/>
                  </w:pPr>
                  <w:r>
                    <w:rPr>
                      <w:sz w:val="24"/>
                    </w:rPr>
                    <w:t>8</w:t>
                  </w:r>
                </w:p>
              </w:tc>
              <w:tc>
                <w:tcPr>
                  <w:tcW w:type="dxa" w:w="2792"/>
                  <w:tcBorders>
                    <w:top w:val="none" w:color="000000" w:sz="4"/>
                    <w:left w:val="none" w:color="000000" w:sz="4"/>
                    <w:bottom w:val="single" w:color="000000" w:sz="4"/>
                    <w:right w:val="single" w:color="000000" w:sz="4"/>
                  </w:tcBorders>
                  <w:vAlign w:val="top"/>
                </w:tcPr>
                <w:p>
                  <w:pPr>
                    <w:jc w:val="both"/>
                  </w:pPr>
                  <w:r>
                    <w:rPr>
                      <w:sz w:val="24"/>
                    </w:rPr>
                    <w:t>鼠标</w:t>
                  </w:r>
                </w:p>
              </w:tc>
              <w:tc>
                <w:tcPr>
                  <w:tcW w:type="dxa" w:w="892"/>
                  <w:tcBorders>
                    <w:top w:val="none" w:color="000000" w:sz="4"/>
                    <w:left w:val="none" w:color="000000" w:sz="4"/>
                    <w:bottom w:val="single" w:color="000000" w:sz="4"/>
                    <w:right w:val="single" w:color="000000" w:sz="4"/>
                  </w:tcBorders>
                  <w:vAlign w:val="top"/>
                </w:tcPr>
                <w:p>
                  <w:pPr>
                    <w:jc w:val="center"/>
                  </w:pPr>
                  <w:r>
                    <w:rPr>
                      <w:sz w:val="24"/>
                    </w:rPr>
                    <w:t>1</w:t>
                  </w:r>
                </w:p>
              </w:tc>
              <w:tc>
                <w:tcPr>
                  <w:tcW w:type="dxa" w:w="1060"/>
                  <w:tcBorders>
                    <w:top w:val="none" w:color="000000" w:sz="4"/>
                    <w:left w:val="none" w:color="000000" w:sz="4"/>
                    <w:bottom w:val="single" w:color="000000" w:sz="4"/>
                    <w:right w:val="single" w:color="000000" w:sz="4"/>
                  </w:tcBorders>
                  <w:vAlign w:val="top"/>
                </w:tcPr>
                <w:p>
                  <w:pPr>
                    <w:jc w:val="center"/>
                  </w:pPr>
                  <w:r>
                    <w:rPr>
                      <w:sz w:val="24"/>
                    </w:rPr>
                    <w:t>个</w:t>
                  </w:r>
                </w:p>
              </w:tc>
            </w:tr>
            <w:tr>
              <w:tc>
                <w:tcPr>
                  <w:tcW w:type="dxa" w:w="827"/>
                  <w:tcBorders>
                    <w:top w:val="none" w:color="000000" w:sz="4"/>
                    <w:left w:val="single" w:color="000000" w:sz="4"/>
                    <w:bottom w:val="single" w:color="000000" w:sz="4"/>
                    <w:right w:val="single" w:color="000000" w:sz="4"/>
                  </w:tcBorders>
                  <w:vAlign w:val="top"/>
                </w:tcPr>
                <w:p>
                  <w:pPr>
                    <w:jc w:val="center"/>
                  </w:pPr>
                  <w:r>
                    <w:rPr>
                      <w:sz w:val="24"/>
                    </w:rPr>
                    <w:t>9</w:t>
                  </w:r>
                </w:p>
              </w:tc>
              <w:tc>
                <w:tcPr>
                  <w:tcW w:type="dxa" w:w="2792"/>
                  <w:tcBorders>
                    <w:top w:val="none" w:color="000000" w:sz="4"/>
                    <w:left w:val="none" w:color="000000" w:sz="4"/>
                    <w:bottom w:val="single" w:color="000000" w:sz="4"/>
                    <w:right w:val="single" w:color="000000" w:sz="4"/>
                  </w:tcBorders>
                  <w:vAlign w:val="top"/>
                </w:tcPr>
                <w:p>
                  <w:pPr>
                    <w:jc w:val="both"/>
                  </w:pPr>
                  <w:r>
                    <w:rPr>
                      <w:sz w:val="24"/>
                    </w:rPr>
                    <w:t>压力信号发送和接收器</w:t>
                  </w:r>
                </w:p>
              </w:tc>
              <w:tc>
                <w:tcPr>
                  <w:tcW w:type="dxa" w:w="892"/>
                  <w:tcBorders>
                    <w:top w:val="none" w:color="000000" w:sz="4"/>
                    <w:left w:val="none" w:color="000000" w:sz="4"/>
                    <w:bottom w:val="single" w:color="000000" w:sz="4"/>
                    <w:right w:val="single" w:color="000000" w:sz="4"/>
                  </w:tcBorders>
                  <w:vAlign w:val="top"/>
                </w:tcPr>
                <w:p>
                  <w:pPr>
                    <w:jc w:val="center"/>
                  </w:pPr>
                  <w:r>
                    <w:rPr>
                      <w:sz w:val="24"/>
                    </w:rPr>
                    <w:t>1</w:t>
                  </w:r>
                </w:p>
              </w:tc>
              <w:tc>
                <w:tcPr>
                  <w:tcW w:type="dxa" w:w="1060"/>
                  <w:tcBorders>
                    <w:top w:val="none" w:color="000000" w:sz="4"/>
                    <w:left w:val="none" w:color="000000" w:sz="4"/>
                    <w:bottom w:val="single" w:color="000000" w:sz="4"/>
                    <w:right w:val="single" w:color="000000" w:sz="4"/>
                  </w:tcBorders>
                  <w:vAlign w:val="top"/>
                </w:tcPr>
                <w:p>
                  <w:pPr>
                    <w:jc w:val="center"/>
                  </w:pPr>
                  <w:r>
                    <w:rPr>
                      <w:sz w:val="24"/>
                    </w:rPr>
                    <w:t>台</w:t>
                  </w:r>
                </w:p>
              </w:tc>
            </w:tr>
          </w:tbl>
          <w:p>
            <w:pPr>
              <w:jc w:val="both"/>
            </w:pP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1.采购代理机构：本项目是指广东华伦招标有限公司南海分公司，负责整个采购活动的组织，依法负责编制和发布招标文件，对招标文件拥有最终的解释权，不以任何身份出任评标委员会成员。</w:t>
      </w:r>
    </w:p>
    <w:p>
      <w:pPr>
        <w:ind w:firstLine="480"/>
      </w:pPr>
      <w:r>
        <w:rPr/>
        <w:t>2.采购人：本项目是指</w:t>
      </w:r>
      <w:r>
        <w:rPr/>
        <w:t>佛山市南海区第五人民医院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1家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由中标（成交）供应商代支付采购代理服务费，此费用包含在其投标总报价中。采购代理服务费的收费标准参照国家计委《招标代理服务收费管理暂行办法》（计价格[2002]1980号）、国家发改委的发改办价格[2003]857号及发改价格[2011]534号文件规定“货物类”的计算方法和计费标准下浮30%执行，以本项目中标金额作为计费基数，按差额定率累进法计算。（供应商的报价应包含代理服务费，但不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根据《佛山市政务服务数据管理局佛山市财政局关于进一步促进公平竞争优化政府采购营商环境的通知》（佛政数函[2021]54号），参与政府采购的中小微企业可凭借中标(成交)通知书或政府采购合同，利用“省中小融”、“粤信融”、“中征应收账款融资服务平台”等平台向金融机构申请融资，获得无财产抵押贷款。 2.根据《佛山市南海区财政局关于印发的通知》（南财采〔2020〕6号）的有关规定，采购代理机构将在佛山市公共资源交易中心南海分中心“交易信息”网页发布中标（成交）公告的同时一并公示成交供应商的投标文件内容，接受社会公众监督，供应商递交投标文件后视为作出以下承诺： （1）承诺同意采购人或其委托的代理机构将响应文件中以下信息予以公开，公开内容包括：营业执照、资质证书、项目业绩、检验检测报告、履约验收报告及评价、社保证明、设备发票、职称、各种证件（身份证除外）、货物的规格型号及配置参数等。以下响应文件信息不属于公开范围：法定代表人证明书、响应文件签署授权委托书、项目实施方案、售后服务方案。 （2）承诺保证上述应公示的内容的真实性，且确认不涉及任何个人隐私、商业秘密和其他不可公开的内容。供应商须提供承诺函（格式自定或可参考采购公告中的附件） 3.本项目采用远程电子开标，供应商应注意： （1）参与全流程云平台采购项目的供应商登录云平台通过“新开标大厅”进行签到及投标文件的解密。在投标截止时间前30分钟，供应商应当登录云平台开标大厅进行签到，不需要委派代表前往开标现场。 （2）请供应商按“远程开标”有关要求，在投标截止时间前上传加密的电子投标文件，未按要求上传的将视为自动放弃投标。 （3）在投标截止时间前，请各供应商核实并确认填写授权代表的姓名与手机号码，若因填写的授权代表信息有误而导致的不良后果，由供应商自行承担。 （4）开标时，供应商应当使用编制本项目（采购包）电子投标文件时加密所用数字证书开始解密，解密时限根据开标时现场代理机构人员设置为准，供应商不按要求进行解密，视为无效投标。 （5）各供应商在参加开标之前须自行对使用电脑的网络环境、驱动安装、客户端安装以及数字证书的有效性等进行检测，确保可以正常使用和运行。 （6）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广东华伦招标有限公司南海分公司</w:t>
      </w:r>
      <w:r>
        <w:rPr/>
        <w:t>代收。具体操作要求详见</w:t>
      </w:r>
      <w:r>
        <w:rPr/>
        <w:t>广东华伦招标有限公司南海分公司</w:t>
      </w:r>
      <w:r>
        <w:rPr/>
        <w:t>有关指引，递交事宜请自行咨询</w:t>
      </w:r>
      <w:r>
        <w:rPr/>
        <w:t>广东华伦招标有限公司南海分公司</w:t>
      </w:r>
      <w:r>
        <w:rPr/>
        <w:t>；请各投标人在投标文件递交截止时间前按须知前附表规定的金额递交至</w:t>
      </w:r>
      <w:r>
        <w:rPr/>
        <w:t>广东华伦招标有限公司南海分公司</w:t>
      </w:r>
      <w:r>
        <w:rPr/>
        <w:t>，到账情况以开标时</w:t>
      </w:r>
      <w:r>
        <w:rPr/>
        <w:t>广东华伦招标有限公司南海分公司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佛山市公共资源交易网（http://ggzy.foshan.gov.cn/），佛山市南海区人民政府网(http://www.nanhai.gov.cn)，广东华伦招标有限公司南海分公司网（https://www.gdhualun.com.cn/）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佛山市公共资源交易网（http://ggzy.foshan.gov.cn/），佛山市南海区人民政府网(http://www.nanhai.gov.cn)，广东华伦招标有限公司南海分公司网（https://www.gdhualun.com.cn/）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总工办</w:t>
      </w:r>
    </w:p>
    <w:p>
      <w:pPr>
        <w:ind w:firstLine="480"/>
      </w:pPr>
      <w:r>
        <w:rPr/>
        <w:t>电话：</w:t>
      </w:r>
      <w:r>
        <w:rPr/>
        <w:t>020-83172166-862</w:t>
      </w:r>
    </w:p>
    <w:p>
      <w:pPr>
        <w:ind w:firstLine="480"/>
      </w:pPr>
      <w:r>
        <w:rPr/>
        <w:t>传真：</w:t>
      </w:r>
      <w:r>
        <w:rPr/>
        <w:t>/</w:t>
      </w:r>
    </w:p>
    <w:p>
      <w:pPr>
        <w:ind w:firstLine="480"/>
      </w:pPr>
      <w:r>
        <w:rPr/>
        <w:t>邮箱：</w:t>
      </w:r>
      <w:r>
        <w:rPr/>
        <w:t>hualuneb@163.com</w:t>
      </w:r>
    </w:p>
    <w:p>
      <w:pPr>
        <w:ind w:firstLine="480"/>
      </w:pPr>
      <w:r>
        <w:rPr/>
        <w:t>地址：</w:t>
      </w:r>
      <w:r>
        <w:rPr/>
        <w:t>广州市越秀区广仁路1号广仁大厦7楼（如采用邮寄形式提交，请提前跟我司工作人员联系，并同步将邮寄底单发送至我司邮箱）</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政府采购监督管理机构名称：佛山市南海区财政局政府采购管理股</w:t>
      </w:r>
    </w:p>
    <w:p>
      <w:r>
        <w:rPr/>
        <w:t>地  址：佛山市南海区桂城街道南新三路20号</w:t>
      </w:r>
    </w:p>
    <w:p>
      <w:r>
        <w:rPr/>
        <w:t>电  话：0757-86282779、86282776</w:t>
      </w:r>
    </w:p>
    <w:p>
      <w:r>
        <w:rPr/>
        <w:t>邮  编：528200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采购包1(血管内超声系统)：综合评分法,是指投标文件满足招标文件全部实质性要求，且按照评审因素的量化指标评审得分最高的投标人为中标候选人的评标方法。（最低报价不是中标的唯一依据。）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广东华伦招标有限公司南海分公司</w:t>
      </w:r>
      <w:r>
        <w:rPr/>
        <w:t>统一对外发布。</w:t>
      </w:r>
    </w:p>
    <w:p>
      <w:pPr>
        <w:ind w:firstLine="480"/>
      </w:pPr>
      <w:r>
        <w:rPr/>
        <w:t>（2）对</w:t>
      </w:r>
      <w:r>
        <w:rPr/>
        <w:t>广东华伦招标有限公司南海分公司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采购包1（血管内超声系统）：</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采购包1（血管内超声系统）：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以下证明材料之一：①提供投标截止日前12个月内任意1个月依法缴纳税收和社会保障资金的相关材料；如依法免税或不需要缴纳社会保障资金的，提供相应证明材料；②提供加盖供应商公章的《政府采购供应商资格信用承诺函》（详见采购公告附件）；</w:t>
            </w:r>
          </w:p>
        </w:tc>
      </w:tr>
      <w:tr>
        <w:tc>
          <w:tcPr>
            <w:tcW w:type="dxa" w:w="890"/>
          </w:tcPr>
          <w:p>
            <w:r>
              <w:rPr/>
              <w:t>3</w:t>
            </w:r>
          </w:p>
        </w:tc>
        <w:tc>
          <w:tcPr>
            <w:tcW w:type="dxa" w:w="3178"/>
          </w:tcPr>
          <w:p>
            <w:r>
              <w:rPr/>
              <w:t>具有良好的商业信誉和健全的财务会计制度</w:t>
            </w:r>
          </w:p>
        </w:tc>
        <w:tc>
          <w:tcPr>
            <w:tcW w:type="dxa" w:w="4238"/>
          </w:tcPr>
          <w:p>
            <w:r>
              <w:rPr/>
              <w:t>提供以下证明材料之一：①提供2021年度或2022年度经审计的财务状况报告或基本开户行（或基本存款账户行）出具的资信证明，或最近一期财务报表（适用在上一年度或本财务年度成立的法人或其他组织），或人民银行出具的个人信用报告（适用于自然人）；②提供加盖供应商公章的《政府采购供应商资格信用承诺函》（详见采购公告附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或提供加盖供应商公章的《政府采购供应商资格信用承诺函》（详见采购公告附件）。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资格审查期间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采购包）投标；（参照投标（报价）函相关承诺格式内容）</w:t>
            </w:r>
          </w:p>
        </w:tc>
      </w:tr>
      <w:tr>
        <w:tc>
          <w:tcPr>
            <w:tcW w:type="dxa" w:w="890"/>
          </w:tcPr>
          <w:p>
            <w:r>
              <w:rPr/>
              <w:t>8</w:t>
            </w:r>
          </w:p>
        </w:tc>
        <w:tc>
          <w:tcPr>
            <w:tcW w:type="dxa" w:w="3178"/>
          </w:tcPr>
          <w:p>
            <w:r>
              <w:rPr/>
              <w:t>特定资格要求</w:t>
            </w:r>
          </w:p>
        </w:tc>
        <w:tc>
          <w:tcPr>
            <w:tcW w:type="dxa" w:w="4238"/>
          </w:tcPr>
          <w:p>
            <w:r>
              <w:rPr/>
              <w:t>本项目采购标的物为第三类医疗器械，如投标人为所投产品的生产企业，须提供监督管理部门签发的有效的《医疗器械生产许可证》复印件（如国家另有规定，则适用其规定）；如投标人为所投产品的代理商或经销商，须提供监督管理部门签发的有效的《医疗器械经营许可证》复印件（如国家另有规定，则适用其规定）；</w:t>
            </w:r>
          </w:p>
        </w:tc>
      </w:tr>
      <w:tr>
        <w:tc>
          <w:tcPr>
            <w:tcW w:type="dxa" w:w="890"/>
          </w:tcPr>
          <w:p>
            <w:r>
              <w:rPr/>
              <w:t>9</w:t>
            </w:r>
          </w:p>
        </w:tc>
        <w:tc>
          <w:tcPr>
            <w:tcW w:type="dxa" w:w="3178"/>
          </w:tcPr>
          <w:p>
            <w:r>
              <w:rPr/>
              <w:t>联合体投标</w:t>
            </w:r>
          </w:p>
        </w:tc>
        <w:tc>
          <w:tcPr>
            <w:tcW w:type="dxa" w:w="4238"/>
          </w:tcPr>
          <w:p>
            <w:r>
              <w:rPr/>
              <w:t>本项目不接受联合体投标。</w:t>
            </w:r>
          </w:p>
        </w:tc>
      </w:tr>
      <w:tr>
        <w:tc>
          <w:tcPr>
            <w:tcW w:type="dxa" w:w="890"/>
          </w:tcPr>
          <w:p>
            <w:r>
              <w:rPr/>
              <w:t>10</w:t>
            </w:r>
          </w:p>
        </w:tc>
        <w:tc>
          <w:tcPr>
            <w:tcW w:type="dxa" w:w="3178"/>
          </w:tcPr>
          <w:p>
            <w:r>
              <w:rPr/>
              <w:t>本采购包专门面向中小企业采购</w:t>
            </w:r>
          </w:p>
        </w:tc>
        <w:tc>
          <w:tcPr>
            <w:tcW w:type="dxa" w:w="4238"/>
          </w:tcPr>
          <w:p>
            <w:r>
              <w:rPr/>
              <w:t>采购包整体专门面向中小企业。本项目属于整体预留专门面向中小企业采购的项目（采购包），供应商提供的货物须全部由中小企业生产且使用该中小企业商号或注册商标，该中小企业须符合本项目采购标的对应行业（本项目行业为：工业）的政策划分标准（监狱企业、残疾人福利性单位视同小微企业）。中小企业以供应商提供的《中小企业声明函（货物）》为判定标准；残疾人福利性单位以供应商提供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采购包1（血管内超声系统）：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法定代表人证明书及授权委托书（如适用）</w:t>
            </w:r>
          </w:p>
        </w:tc>
        <w:tc>
          <w:tcPr>
            <w:tcW w:type="dxa" w:w="4238"/>
          </w:tcPr>
          <w:p>
            <w:r>
              <w:rPr/>
              <w:t>已经盖章、签署，有效期涵盖投标有效期。</w:t>
            </w:r>
          </w:p>
        </w:tc>
      </w:tr>
      <w:tr>
        <w:tc>
          <w:tcPr>
            <w:tcW w:type="dxa" w:w="890"/>
          </w:tcPr>
          <w:p>
            <w:r>
              <w:rPr/>
              <w:t>3</w:t>
            </w:r>
          </w:p>
        </w:tc>
        <w:tc>
          <w:tcPr>
            <w:tcW w:type="dxa" w:w="3178"/>
          </w:tcPr>
          <w:p>
            <w:r>
              <w:rPr/>
              <w:t>投标文件内容、签字、盖章</w:t>
            </w:r>
          </w:p>
        </w:tc>
        <w:tc>
          <w:tcPr>
            <w:tcW w:type="dxa" w:w="4238"/>
          </w:tcPr>
          <w:p>
            <w:r>
              <w:rPr/>
              <w:t>投标文件内容完整，无重大错漏，并已按招标文件要求签字、盖章。</w:t>
            </w:r>
          </w:p>
        </w:tc>
      </w:tr>
      <w:tr>
        <w:tc>
          <w:tcPr>
            <w:tcW w:type="dxa" w:w="890"/>
          </w:tcPr>
          <w:p>
            <w:r>
              <w:rPr/>
              <w:t>4</w:t>
            </w:r>
          </w:p>
        </w:tc>
        <w:tc>
          <w:tcPr>
            <w:tcW w:type="dxa" w:w="3178"/>
          </w:tcPr>
          <w:p>
            <w:r>
              <w:rPr/>
              <w:t>实质性条款（含标有“★”号条款）</w:t>
            </w:r>
          </w:p>
        </w:tc>
        <w:tc>
          <w:tcPr>
            <w:tcW w:type="dxa" w:w="4238"/>
          </w:tcPr>
          <w:p>
            <w:r>
              <w:rPr/>
              <w:t>投标文件满足招标文件中标有“★”号的实质性条款，无负偏离的。</w:t>
            </w:r>
          </w:p>
        </w:tc>
      </w:tr>
      <w:tr>
        <w:tc>
          <w:tcPr>
            <w:tcW w:type="dxa" w:w="890"/>
          </w:tcPr>
          <w:p>
            <w:r>
              <w:rPr/>
              <w:t>5</w:t>
            </w:r>
          </w:p>
        </w:tc>
        <w:tc>
          <w:tcPr>
            <w:tcW w:type="dxa" w:w="3178"/>
          </w:tcPr>
          <w:p>
            <w:r>
              <w:rPr/>
              <w:t>进口产品（如适用）</w:t>
            </w:r>
          </w:p>
        </w:tc>
        <w:tc>
          <w:tcPr>
            <w:tcW w:type="dxa" w:w="4238"/>
          </w:tcPr>
          <w:p>
            <w:r>
              <w:rPr/>
              <w:t>不允许采购进口产品的，未以进口产品投标。</w:t>
            </w:r>
          </w:p>
        </w:tc>
      </w:tr>
      <w:tr>
        <w:tc>
          <w:tcPr>
            <w:tcW w:type="dxa" w:w="890"/>
          </w:tcPr>
          <w:p>
            <w:r>
              <w:rPr/>
              <w:t>6</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7</w:t>
            </w:r>
          </w:p>
        </w:tc>
        <w:tc>
          <w:tcPr>
            <w:tcW w:type="dxa" w:w="3178"/>
          </w:tcPr>
          <w:p>
            <w:r>
              <w:rPr/>
              <w:t>投标报价</w:t>
            </w:r>
          </w:p>
        </w:tc>
        <w:tc>
          <w:tcPr>
            <w:tcW w:type="dxa" w:w="4238"/>
          </w:tcPr>
          <w:p>
            <w:r>
              <w:rPr/>
              <w:t>1.投标报价符合招标文件对报价的要求。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8</w:t>
            </w:r>
          </w:p>
        </w:tc>
        <w:tc>
          <w:tcPr>
            <w:tcW w:type="dxa" w:w="3178"/>
          </w:tcPr>
          <w:p>
            <w:r>
              <w:rPr/>
              <w:t>附加条件</w:t>
            </w:r>
          </w:p>
        </w:tc>
        <w:tc>
          <w:tcPr>
            <w:tcW w:type="dxa" w:w="4238"/>
          </w:tcPr>
          <w:p>
            <w:r>
              <w:rPr/>
              <w:t>投标文件未含有采购人不能接受的附加条件。</w:t>
            </w:r>
          </w:p>
        </w:tc>
      </w:tr>
      <w:tr>
        <w:tc>
          <w:tcPr>
            <w:tcW w:type="dxa" w:w="890"/>
          </w:tcPr>
          <w:p>
            <w:r>
              <w:rPr/>
              <w:t>9</w:t>
            </w:r>
          </w:p>
        </w:tc>
        <w:tc>
          <w:tcPr>
            <w:tcW w:type="dxa" w:w="3178"/>
          </w:tcPr>
          <w:p>
            <w:r>
              <w:rPr/>
              <w:t>串通投标</w:t>
            </w:r>
          </w:p>
        </w:tc>
        <w:tc>
          <w:tcPr>
            <w:tcW w:type="dxa" w:w="4238"/>
          </w:tcPr>
          <w:p>
            <w:r>
              <w:rPr/>
              <w:t>未出现招标文件所列的视为串通投标的情形。</w:t>
            </w:r>
          </w:p>
        </w:tc>
      </w:tr>
      <w:tr>
        <w:tc>
          <w:tcPr>
            <w:tcW w:type="dxa" w:w="890"/>
          </w:tcPr>
          <w:p>
            <w:r>
              <w:rPr/>
              <w:t>10</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采购包1(血管内超声系统):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设备技术参数响应情况 (40.0分)</w:t>
            </w:r>
          </w:p>
        </w:tc>
        <w:tc>
          <w:tcPr>
            <w:tcW w:type="dxa" w:w="5076"/>
          </w:tcPr>
          <w:p>
            <w:pPr>
              <w:jc w:val="left"/>
            </w:pPr>
            <w:r>
              <w:rPr/>
              <w:t>根据投标人所投产品对《第二章 采购需求》中“技术标准与要求”的附表中“具体技术（参数）要求”的响应情况进行评审（注：“技术标准与要求”附表中“序号”列中每一个序号均以一项单独计算，无论是否隶属于上一级编号）： 1.带“▲”符号的技术条款（共4项）： （1）全部完全响应或优于，得20分； （2）每有一项不响应或负偏离的，扣5分，最多扣至0分； 2.非带“▲”或“★”符号的一般技术条款（共32项）： 一般技术条款响应得分=（满足要求的一般技术参数数量÷一般技术参数总数量）×20分。 注：（1）采购需求中有要求提供证明材料的，以采购需求中的要求提供；采购需求中未要求提供证明材料的，投标人须提供所投产品的彩页，或者制造商技术参数确认函，或者产品性能技术参数介绍资料，或者第三方检测机构出具的相关检测报告等作为技术证明文件，并加盖投标人公章，否则评审委员会有权视相应技术参数响应不符合招标要求（如厂家的产品使用说明书为外文版，请同时提供中文版）。（2）投标文件内提供的证明材料中的技术参数描述与投标人在《技术和服务要求响应表》中的响应描述不一致时，以投标文件内提供的证明材料中的技术参数描述为准。（3）得分保留小数点后两位数，小数点后第三位四舍五入。</w:t>
            </w:r>
          </w:p>
        </w:tc>
      </w:tr>
      <w:tr>
        <w:tc>
          <w:tcPr>
            <w:tcW w:type="dxa" w:w="922"/>
            <w:gridSpan w:val="2"/>
            <w:vMerge/>
          </w:tcPr>
          <w:p/>
        </w:tc>
        <w:tc>
          <w:tcPr>
            <w:tcW w:type="dxa" w:w="2307"/>
          </w:tcPr>
          <w:p>
            <w:pPr>
              <w:jc w:val="left"/>
            </w:pPr>
            <w:r>
              <w:rPr/>
              <w:t>项目实施方案 (10.0分)</w:t>
            </w:r>
          </w:p>
        </w:tc>
        <w:tc>
          <w:tcPr>
            <w:tcW w:type="dxa" w:w="5076"/>
          </w:tcPr>
          <w:p>
            <w:pPr>
              <w:jc w:val="left"/>
            </w:pPr>
            <w:r>
              <w:rPr/>
              <w:t>根据投标人提供的项目实施方案（包括但不限于运输保障方案、供货计划、安装调试方案及质量保障措施）进行评审（本项最高得10分）： 1.投标人提供的运输保障方案包括但不限于运输前车辆检查制度、跟车人员安排，备用车辆情况及运输调度能力，方案内容齐全，得2.5分；无提供或方案内容不齐全的，本小项得0分； 2.投标人提供的供货计划包括但不限于供货进度计划安排、所投产品的备品备件的供应情况，计划内容齐全，得2.5分；无提供或计划内容不齐全的，本小项得0分； 3.安装调试方案（本项最高得2.5分）： （1）投标人拟投入到本项目为所投的设备提供安装、调试服务的人员，每提供1名人员得0.5分，本小项最高得1.5分。须提供上述人员相关证件或证书（如身份证、职称证或技能证、专业培训类结业等证书）的复印件（如有），同时提供上述人员近3个月（含投标截止日当月，往前顺推）内任意一个月在投标人单位购买的社保证明的复印件，上述相关证明材料未加盖投标人公章或资料不齐全或为含有无效证件（证书）或证明材料清晰度不够导致评委无法辨认的均不得分；上述人员不得与为采购人提供培训的人员为同一人，否则本小项不得分。 （2）投标人提供的安装调方案包括但不限于安装调试流程、安装调试标准，方案内容齐全，得1分；无提供或方案内容不齐全的，本小项得0分。 4.投标人提供的质量保障措施包括但不限设备质量全过程控制、设备制造商（或生产商）的专业技术支持，方案内容齐全，得2.5分；无提供或措施内容不齐全的，本小项得0分。</w:t>
            </w:r>
          </w:p>
        </w:tc>
      </w:tr>
      <w:tr>
        <w:tc>
          <w:tcPr>
            <w:tcW w:type="dxa" w:w="922"/>
            <w:gridSpan w:val="2"/>
            <w:vMerge w:val="restart"/>
          </w:tcPr>
          <w:p>
            <w:pPr>
              <w:jc w:val="center"/>
            </w:pPr>
            <w:r>
              <w:rPr/>
              <w:t>商务部分</w:t>
            </w: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投标人2021年1月1日至今（以合同签订日期为准），以投标人名义独立完成的同类项目业绩（至少包含投标人投所产品），每提供一份业绩证明得1分，最高得5分。 注：须提供上述业绩的合同及验收报告的复印件，并加盖投标人公章；不提供或资料不齐全的不得分。</w:t>
            </w:r>
          </w:p>
        </w:tc>
      </w:tr>
      <w:tr>
        <w:tc>
          <w:tcPr>
            <w:tcW w:type="dxa" w:w="922"/>
            <w:gridSpan w:val="2"/>
            <w:vMerge/>
          </w:tcPr>
          <w:p/>
        </w:tc>
        <w:tc>
          <w:tcPr>
            <w:tcW w:type="dxa" w:w="2307"/>
          </w:tcPr>
          <w:p>
            <w:pPr>
              <w:jc w:val="left"/>
            </w:pPr>
            <w:r>
              <w:rPr/>
              <w:t>用户评价 (5.0分)</w:t>
            </w:r>
            <w:r>
              <w:rPr/>
              <w:t>，（等次分值选择：</w:t>
            </w:r>
            <w:r>
              <w:rPr/>
              <w:t>0.0;</w:t>
            </w:r>
            <w:r>
              <w:rPr/>
              <w:t>1.0;</w:t>
            </w:r>
            <w:r>
              <w:rPr/>
              <w:t>2.0;</w:t>
            </w:r>
            <w:r>
              <w:rPr/>
              <w:t>3.0;</w:t>
            </w:r>
            <w:r>
              <w:rPr/>
              <w:t>4.0;</w:t>
            </w:r>
            <w:r>
              <w:rPr/>
              <w:t>5.0;</w:t>
            </w:r>
            <w:r>
              <w:rPr/>
              <w:t>）</w:t>
            </w:r>
          </w:p>
        </w:tc>
        <w:tc>
          <w:tcPr>
            <w:tcW w:type="dxa" w:w="5076"/>
          </w:tcPr>
          <w:p>
            <w:pPr>
              <w:jc w:val="left"/>
            </w:pPr>
            <w:r>
              <w:rPr/>
              <w:t>提供上述“同类项目业绩”对应的类同于“好”或“满意”或“优秀”或85分（含）以上或相当于优的业主（或用户）单位的满意度评价或表扬信，每提供一份得1分，最高得5分。 注：提供上述满意度评价或表扬信证明材料的复印件并加盖投标人公章，不提供不得分；</w:t>
            </w:r>
          </w:p>
        </w:tc>
      </w:tr>
      <w:tr>
        <w:tc>
          <w:tcPr>
            <w:tcW w:type="dxa" w:w="922"/>
            <w:gridSpan w:val="2"/>
            <w:vMerge/>
          </w:tcPr>
          <w:p/>
        </w:tc>
        <w:tc>
          <w:tcPr>
            <w:tcW w:type="dxa" w:w="2307"/>
          </w:tcPr>
          <w:p>
            <w:pPr>
              <w:jc w:val="left"/>
            </w:pPr>
            <w:r>
              <w:rPr/>
              <w:t>售后服务方案 (10.0分)</w:t>
            </w:r>
          </w:p>
        </w:tc>
        <w:tc>
          <w:tcPr>
            <w:tcW w:type="dxa" w:w="5076"/>
          </w:tcPr>
          <w:p>
            <w:pPr>
              <w:jc w:val="left"/>
            </w:pPr>
            <w:r>
              <w:rPr/>
              <w:t>根据投标人提供的售后服务方案（包括但不限于培训方案、设备维护保养方案、设备故障维修响应情况）进行评审： 1.培训方案（本小项最高得6分） （1）投标人拟投入到本项目为采购人进行培训的人员，每提供1名人员得1分，本小项最高得2分。须提供上述人员相关证件或证书（如身份证、职称证或技能证、专业培训类结业等证书）的复印件（如有），同时提供上述人员近3个月（含投标截止日当月，往前顺推）内任意一个月在投标人单位购买的社保证明的复印件，上述相关证明材料未加盖投标人公章或资料不齐全或为含有无效证件（证书）或证明材料清晰度不够导致评委无法辨认的均不得分；上述人员不得与为所投设备进行安装调试的人员为同一人，否则本小项不得分。 （2）设备保修期为采购人提供每年培训次数为2次或以上的，得2分；无提供或培训次数低于每年2次的，得0分；（提供承诺函，否则不得分，格式自拟） （3）培训内容包括但不限于设备操作、基本故障排除、设备日常保养知识等，培训内容齐全的，得2分；无提供或培训内容不齐全的，本小项得0分。 2.投标人提供的设备维护保养方案包括但不限于保修期后的售后收费、技术人员支持，方案内容齐全的，得2分；无提供或方案内容不齐全的，本小项得0分； 3.根据投标人提供的保修期内设备故障维修响应情况进行进行评审（本小项最高得2分，提供承诺函，否则不得分，格式自拟）： （1）接到采购人单位设备故障通知后的响应时间&lt;1小时，到达故障现场检修的时间≤2小时，得2分； （2）1小时≤接到采购人单位设备故障通知后的响应时间&lt;2小时，或2小时&lt;到达故障现场检修的时间≤3小时，得1分； （3）其他情况或未提供承诺函（格式自拟）的，得0分。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i/>
          <w:sz w:val="18"/>
        </w:rPr>
        <w:t>注：本合同仅为合同的参考文本，可根据项目的具体要求进行修订。</w:t>
      </w:r>
    </w:p>
    <w:p>
      <w:pPr>
        <w:jc w:val="center"/>
      </w:pPr>
    </w:p>
    <w:p>
      <w:pPr>
        <w:jc w:val="center"/>
      </w:pPr>
      <w:r>
        <w:rPr>
          <w:b/>
          <w:sz w:val="24"/>
        </w:rPr>
        <w:t>佛山市南海区政府采购项目合同书</w:t>
      </w:r>
    </w:p>
    <w:p>
      <w:pPr>
        <w:jc w:val="both"/>
      </w:pPr>
    </w:p>
    <w:p>
      <w:pPr>
        <w:jc w:val="both"/>
      </w:pPr>
      <w:r>
        <w:rPr>
          <w:b/>
          <w:sz w:val="21"/>
        </w:rPr>
        <w:t>甲</w:t>
      </w:r>
      <w:r>
        <w:rPr>
          <w:sz w:val="21"/>
        </w:rPr>
        <w:t xml:space="preserve">  </w:t>
      </w:r>
      <w:r>
        <w:rPr>
          <w:b/>
          <w:sz w:val="21"/>
        </w:rPr>
        <w:t>方：</w:t>
      </w:r>
      <w:r>
        <w:rPr>
          <w:sz w:val="21"/>
          <w:u w:val="single"/>
        </w:rPr>
        <w:t>佛山市南海区第五人民医院</w:t>
      </w:r>
      <w:r>
        <w:rPr>
          <w:sz w:val="21"/>
          <w:u w:val="single"/>
        </w:rPr>
        <w:t xml:space="preserve">              </w:t>
      </w:r>
    </w:p>
    <w:p>
      <w:pPr>
        <w:jc w:val="both"/>
      </w:pPr>
      <w:r>
        <w:rPr>
          <w:b/>
          <w:sz w:val="21"/>
        </w:rPr>
        <w:t>乙</w:t>
      </w:r>
      <w:r>
        <w:rPr>
          <w:sz w:val="21"/>
        </w:rPr>
        <w:t xml:space="preserve">  </w:t>
      </w:r>
      <w:r>
        <w:rPr>
          <w:b/>
          <w:sz w:val="21"/>
        </w:rPr>
        <w:t>方：</w:t>
      </w:r>
      <w:r>
        <w:rPr>
          <w:sz w:val="21"/>
          <w:u w:val="single"/>
        </w:rPr>
        <w:t xml:space="preserve">                                        </w:t>
      </w:r>
    </w:p>
    <w:p>
      <w:pPr>
        <w:jc w:val="both"/>
      </w:pPr>
    </w:p>
    <w:p>
      <w:pPr>
        <w:jc w:val="both"/>
      </w:pPr>
      <w:r>
        <w:rPr>
          <w:sz w:val="21"/>
        </w:rPr>
        <w:t>项目名称：</w:t>
      </w:r>
      <w:r>
        <w:rPr>
          <w:sz w:val="21"/>
          <w:u w:val="single"/>
        </w:rPr>
        <w:t xml:space="preserve">                            </w:t>
      </w:r>
    </w:p>
    <w:p>
      <w:pPr>
        <w:jc w:val="both"/>
      </w:pPr>
      <w:r>
        <w:rPr>
          <w:sz w:val="21"/>
        </w:rPr>
        <w:t>采购项目编号：</w:t>
      </w:r>
      <w:r>
        <w:rPr>
          <w:sz w:val="21"/>
          <w:u w:val="single"/>
        </w:rPr>
        <w:t xml:space="preserve">                        </w:t>
      </w:r>
    </w:p>
    <w:p>
      <w:pPr>
        <w:jc w:val="both"/>
      </w:pPr>
    </w:p>
    <w:p>
      <w:pPr>
        <w:ind w:firstLine="480"/>
        <w:jc w:val="both"/>
      </w:pPr>
      <w:r>
        <w:rPr>
          <w:sz w:val="21"/>
        </w:rPr>
        <w:t>根据</w:t>
      </w:r>
      <w:r>
        <w:rPr>
          <w:i/>
          <w:sz w:val="21"/>
          <w:u w:val="single"/>
        </w:rPr>
        <w:t>（采购项目名称）</w:t>
      </w:r>
      <w:r>
        <w:rPr>
          <w:sz w:val="21"/>
        </w:rPr>
        <w:t>的采购结果，按照《中华人民共和国政府采购法》、《中华人民共和国民法典》的规定，经双方协商，本着平等互利和诚实信用的原则，一致同意签订本合同如下。</w:t>
      </w:r>
    </w:p>
    <w:p>
      <w:pPr>
        <w:jc w:val="both"/>
      </w:pPr>
      <w:r>
        <w:rPr>
          <w:b/>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14"/>
        <w:gridCol w:w="1041"/>
        <w:gridCol w:w="3338"/>
        <w:gridCol w:w="640"/>
        <w:gridCol w:w="640"/>
        <w:gridCol w:w="1014"/>
        <w:gridCol w:w="988"/>
      </w:tblGrid>
      <w:tr>
        <w:tc>
          <w:tcPr>
            <w:tcW w:type="dxa" w:w="61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041"/>
            <w:tcBorders>
              <w:top w:val="single" w:color="000000" w:sz="4"/>
              <w:left w:val="single" w:color="000000" w:sz="4"/>
              <w:bottom w:val="single" w:color="000000" w:sz="4"/>
              <w:right w:val="single" w:color="000000" w:sz="4"/>
            </w:tcBorders>
            <w:vAlign w:val="top"/>
          </w:tcPr>
          <w:p>
            <w:pPr>
              <w:jc w:val="center"/>
            </w:pPr>
            <w:r>
              <w:rPr>
                <w:sz w:val="21"/>
              </w:rPr>
              <w:t>商品名称</w:t>
            </w:r>
          </w:p>
        </w:tc>
        <w:tc>
          <w:tcPr>
            <w:tcW w:type="dxa" w:w="3338"/>
            <w:tcBorders>
              <w:top w:val="single" w:color="000000" w:sz="4"/>
              <w:left w:val="single" w:color="000000" w:sz="4"/>
              <w:bottom w:val="single" w:color="000000" w:sz="4"/>
              <w:right w:val="single" w:color="000000" w:sz="4"/>
            </w:tcBorders>
            <w:vAlign w:val="top"/>
          </w:tcPr>
          <w:p>
            <w:pPr>
              <w:jc w:val="center"/>
            </w:pPr>
            <w:r>
              <w:rPr>
                <w:sz w:val="21"/>
              </w:rPr>
              <w:t>品牌、规格型号、配置（性能参数）</w:t>
            </w:r>
          </w:p>
        </w:tc>
        <w:tc>
          <w:tcPr>
            <w:tcW w:type="dxa" w:w="640"/>
            <w:tcBorders>
              <w:top w:val="single" w:color="000000" w:sz="4"/>
              <w:left w:val="single" w:color="000000" w:sz="4"/>
              <w:bottom w:val="single" w:color="000000" w:sz="4"/>
              <w:right w:val="single" w:color="000000" w:sz="4"/>
            </w:tcBorders>
            <w:vAlign w:val="top"/>
          </w:tcPr>
          <w:p>
            <w:pPr>
              <w:jc w:val="center"/>
            </w:pPr>
            <w:r>
              <w:rPr>
                <w:sz w:val="21"/>
              </w:rPr>
              <w:t>产地</w:t>
            </w:r>
          </w:p>
        </w:tc>
        <w:tc>
          <w:tcPr>
            <w:tcW w:type="dxa" w:w="640"/>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1014"/>
            <w:tcBorders>
              <w:top w:val="single" w:color="000000" w:sz="4"/>
              <w:left w:val="single" w:color="000000" w:sz="4"/>
              <w:bottom w:val="single" w:color="000000" w:sz="4"/>
              <w:right w:val="single" w:color="000000" w:sz="4"/>
            </w:tcBorders>
            <w:vAlign w:val="top"/>
          </w:tcPr>
          <w:p>
            <w:pPr>
              <w:jc w:val="center"/>
            </w:pPr>
            <w:r>
              <w:rPr>
                <w:sz w:val="21"/>
              </w:rPr>
              <w:t>单价</w:t>
            </w:r>
            <w:r>
              <w:rPr>
                <w:sz w:val="21"/>
              </w:rPr>
              <w:t>(元)</w:t>
            </w:r>
          </w:p>
        </w:tc>
        <w:tc>
          <w:tcPr>
            <w:tcW w:type="dxa" w:w="988"/>
            <w:tcBorders>
              <w:top w:val="single" w:color="000000" w:sz="4"/>
              <w:left w:val="single" w:color="000000" w:sz="4"/>
              <w:bottom w:val="single" w:color="000000" w:sz="4"/>
              <w:right w:val="single" w:color="000000" w:sz="4"/>
            </w:tcBorders>
            <w:vAlign w:val="top"/>
          </w:tcPr>
          <w:p>
            <w:pPr>
              <w:jc w:val="center"/>
            </w:pPr>
            <w:r>
              <w:rPr>
                <w:sz w:val="21"/>
              </w:rPr>
              <w:t>金额</w:t>
            </w:r>
            <w:r>
              <w:rPr>
                <w:sz w:val="21"/>
              </w:rPr>
              <w:t>(元)</w:t>
            </w:r>
          </w:p>
        </w:tc>
      </w:tr>
      <w:tr>
        <w:tc>
          <w:tcPr>
            <w:tcW w:type="dxa" w:w="6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41"/>
            <w:tcBorders>
              <w:top w:val="none" w:color="000000" w:sz="4"/>
              <w:left w:val="single" w:color="000000" w:sz="4"/>
              <w:bottom w:val="single" w:color="000000" w:sz="4"/>
              <w:right w:val="single" w:color="000000" w:sz="4"/>
            </w:tcBorders>
            <w:vAlign w:val="top"/>
          </w:tcPr>
          <w:p>
            <w:pPr>
              <w:jc w:val="center"/>
            </w:pPr>
          </w:p>
        </w:tc>
        <w:tc>
          <w:tcPr>
            <w:tcW w:type="dxa" w:w="3338"/>
            <w:tcBorders>
              <w:top w:val="none" w:color="000000" w:sz="4"/>
              <w:left w:val="single" w:color="000000" w:sz="4"/>
              <w:bottom w:val="single" w:color="000000" w:sz="4"/>
              <w:right w:val="single" w:color="000000" w:sz="4"/>
            </w:tcBorders>
            <w:vAlign w:val="top"/>
          </w:tcPr>
          <w:p>
            <w:pPr>
              <w:jc w:val="center"/>
            </w:pPr>
          </w:p>
        </w:tc>
        <w:tc>
          <w:tcPr>
            <w:tcW w:type="dxa" w:w="640"/>
            <w:tcBorders>
              <w:top w:val="none" w:color="000000" w:sz="4"/>
              <w:left w:val="single" w:color="000000" w:sz="4"/>
              <w:bottom w:val="single" w:color="000000" w:sz="4"/>
              <w:right w:val="single" w:color="000000" w:sz="4"/>
            </w:tcBorders>
            <w:vAlign w:val="top"/>
          </w:tcPr>
          <w:p>
            <w:pPr>
              <w:jc w:val="center"/>
            </w:pPr>
          </w:p>
        </w:tc>
        <w:tc>
          <w:tcPr>
            <w:tcW w:type="dxa" w:w="640"/>
            <w:tcBorders>
              <w:top w:val="none" w:color="000000" w:sz="4"/>
              <w:left w:val="single" w:color="000000" w:sz="4"/>
              <w:bottom w:val="single" w:color="000000" w:sz="4"/>
              <w:right w:val="single" w:color="000000" w:sz="4"/>
            </w:tcBorders>
            <w:vAlign w:val="top"/>
          </w:tcPr>
          <w:p>
            <w:pPr>
              <w:jc w:val="center"/>
            </w:pPr>
          </w:p>
        </w:tc>
        <w:tc>
          <w:tcPr>
            <w:tcW w:type="dxa" w:w="1014"/>
            <w:tcBorders>
              <w:top w:val="none" w:color="000000" w:sz="4"/>
              <w:left w:val="single" w:color="000000" w:sz="4"/>
              <w:bottom w:val="single" w:color="000000" w:sz="4"/>
              <w:right w:val="single" w:color="000000" w:sz="4"/>
            </w:tcBorders>
            <w:vAlign w:val="top"/>
          </w:tcPr>
          <w:p>
            <w:pPr>
              <w:jc w:val="center"/>
            </w:pPr>
          </w:p>
        </w:tc>
        <w:tc>
          <w:tcPr>
            <w:tcW w:type="dxa" w:w="988"/>
            <w:tcBorders>
              <w:top w:val="none" w:color="000000" w:sz="4"/>
              <w:left w:val="single" w:color="000000" w:sz="4"/>
              <w:bottom w:val="single" w:color="000000" w:sz="4"/>
              <w:right w:val="single" w:color="000000" w:sz="4"/>
            </w:tcBorders>
            <w:vAlign w:val="top"/>
          </w:tcPr>
          <w:p>
            <w:pPr>
              <w:jc w:val="center"/>
            </w:pPr>
          </w:p>
        </w:tc>
      </w:tr>
      <w:tr>
        <w:tc>
          <w:tcPr>
            <w:tcW w:type="dxa" w:w="61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41"/>
            <w:tcBorders>
              <w:top w:val="none" w:color="000000" w:sz="4"/>
              <w:left w:val="single" w:color="000000" w:sz="4"/>
              <w:bottom w:val="single" w:color="000000" w:sz="4"/>
              <w:right w:val="single" w:color="000000" w:sz="4"/>
            </w:tcBorders>
            <w:vAlign w:val="top"/>
          </w:tcPr>
          <w:p>
            <w:pPr>
              <w:jc w:val="center"/>
            </w:pPr>
          </w:p>
        </w:tc>
        <w:tc>
          <w:tcPr>
            <w:tcW w:type="dxa" w:w="3338"/>
            <w:tcBorders>
              <w:top w:val="none" w:color="000000" w:sz="4"/>
              <w:left w:val="single" w:color="000000" w:sz="4"/>
              <w:bottom w:val="single" w:color="000000" w:sz="4"/>
              <w:right w:val="single" w:color="000000" w:sz="4"/>
            </w:tcBorders>
            <w:vAlign w:val="top"/>
          </w:tcPr>
          <w:p>
            <w:pPr>
              <w:jc w:val="center"/>
            </w:pPr>
          </w:p>
        </w:tc>
        <w:tc>
          <w:tcPr>
            <w:tcW w:type="dxa" w:w="640"/>
            <w:tcBorders>
              <w:top w:val="none" w:color="000000" w:sz="4"/>
              <w:left w:val="single" w:color="000000" w:sz="4"/>
              <w:bottom w:val="single" w:color="000000" w:sz="4"/>
              <w:right w:val="single" w:color="000000" w:sz="4"/>
            </w:tcBorders>
            <w:vAlign w:val="top"/>
          </w:tcPr>
          <w:p>
            <w:pPr>
              <w:jc w:val="center"/>
            </w:pPr>
          </w:p>
        </w:tc>
        <w:tc>
          <w:tcPr>
            <w:tcW w:type="dxa" w:w="640"/>
            <w:tcBorders>
              <w:top w:val="none" w:color="000000" w:sz="4"/>
              <w:left w:val="single" w:color="000000" w:sz="4"/>
              <w:bottom w:val="single" w:color="000000" w:sz="4"/>
              <w:right w:val="single" w:color="000000" w:sz="4"/>
            </w:tcBorders>
            <w:vAlign w:val="top"/>
          </w:tcPr>
          <w:p>
            <w:pPr>
              <w:jc w:val="center"/>
            </w:pPr>
          </w:p>
        </w:tc>
        <w:tc>
          <w:tcPr>
            <w:tcW w:type="dxa" w:w="1014"/>
            <w:tcBorders>
              <w:top w:val="none" w:color="000000" w:sz="4"/>
              <w:left w:val="single" w:color="000000" w:sz="4"/>
              <w:bottom w:val="single" w:color="000000" w:sz="4"/>
              <w:right w:val="single" w:color="000000" w:sz="4"/>
            </w:tcBorders>
            <w:vAlign w:val="top"/>
          </w:tcPr>
          <w:p>
            <w:pPr>
              <w:jc w:val="center"/>
            </w:pPr>
          </w:p>
        </w:tc>
        <w:tc>
          <w:tcPr>
            <w:tcW w:type="dxa" w:w="988"/>
            <w:tcBorders>
              <w:top w:val="none" w:color="000000" w:sz="4"/>
              <w:left w:val="single" w:color="000000" w:sz="4"/>
              <w:bottom w:val="single" w:color="000000" w:sz="4"/>
              <w:right w:val="single" w:color="000000" w:sz="4"/>
            </w:tcBorders>
            <w:vAlign w:val="top"/>
          </w:tcPr>
          <w:p>
            <w:pPr>
              <w:jc w:val="center"/>
            </w:pPr>
          </w:p>
        </w:tc>
      </w:tr>
      <w:tr>
        <w:tc>
          <w:tcPr>
            <w:tcW w:type="dxa" w:w="61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41"/>
            <w:tcBorders>
              <w:top w:val="none" w:color="000000" w:sz="4"/>
              <w:left w:val="single" w:color="000000" w:sz="4"/>
              <w:bottom w:val="single" w:color="000000" w:sz="4"/>
              <w:right w:val="single" w:color="000000" w:sz="4"/>
            </w:tcBorders>
            <w:vAlign w:val="top"/>
          </w:tcPr>
          <w:p>
            <w:pPr>
              <w:jc w:val="center"/>
            </w:pPr>
          </w:p>
        </w:tc>
        <w:tc>
          <w:tcPr>
            <w:tcW w:type="dxa" w:w="3338"/>
            <w:tcBorders>
              <w:top w:val="none" w:color="000000" w:sz="4"/>
              <w:left w:val="single" w:color="000000" w:sz="4"/>
              <w:bottom w:val="single" w:color="000000" w:sz="4"/>
              <w:right w:val="single" w:color="000000" w:sz="4"/>
            </w:tcBorders>
            <w:vAlign w:val="top"/>
          </w:tcPr>
          <w:p>
            <w:pPr>
              <w:jc w:val="center"/>
            </w:pPr>
          </w:p>
        </w:tc>
        <w:tc>
          <w:tcPr>
            <w:tcW w:type="dxa" w:w="640"/>
            <w:tcBorders>
              <w:top w:val="none" w:color="000000" w:sz="4"/>
              <w:left w:val="single" w:color="000000" w:sz="4"/>
              <w:bottom w:val="single" w:color="000000" w:sz="4"/>
              <w:right w:val="single" w:color="000000" w:sz="4"/>
            </w:tcBorders>
            <w:vAlign w:val="top"/>
          </w:tcPr>
          <w:p>
            <w:pPr>
              <w:jc w:val="center"/>
            </w:pPr>
          </w:p>
        </w:tc>
        <w:tc>
          <w:tcPr>
            <w:tcW w:type="dxa" w:w="640"/>
            <w:tcBorders>
              <w:top w:val="none" w:color="000000" w:sz="4"/>
              <w:left w:val="single" w:color="000000" w:sz="4"/>
              <w:bottom w:val="single" w:color="000000" w:sz="4"/>
              <w:right w:val="single" w:color="000000" w:sz="4"/>
            </w:tcBorders>
            <w:vAlign w:val="top"/>
          </w:tcPr>
          <w:p>
            <w:pPr>
              <w:jc w:val="center"/>
            </w:pPr>
          </w:p>
        </w:tc>
        <w:tc>
          <w:tcPr>
            <w:tcW w:type="dxa" w:w="1014"/>
            <w:tcBorders>
              <w:top w:val="none" w:color="000000" w:sz="4"/>
              <w:left w:val="single" w:color="000000" w:sz="4"/>
              <w:bottom w:val="single" w:color="000000" w:sz="4"/>
              <w:right w:val="single" w:color="000000" w:sz="4"/>
            </w:tcBorders>
            <w:vAlign w:val="top"/>
          </w:tcPr>
          <w:p>
            <w:pPr>
              <w:jc w:val="center"/>
            </w:pPr>
          </w:p>
        </w:tc>
        <w:tc>
          <w:tcPr>
            <w:tcW w:type="dxa" w:w="988"/>
            <w:tcBorders>
              <w:top w:val="none" w:color="000000" w:sz="4"/>
              <w:left w:val="single" w:color="000000" w:sz="4"/>
              <w:bottom w:val="single" w:color="000000" w:sz="4"/>
              <w:right w:val="single" w:color="000000" w:sz="4"/>
            </w:tcBorders>
            <w:vAlign w:val="top"/>
          </w:tcPr>
          <w:p>
            <w:pPr>
              <w:jc w:val="center"/>
            </w:pPr>
          </w:p>
        </w:tc>
      </w:tr>
      <w:tr>
        <w:tc>
          <w:tcPr>
            <w:tcW w:type="dxa" w:w="61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041"/>
            <w:tcBorders>
              <w:top w:val="none" w:color="000000" w:sz="4"/>
              <w:left w:val="single" w:color="000000" w:sz="4"/>
              <w:bottom w:val="single" w:color="000000" w:sz="4"/>
              <w:right w:val="single" w:color="000000" w:sz="4"/>
            </w:tcBorders>
            <w:vAlign w:val="top"/>
          </w:tcPr>
          <w:p>
            <w:pPr>
              <w:jc w:val="center"/>
            </w:pPr>
          </w:p>
        </w:tc>
        <w:tc>
          <w:tcPr>
            <w:tcW w:type="dxa" w:w="3338"/>
            <w:tcBorders>
              <w:top w:val="none" w:color="000000" w:sz="4"/>
              <w:left w:val="single" w:color="000000" w:sz="4"/>
              <w:bottom w:val="single" w:color="000000" w:sz="4"/>
              <w:right w:val="single" w:color="000000" w:sz="4"/>
            </w:tcBorders>
            <w:vAlign w:val="top"/>
          </w:tcPr>
          <w:p>
            <w:pPr>
              <w:jc w:val="center"/>
            </w:pPr>
          </w:p>
        </w:tc>
        <w:tc>
          <w:tcPr>
            <w:tcW w:type="dxa" w:w="640"/>
            <w:tcBorders>
              <w:top w:val="none" w:color="000000" w:sz="4"/>
              <w:left w:val="single" w:color="000000" w:sz="4"/>
              <w:bottom w:val="single" w:color="000000" w:sz="4"/>
              <w:right w:val="single" w:color="000000" w:sz="4"/>
            </w:tcBorders>
            <w:vAlign w:val="top"/>
          </w:tcPr>
          <w:p>
            <w:pPr>
              <w:jc w:val="center"/>
            </w:pPr>
          </w:p>
        </w:tc>
        <w:tc>
          <w:tcPr>
            <w:tcW w:type="dxa" w:w="640"/>
            <w:tcBorders>
              <w:top w:val="none" w:color="000000" w:sz="4"/>
              <w:left w:val="single" w:color="000000" w:sz="4"/>
              <w:bottom w:val="single" w:color="000000" w:sz="4"/>
              <w:right w:val="single" w:color="000000" w:sz="4"/>
            </w:tcBorders>
            <w:vAlign w:val="top"/>
          </w:tcPr>
          <w:p>
            <w:pPr>
              <w:jc w:val="center"/>
            </w:pPr>
          </w:p>
        </w:tc>
        <w:tc>
          <w:tcPr>
            <w:tcW w:type="dxa" w:w="1014"/>
            <w:tcBorders>
              <w:top w:val="none" w:color="000000" w:sz="4"/>
              <w:left w:val="single" w:color="000000" w:sz="4"/>
              <w:bottom w:val="single" w:color="000000" w:sz="4"/>
              <w:right w:val="single" w:color="000000" w:sz="4"/>
            </w:tcBorders>
            <w:vAlign w:val="top"/>
          </w:tcPr>
          <w:p>
            <w:pPr>
              <w:jc w:val="center"/>
            </w:pPr>
          </w:p>
        </w:tc>
        <w:tc>
          <w:tcPr>
            <w:tcW w:type="dxa" w:w="988"/>
            <w:tcBorders>
              <w:top w:val="none" w:color="000000" w:sz="4"/>
              <w:left w:val="single" w:color="000000" w:sz="4"/>
              <w:bottom w:val="single" w:color="000000" w:sz="4"/>
              <w:right w:val="single" w:color="000000" w:sz="4"/>
            </w:tcBorders>
            <w:vAlign w:val="top"/>
          </w:tcPr>
          <w:p>
            <w:pPr>
              <w:jc w:val="center"/>
            </w:pPr>
          </w:p>
        </w:tc>
      </w:tr>
      <w:tr>
        <w:tc>
          <w:tcPr>
            <w:tcW w:type="dxa" w:w="614"/>
            <w:tcBorders>
              <w:top w:val="none" w:color="000000" w:sz="4"/>
              <w:left w:val="single" w:color="000000" w:sz="4"/>
              <w:bottom w:val="single" w:color="000000" w:sz="4"/>
              <w:right w:val="single" w:color="000000" w:sz="4"/>
            </w:tcBorders>
            <w:vAlign w:val="top"/>
          </w:tcPr>
          <w:p>
            <w:pPr>
              <w:jc w:val="center"/>
            </w:pPr>
            <w:r>
              <w:rPr>
                <w:sz w:val="21"/>
              </w:rPr>
              <w:t>…</w:t>
            </w:r>
          </w:p>
        </w:tc>
        <w:tc>
          <w:tcPr>
            <w:tcW w:type="dxa" w:w="1041"/>
            <w:tcBorders>
              <w:top w:val="none" w:color="000000" w:sz="4"/>
              <w:left w:val="single" w:color="000000" w:sz="4"/>
              <w:bottom w:val="single" w:color="000000" w:sz="4"/>
              <w:right w:val="single" w:color="000000" w:sz="4"/>
            </w:tcBorders>
            <w:vAlign w:val="top"/>
          </w:tcPr>
          <w:p>
            <w:pPr>
              <w:jc w:val="center"/>
            </w:pPr>
          </w:p>
        </w:tc>
        <w:tc>
          <w:tcPr>
            <w:tcW w:type="dxa" w:w="3338"/>
            <w:tcBorders>
              <w:top w:val="none" w:color="000000" w:sz="4"/>
              <w:left w:val="single" w:color="000000" w:sz="4"/>
              <w:bottom w:val="single" w:color="000000" w:sz="4"/>
              <w:right w:val="single" w:color="000000" w:sz="4"/>
            </w:tcBorders>
            <w:vAlign w:val="top"/>
          </w:tcPr>
          <w:p>
            <w:pPr>
              <w:jc w:val="center"/>
            </w:pPr>
          </w:p>
        </w:tc>
        <w:tc>
          <w:tcPr>
            <w:tcW w:type="dxa" w:w="640"/>
            <w:tcBorders>
              <w:top w:val="none" w:color="000000" w:sz="4"/>
              <w:left w:val="single" w:color="000000" w:sz="4"/>
              <w:bottom w:val="single" w:color="000000" w:sz="4"/>
              <w:right w:val="single" w:color="000000" w:sz="4"/>
            </w:tcBorders>
            <w:vAlign w:val="top"/>
          </w:tcPr>
          <w:p>
            <w:pPr>
              <w:jc w:val="center"/>
            </w:pPr>
          </w:p>
        </w:tc>
        <w:tc>
          <w:tcPr>
            <w:tcW w:type="dxa" w:w="640"/>
            <w:tcBorders>
              <w:top w:val="none" w:color="000000" w:sz="4"/>
              <w:left w:val="single" w:color="000000" w:sz="4"/>
              <w:bottom w:val="single" w:color="000000" w:sz="4"/>
              <w:right w:val="single" w:color="000000" w:sz="4"/>
            </w:tcBorders>
            <w:vAlign w:val="top"/>
          </w:tcPr>
          <w:p>
            <w:pPr>
              <w:jc w:val="center"/>
            </w:pPr>
          </w:p>
        </w:tc>
        <w:tc>
          <w:tcPr>
            <w:tcW w:type="dxa" w:w="1014"/>
            <w:tcBorders>
              <w:top w:val="none" w:color="000000" w:sz="4"/>
              <w:left w:val="single" w:color="000000" w:sz="4"/>
              <w:bottom w:val="single" w:color="000000" w:sz="4"/>
              <w:right w:val="single" w:color="000000" w:sz="4"/>
            </w:tcBorders>
            <w:vAlign w:val="top"/>
          </w:tcPr>
          <w:p>
            <w:pPr>
              <w:jc w:val="center"/>
            </w:pPr>
          </w:p>
        </w:tc>
        <w:tc>
          <w:tcPr>
            <w:tcW w:type="dxa" w:w="988"/>
            <w:tcBorders>
              <w:top w:val="none" w:color="000000" w:sz="4"/>
              <w:left w:val="single" w:color="000000" w:sz="4"/>
              <w:bottom w:val="single" w:color="000000" w:sz="4"/>
              <w:right w:val="single" w:color="000000" w:sz="4"/>
            </w:tcBorders>
            <w:vAlign w:val="top"/>
          </w:tcPr>
          <w:p>
            <w:pPr>
              <w:jc w:val="center"/>
            </w:pPr>
          </w:p>
        </w:tc>
      </w:tr>
      <w:tr>
        <w:tc>
          <w:tcPr>
            <w:tcW w:type="dxa" w:w="8275"/>
            <w:gridSpan w:val="7"/>
            <w:tcBorders>
              <w:top w:val="none" w:color="000000" w:sz="4"/>
              <w:left w:val="single" w:color="000000" w:sz="4"/>
              <w:bottom w:val="single" w:color="000000" w:sz="4"/>
              <w:right w:val="single" w:color="000000" w:sz="4"/>
            </w:tcBorders>
            <w:vAlign w:val="top"/>
          </w:tcPr>
          <w:p>
            <w:pPr>
              <w:jc w:val="center"/>
            </w:pPr>
            <w:r>
              <w:rPr>
                <w:sz w:val="21"/>
              </w:rPr>
              <w:t>合计总额：</w:t>
            </w:r>
            <w:r>
              <w:rPr>
                <w:sz w:val="21"/>
              </w:rPr>
              <w:t>¥</w:t>
            </w:r>
            <w:r>
              <w:rPr>
                <w:sz w:val="21"/>
                <w:u w:val="single"/>
              </w:rPr>
              <w:t xml:space="preserve">                           </w:t>
            </w:r>
            <w:r>
              <w:rPr>
                <w:sz w:val="21"/>
              </w:rPr>
              <w:t>；</w:t>
            </w:r>
            <w:r>
              <w:rPr>
                <w:sz w:val="21"/>
              </w:rPr>
              <w:t xml:space="preserve">  </w:t>
            </w:r>
            <w:r>
              <w:rPr>
                <w:sz w:val="21"/>
              </w:rPr>
              <w:t>大写：</w:t>
            </w:r>
          </w:p>
        </w:tc>
      </w:tr>
    </w:tbl>
    <w:p>
      <w:pPr>
        <w:ind w:firstLine="480"/>
        <w:jc w:val="both"/>
      </w:pPr>
      <w:r>
        <w:rPr>
          <w:sz w:val="21"/>
        </w:rPr>
        <w:t>合同总额包括</w:t>
      </w:r>
      <w:r>
        <w:rPr>
          <w:sz w:val="21"/>
        </w:rPr>
        <w:t>但不限于</w:t>
      </w:r>
      <w:r>
        <w:rPr>
          <w:sz w:val="21"/>
        </w:rPr>
        <w:t>不限于货物费、运输费、保险费、安装费、技术服务费（含联络费、培训费、调试费、保修费）、随机零配件、标配工具、税费、验收费、质保期服务及不可预见费等完成本招标内容所需的一切费用。</w:t>
      </w:r>
      <w:r>
        <w:rPr>
          <w:sz w:val="21"/>
        </w:rPr>
        <w:t>乙方</w:t>
      </w:r>
      <w:r>
        <w:rPr>
          <w:sz w:val="21"/>
        </w:rPr>
        <w:t>在合同期内出现的任何遗漏，均由</w:t>
      </w:r>
      <w:r>
        <w:rPr>
          <w:sz w:val="21"/>
        </w:rPr>
        <w:t>乙方</w:t>
      </w:r>
      <w:r>
        <w:rPr>
          <w:sz w:val="21"/>
        </w:rPr>
        <w:t>负责，</w:t>
      </w:r>
      <w:r>
        <w:rPr>
          <w:sz w:val="21"/>
        </w:rPr>
        <w:t>甲方</w:t>
      </w:r>
      <w:r>
        <w:rPr>
          <w:sz w:val="21"/>
        </w:rPr>
        <w:t>将不再另外支付任何费用。</w:t>
      </w:r>
    </w:p>
    <w:p>
      <w:pPr>
        <w:ind w:firstLine="480"/>
        <w:jc w:val="both"/>
      </w:pPr>
      <w:r>
        <w:rPr>
          <w:sz w:val="21"/>
        </w:rPr>
        <w:t>注：货物名称内容必须与投标文件中货物名称内容一致。</w:t>
      </w:r>
    </w:p>
    <w:p>
      <w:pPr>
        <w:jc w:val="both"/>
      </w:pPr>
      <w:r>
        <w:rPr>
          <w:b/>
          <w:sz w:val="21"/>
        </w:rPr>
        <w:t>二、合同金额</w:t>
      </w:r>
    </w:p>
    <w:p>
      <w:pPr>
        <w:ind w:firstLine="480"/>
        <w:jc w:val="both"/>
      </w:pPr>
      <w:r>
        <w:rPr>
          <w:sz w:val="21"/>
        </w:rPr>
        <w:t>合同金额为（大写）：人民币</w:t>
      </w:r>
      <w:r>
        <w:rPr>
          <w:sz w:val="21"/>
          <w:u w:val="single"/>
        </w:rPr>
        <w:t xml:space="preserve">           </w:t>
      </w:r>
      <w:r>
        <w:rPr>
          <w:sz w:val="21"/>
        </w:rPr>
        <w:t>元（</w:t>
      </w:r>
      <w:r>
        <w:rPr>
          <w:sz w:val="21"/>
        </w:rPr>
        <w:t>¥</w:t>
      </w:r>
      <w:r>
        <w:rPr>
          <w:sz w:val="21"/>
          <w:u w:val="single"/>
        </w:rPr>
        <w:t xml:space="preserve">           </w:t>
      </w:r>
      <w:r>
        <w:rPr>
          <w:sz w:val="21"/>
        </w:rPr>
        <w:t>元）。</w:t>
      </w:r>
    </w:p>
    <w:p>
      <w:pPr>
        <w:jc w:val="both"/>
      </w:pPr>
      <w:r>
        <w:rPr>
          <w:b/>
          <w:sz w:val="21"/>
        </w:rPr>
        <w:t>三、交货期及交货地点</w:t>
      </w:r>
    </w:p>
    <w:p>
      <w:pPr>
        <w:jc w:val="both"/>
      </w:pPr>
      <w:r>
        <w:rPr>
          <w:sz w:val="21"/>
        </w:rPr>
        <w:t>1.交货期：合同签订后</w:t>
      </w:r>
      <w:r>
        <w:rPr>
          <w:sz w:val="21"/>
          <w:u w:val="single"/>
        </w:rPr>
        <w:t xml:space="preserve">     </w:t>
      </w:r>
      <w:r>
        <w:rPr>
          <w:sz w:val="21"/>
        </w:rPr>
        <w:t>天</w:t>
      </w:r>
      <w:r>
        <w:rPr>
          <w:sz w:val="21"/>
        </w:rPr>
        <w:t>内完成全部货物交货、安装、调试和验收合格。</w:t>
      </w:r>
    </w:p>
    <w:p>
      <w:pPr>
        <w:jc w:val="left"/>
      </w:pPr>
      <w:r>
        <w:rPr>
          <w:sz w:val="21"/>
        </w:rPr>
        <w:t>2.交货地点：佛山市南海区第五人民医院，甲方指定地点。</w:t>
      </w:r>
    </w:p>
    <w:p>
      <w:pPr>
        <w:jc w:val="both"/>
      </w:pPr>
      <w:r>
        <w:rPr>
          <w:b/>
          <w:sz w:val="21"/>
        </w:rPr>
        <w:t>四、保修期、售后服务</w:t>
      </w:r>
    </w:p>
    <w:p>
      <w:pPr>
        <w:ind w:firstLine="480"/>
        <w:jc w:val="both"/>
      </w:pPr>
      <w:r>
        <w:rPr>
          <w:sz w:val="21"/>
        </w:rPr>
        <w:t>1.保修</w:t>
      </w:r>
      <w:r>
        <w:rPr>
          <w:sz w:val="21"/>
          <w:u w:val="single"/>
        </w:rPr>
        <w:t xml:space="preserve">    </w:t>
      </w:r>
      <w:r>
        <w:rPr>
          <w:sz w:val="21"/>
        </w:rPr>
        <w:t>年，自甲方验收合格之日起计算。保修期满后，乙方为设备提供终身维护（有偿），并对器械</w:t>
      </w:r>
      <w:r>
        <w:rPr>
          <w:sz w:val="21"/>
        </w:rPr>
        <w:t>进行检测和维护。</w:t>
      </w:r>
    </w:p>
    <w:p>
      <w:pPr>
        <w:ind w:firstLine="480"/>
        <w:jc w:val="both"/>
      </w:pPr>
      <w:r>
        <w:rPr>
          <w:sz w:val="21"/>
        </w:rPr>
        <w:t>2.</w:t>
      </w:r>
      <w:r>
        <w:rPr>
          <w:sz w:val="21"/>
        </w:rPr>
        <w:t>乙方</w:t>
      </w:r>
      <w:r>
        <w:rPr>
          <w:sz w:val="21"/>
        </w:rPr>
        <w:t>需提供货物的快速操作指引卡、完整厂家操作手册、维修保养手册和图纸（包括光盘等），并提供完整的校验检测专用模具和工具，货物应由具备资格认证的工程师进行现场安装。</w:t>
      </w:r>
    </w:p>
    <w:p>
      <w:pPr>
        <w:ind w:firstLine="480"/>
        <w:jc w:val="both"/>
      </w:pPr>
      <w:r>
        <w:rPr>
          <w:sz w:val="21"/>
        </w:rPr>
        <w:t>3.技术服务培训安排：</w:t>
      </w:r>
    </w:p>
    <w:p>
      <w:pPr>
        <w:ind w:firstLine="480"/>
        <w:jc w:val="both"/>
      </w:pPr>
      <w:r>
        <w:rPr>
          <w:sz w:val="21"/>
        </w:rPr>
        <w:t>（</w:t>
      </w:r>
      <w:r>
        <w:rPr>
          <w:sz w:val="21"/>
        </w:rPr>
        <w:t>1）</w:t>
      </w:r>
      <w:r>
        <w:rPr>
          <w:sz w:val="21"/>
        </w:rPr>
        <w:t>乙方</w:t>
      </w:r>
      <w:r>
        <w:rPr>
          <w:sz w:val="21"/>
        </w:rPr>
        <w:t>负责在现场对设备操作人员进行产品特性、构造、工作原理、相关功能的运用操作、日常保养及维护等进行全程示范、操作性专职培训，保证</w:t>
      </w:r>
      <w:r>
        <w:rPr>
          <w:sz w:val="21"/>
        </w:rPr>
        <w:t>甲方</w:t>
      </w:r>
      <w:r>
        <w:rPr>
          <w:sz w:val="21"/>
        </w:rPr>
        <w:t>使用人员能够熟练掌握各种设备和软件等常规使用方法，特殊情况需要求到院外进行培训的，所产生食宿及培训费用由</w:t>
      </w:r>
      <w:r>
        <w:rPr>
          <w:sz w:val="21"/>
        </w:rPr>
        <w:t>乙方</w:t>
      </w:r>
      <w:r>
        <w:rPr>
          <w:sz w:val="21"/>
        </w:rPr>
        <w:t>承担。</w:t>
      </w:r>
    </w:p>
    <w:p>
      <w:pPr>
        <w:ind w:firstLine="480"/>
        <w:jc w:val="both"/>
      </w:pPr>
      <w:r>
        <w:rPr>
          <w:sz w:val="21"/>
        </w:rPr>
        <w:t>（</w:t>
      </w:r>
      <w:r>
        <w:rPr>
          <w:sz w:val="21"/>
        </w:rPr>
        <w:t>2）</w:t>
      </w:r>
      <w:r>
        <w:rPr>
          <w:sz w:val="21"/>
        </w:rPr>
        <w:t>乙方</w:t>
      </w:r>
      <w:r>
        <w:rPr>
          <w:sz w:val="21"/>
        </w:rPr>
        <w:t>在现场安装及日常维护时负责对</w:t>
      </w:r>
      <w:r>
        <w:rPr>
          <w:sz w:val="21"/>
        </w:rPr>
        <w:t>甲方</w:t>
      </w:r>
      <w:r>
        <w:rPr>
          <w:sz w:val="21"/>
        </w:rPr>
        <w:t>维修保养人员进行培训，负责设备的一般维修保养，所需费用包含在</w:t>
      </w:r>
      <w:r>
        <w:rPr>
          <w:sz w:val="21"/>
        </w:rPr>
        <w:t>合同总价</w:t>
      </w:r>
      <w:r>
        <w:rPr>
          <w:sz w:val="21"/>
        </w:rPr>
        <w:t>中。</w:t>
      </w:r>
    </w:p>
    <w:p>
      <w:pPr>
        <w:ind w:firstLine="480"/>
        <w:jc w:val="both"/>
      </w:pPr>
      <w:r>
        <w:rPr>
          <w:sz w:val="21"/>
        </w:rPr>
        <w:t>（</w:t>
      </w:r>
      <w:r>
        <w:rPr>
          <w:sz w:val="21"/>
        </w:rPr>
        <w:t>3）为确保能顺利开展临床相关工作，</w:t>
      </w:r>
      <w:r>
        <w:rPr>
          <w:sz w:val="21"/>
        </w:rPr>
        <w:t>乙方</w:t>
      </w:r>
      <w:r>
        <w:rPr>
          <w:sz w:val="21"/>
        </w:rPr>
        <w:t>应随时负责上门进行技术支持；设备验收完毕后对</w:t>
      </w:r>
      <w:r>
        <w:rPr>
          <w:sz w:val="21"/>
        </w:rPr>
        <w:t>甲方</w:t>
      </w:r>
      <w:r>
        <w:rPr>
          <w:sz w:val="21"/>
        </w:rPr>
        <w:t>技术人员进行跟踪指导，及时解决使用中遇到的疑难问题，确保设备使用操作正常。</w:t>
      </w:r>
    </w:p>
    <w:p>
      <w:pPr>
        <w:ind w:firstLine="480"/>
        <w:jc w:val="both"/>
      </w:pPr>
      <w:r>
        <w:rPr>
          <w:sz w:val="21"/>
        </w:rPr>
        <w:t>（</w:t>
      </w:r>
      <w:r>
        <w:rPr>
          <w:sz w:val="21"/>
        </w:rPr>
        <w:t>4）</w:t>
      </w:r>
      <w:r>
        <w:rPr>
          <w:sz w:val="21"/>
        </w:rPr>
        <w:t>乙方</w:t>
      </w:r>
      <w:r>
        <w:rPr>
          <w:sz w:val="21"/>
        </w:rPr>
        <w:t>需及时对产品进行技术升级，确保</w:t>
      </w:r>
      <w:r>
        <w:rPr>
          <w:sz w:val="21"/>
        </w:rPr>
        <w:t>甲方</w:t>
      </w:r>
      <w:r>
        <w:rPr>
          <w:sz w:val="21"/>
        </w:rPr>
        <w:t>享受厂家所提供的新科技成果，并负责技术指导、培训，所需费用包含在</w:t>
      </w:r>
      <w:r>
        <w:rPr>
          <w:sz w:val="21"/>
        </w:rPr>
        <w:t>合同总价</w:t>
      </w:r>
      <w:r>
        <w:rPr>
          <w:sz w:val="21"/>
        </w:rPr>
        <w:t>中。</w:t>
      </w:r>
    </w:p>
    <w:p>
      <w:pPr>
        <w:ind w:firstLine="480"/>
        <w:jc w:val="both"/>
      </w:pPr>
      <w:r>
        <w:rPr>
          <w:sz w:val="21"/>
        </w:rPr>
        <w:t>4.故障维修响应时间：保修期内在接到故障通知后</w:t>
      </w:r>
      <w:r>
        <w:rPr>
          <w:sz w:val="21"/>
          <w:u w:val="single"/>
        </w:rPr>
        <w:t xml:space="preserve"> </w:t>
      </w:r>
      <w:r>
        <w:rPr>
          <w:sz w:val="21"/>
          <w:u w:val="single"/>
        </w:rPr>
        <w:t xml:space="preserve"> </w:t>
      </w:r>
      <w:r>
        <w:rPr>
          <w:sz w:val="21"/>
          <w:u w:val="single"/>
        </w:rPr>
        <w:t xml:space="preserve">  </w:t>
      </w:r>
      <w:r>
        <w:rPr>
          <w:sz w:val="21"/>
        </w:rPr>
        <w:t>小时内响应，</w:t>
      </w:r>
      <w:r>
        <w:rPr>
          <w:sz w:val="21"/>
          <w:u w:val="single"/>
        </w:rPr>
        <w:t xml:space="preserve"> </w:t>
      </w:r>
      <w:r>
        <w:rPr>
          <w:sz w:val="21"/>
          <w:u w:val="single"/>
        </w:rPr>
        <w:t xml:space="preserve">  </w:t>
      </w:r>
      <w:r>
        <w:rPr>
          <w:sz w:val="21"/>
          <w:u w:val="single"/>
        </w:rPr>
        <w:t xml:space="preserve"> </w:t>
      </w:r>
      <w:r>
        <w:rPr>
          <w:sz w:val="21"/>
        </w:rPr>
        <w:t>小时内到达故障现场检修，如</w:t>
      </w:r>
      <w:r>
        <w:rPr>
          <w:sz w:val="21"/>
          <w:u w:val="single"/>
        </w:rPr>
        <w:t xml:space="preserve">   </w:t>
      </w:r>
      <w:r>
        <w:rPr>
          <w:sz w:val="21"/>
        </w:rPr>
        <w:t>小时内无法修复，将无偿提供同档次设备给</w:t>
      </w:r>
      <w:r>
        <w:rPr>
          <w:sz w:val="21"/>
        </w:rPr>
        <w:t>甲方</w:t>
      </w:r>
      <w:r>
        <w:rPr>
          <w:sz w:val="21"/>
        </w:rPr>
        <w:t>备用，所需费用包含在合同总价中。</w:t>
      </w:r>
    </w:p>
    <w:p>
      <w:pPr>
        <w:ind w:firstLine="480"/>
        <w:jc w:val="both"/>
      </w:pPr>
      <w:r>
        <w:rPr>
          <w:sz w:val="21"/>
        </w:rPr>
        <w:t>5</w:t>
      </w:r>
      <w:r>
        <w:rPr>
          <w:sz w:val="21"/>
        </w:rPr>
        <w:t>.每次维修或保养前负责工程师事先与</w:t>
      </w:r>
      <w:r>
        <w:rPr>
          <w:sz w:val="21"/>
        </w:rPr>
        <w:t>甲方</w:t>
      </w:r>
      <w:r>
        <w:rPr>
          <w:sz w:val="21"/>
        </w:rPr>
        <w:t>沟通，约定具体时间，征求</w:t>
      </w:r>
      <w:r>
        <w:rPr>
          <w:sz w:val="21"/>
        </w:rPr>
        <w:t>甲方</w:t>
      </w:r>
      <w:r>
        <w:rPr>
          <w:sz w:val="21"/>
        </w:rPr>
        <w:t>意见，结合实际情况采取最快最有效的方法确保仪器能正常运转。</w:t>
      </w:r>
    </w:p>
    <w:p>
      <w:pPr>
        <w:jc w:val="both"/>
      </w:pPr>
      <w:r>
        <w:rPr>
          <w:b/>
          <w:sz w:val="21"/>
        </w:rPr>
        <w:t>五、验收标准</w:t>
      </w:r>
    </w:p>
    <w:p>
      <w:pPr>
        <w:ind w:firstLine="480"/>
        <w:jc w:val="both"/>
      </w:pPr>
      <w:r>
        <w:rPr>
          <w:sz w:val="21"/>
        </w:rPr>
        <w:t>1.货物若有国家标准按照国家标准验收，若无国家标准按行业标准验收，为原制造商制造的全新产品，整机无污染，无侵权行为、表面无划损、无任何缺陷隐患，在中国境内可依常规安全合法使用。</w:t>
      </w:r>
    </w:p>
    <w:p>
      <w:pPr>
        <w:ind w:firstLine="480"/>
        <w:jc w:val="both"/>
      </w:pPr>
      <w:r>
        <w:rPr>
          <w:sz w:val="21"/>
        </w:rPr>
        <w:t>2</w:t>
      </w:r>
      <w:r>
        <w:rPr>
          <w:sz w:val="21"/>
        </w:rPr>
        <w:t>.货物为原厂商未启封全新包装，具出厂合格证，序列号、包装箱号与出厂批号一致，并可追索查阅。所有随设备的附件必须齐全。</w:t>
      </w:r>
    </w:p>
    <w:p>
      <w:pPr>
        <w:ind w:firstLine="480"/>
        <w:jc w:val="both"/>
      </w:pPr>
      <w:r>
        <w:rPr>
          <w:sz w:val="21"/>
        </w:rPr>
        <w:t>3</w:t>
      </w:r>
      <w:r>
        <w:rPr>
          <w:sz w:val="21"/>
        </w:rPr>
        <w:t>.</w:t>
      </w:r>
      <w:r>
        <w:rPr>
          <w:sz w:val="21"/>
        </w:rPr>
        <w:t>乙方</w:t>
      </w:r>
      <w:r>
        <w:rPr>
          <w:sz w:val="21"/>
        </w:rPr>
        <w:t>应将关键主机设备的用户手册、保修手册、有关单证资料及配备件、随机工具等交付给</w:t>
      </w:r>
      <w:r>
        <w:rPr>
          <w:sz w:val="21"/>
        </w:rPr>
        <w:t>甲方</w:t>
      </w:r>
      <w:r>
        <w:rPr>
          <w:sz w:val="21"/>
        </w:rPr>
        <w:t>，使用操作及安全须知等重要资料应附有中文说明。</w:t>
      </w:r>
    </w:p>
    <w:p>
      <w:pPr>
        <w:ind w:firstLine="480"/>
        <w:jc w:val="both"/>
      </w:pPr>
      <w:r>
        <w:rPr>
          <w:sz w:val="21"/>
        </w:rPr>
        <w:t>4</w:t>
      </w:r>
      <w:r>
        <w:rPr>
          <w:sz w:val="21"/>
        </w:rPr>
        <w:t>.</w:t>
      </w:r>
      <w:r>
        <w:rPr>
          <w:sz w:val="21"/>
        </w:rPr>
        <w:t>甲方</w:t>
      </w:r>
      <w:r>
        <w:rPr>
          <w:sz w:val="21"/>
        </w:rPr>
        <w:t>组成验收小组按国家有关规定、规范进行验收，必要时邀请相关的专业人员或机构参与验收。因货物质量问题发生争议时，由</w:t>
      </w:r>
      <w:r>
        <w:rPr>
          <w:sz w:val="21"/>
        </w:rPr>
        <w:t>甲方</w:t>
      </w:r>
      <w:r>
        <w:rPr>
          <w:sz w:val="21"/>
        </w:rPr>
        <w:t>所在地的质量技术监督部门鉴定。货物符合质量技术标准的，鉴定费由</w:t>
      </w:r>
      <w:r>
        <w:rPr>
          <w:sz w:val="21"/>
        </w:rPr>
        <w:t>甲方</w:t>
      </w:r>
      <w:r>
        <w:rPr>
          <w:sz w:val="21"/>
        </w:rPr>
        <w:t>承担；否则鉴定费由</w:t>
      </w:r>
      <w:r>
        <w:rPr>
          <w:sz w:val="21"/>
        </w:rPr>
        <w:t>乙方</w:t>
      </w:r>
      <w:r>
        <w:rPr>
          <w:sz w:val="21"/>
        </w:rPr>
        <w:t>承担。</w:t>
      </w:r>
    </w:p>
    <w:p>
      <w:pPr>
        <w:jc w:val="both"/>
      </w:pPr>
      <w:r>
        <w:rPr>
          <w:b/>
          <w:sz w:val="21"/>
        </w:rPr>
        <w:t>六、付款方式</w:t>
      </w:r>
    </w:p>
    <w:p>
      <w:pPr>
        <w:ind w:firstLine="480"/>
        <w:jc w:val="both"/>
      </w:pPr>
      <w:r>
        <w:rPr>
          <w:sz w:val="21"/>
        </w:rPr>
        <w:t>1</w:t>
      </w:r>
      <w:r>
        <w:rPr>
          <w:sz w:val="21"/>
        </w:rPr>
        <w:t>期：支付比例</w:t>
      </w:r>
      <w:r>
        <w:rPr>
          <w:sz w:val="21"/>
        </w:rPr>
        <w:t>45%</w:t>
      </w:r>
    </w:p>
    <w:p>
      <w:pPr>
        <w:ind w:firstLine="480"/>
        <w:jc w:val="both"/>
      </w:pPr>
      <w:r>
        <w:rPr>
          <w:sz w:val="21"/>
        </w:rPr>
        <w:t>本合同的每笔款项以人民币支票或银行汇款方式支付，合同设备到</w:t>
      </w:r>
      <w:r>
        <w:rPr>
          <w:sz w:val="21"/>
        </w:rPr>
        <w:t>甲方</w:t>
      </w:r>
      <w:r>
        <w:rPr>
          <w:sz w:val="21"/>
        </w:rPr>
        <w:t>指定地点交付并完成安装验收后，</w:t>
      </w:r>
      <w:r>
        <w:rPr>
          <w:sz w:val="21"/>
        </w:rPr>
        <w:t>乙方</w:t>
      </w:r>
      <w:r>
        <w:rPr>
          <w:sz w:val="21"/>
        </w:rPr>
        <w:t>凭：</w:t>
      </w:r>
    </w:p>
    <w:p>
      <w:pPr>
        <w:ind w:firstLine="480"/>
        <w:jc w:val="both"/>
      </w:pPr>
      <w:r>
        <w:rPr>
          <w:sz w:val="21"/>
        </w:rPr>
        <w:t>1</w:t>
      </w:r>
      <w:r>
        <w:rPr>
          <w:sz w:val="21"/>
        </w:rPr>
        <w:t>.</w:t>
      </w:r>
      <w:r>
        <w:rPr>
          <w:sz w:val="21"/>
        </w:rPr>
        <w:t>合同；</w:t>
      </w:r>
    </w:p>
    <w:p>
      <w:pPr>
        <w:ind w:firstLine="480"/>
        <w:jc w:val="both"/>
      </w:pPr>
      <w:r>
        <w:rPr>
          <w:sz w:val="21"/>
        </w:rPr>
        <w:t>2</w:t>
      </w:r>
      <w:r>
        <w:rPr>
          <w:sz w:val="21"/>
        </w:rPr>
        <w:t>.</w:t>
      </w:r>
      <w:r>
        <w:rPr>
          <w:sz w:val="21"/>
        </w:rPr>
        <w:t>验收调试合格报告（验收时间为货到安装完成后一个月内）；</w:t>
      </w:r>
    </w:p>
    <w:p>
      <w:pPr>
        <w:ind w:firstLine="480"/>
        <w:jc w:val="both"/>
      </w:pPr>
      <w:r>
        <w:rPr>
          <w:sz w:val="21"/>
        </w:rPr>
        <w:t>3</w:t>
      </w:r>
      <w:r>
        <w:rPr>
          <w:sz w:val="21"/>
        </w:rPr>
        <w:t>.</w:t>
      </w:r>
      <w:r>
        <w:rPr>
          <w:sz w:val="21"/>
        </w:rPr>
        <w:t>开具的正式发票等。</w:t>
      </w:r>
    </w:p>
    <w:p>
      <w:pPr>
        <w:ind w:firstLine="480"/>
        <w:jc w:val="both"/>
      </w:pPr>
      <w:r>
        <w:rPr>
          <w:sz w:val="21"/>
        </w:rPr>
        <w:t>到货安装、调试完成后一个月内由</w:t>
      </w:r>
      <w:r>
        <w:rPr>
          <w:sz w:val="21"/>
        </w:rPr>
        <w:t>甲方</w:t>
      </w:r>
      <w:r>
        <w:rPr>
          <w:sz w:val="21"/>
        </w:rPr>
        <w:t>向</w:t>
      </w:r>
      <w:r>
        <w:rPr>
          <w:sz w:val="21"/>
        </w:rPr>
        <w:t>乙方</w:t>
      </w:r>
      <w:r>
        <w:rPr>
          <w:sz w:val="21"/>
        </w:rPr>
        <w:t>支付合同款项的</w:t>
      </w:r>
      <w:r>
        <w:rPr>
          <w:sz w:val="21"/>
        </w:rPr>
        <w:t>45%；</w:t>
      </w:r>
    </w:p>
    <w:p>
      <w:pPr>
        <w:ind w:firstLine="480"/>
        <w:jc w:val="both"/>
      </w:pPr>
      <w:r>
        <w:rPr>
          <w:sz w:val="21"/>
        </w:rPr>
        <w:t>2期：支付比例45%</w:t>
      </w:r>
    </w:p>
    <w:p>
      <w:pPr>
        <w:ind w:firstLine="480"/>
        <w:jc w:val="both"/>
      </w:pPr>
      <w:r>
        <w:rPr>
          <w:sz w:val="21"/>
        </w:rPr>
        <w:t>验收合格后二个月内由</w:t>
      </w:r>
      <w:r>
        <w:rPr>
          <w:sz w:val="21"/>
        </w:rPr>
        <w:t>甲方</w:t>
      </w:r>
      <w:r>
        <w:rPr>
          <w:sz w:val="21"/>
        </w:rPr>
        <w:t>向</w:t>
      </w:r>
      <w:r>
        <w:rPr>
          <w:sz w:val="21"/>
        </w:rPr>
        <w:t>乙方</w:t>
      </w:r>
      <w:r>
        <w:rPr>
          <w:sz w:val="21"/>
        </w:rPr>
        <w:t>支付合同款项的</w:t>
      </w:r>
      <w:r>
        <w:rPr>
          <w:sz w:val="21"/>
        </w:rPr>
        <w:t>45%；</w:t>
      </w:r>
    </w:p>
    <w:p>
      <w:pPr>
        <w:ind w:firstLine="480"/>
        <w:jc w:val="both"/>
      </w:pPr>
      <w:r>
        <w:rPr>
          <w:sz w:val="21"/>
        </w:rPr>
        <w:t>3期：支付比例10%</w:t>
      </w:r>
    </w:p>
    <w:p>
      <w:pPr>
        <w:ind w:firstLine="480"/>
        <w:jc w:val="both"/>
      </w:pPr>
      <w:r>
        <w:rPr>
          <w:sz w:val="21"/>
        </w:rPr>
        <w:t>余款在验收合格一年后由</w:t>
      </w:r>
      <w:r>
        <w:rPr>
          <w:sz w:val="21"/>
        </w:rPr>
        <w:t>甲方</w:t>
      </w:r>
      <w:r>
        <w:rPr>
          <w:sz w:val="21"/>
        </w:rPr>
        <w:t>付清。</w:t>
      </w:r>
    </w:p>
    <w:p>
      <w:pPr>
        <w:jc w:val="both"/>
      </w:pPr>
      <w:r>
        <w:rPr>
          <w:b/>
          <w:sz w:val="21"/>
        </w:rPr>
        <w:t>七、违约责任与赔偿损失</w:t>
      </w:r>
    </w:p>
    <w:p>
      <w:pPr>
        <w:ind w:firstLine="480"/>
        <w:jc w:val="both"/>
      </w:pPr>
      <w:r>
        <w:rPr>
          <w:sz w:val="21"/>
        </w:rPr>
        <w:t>1.乙方交付的货物不符合本合同规定的，甲方有权拒收，并且乙方须向甲方支付本合同总价5%的违约金。</w:t>
      </w:r>
    </w:p>
    <w:p>
      <w:pPr>
        <w:ind w:firstLine="480"/>
        <w:jc w:val="both"/>
      </w:pPr>
      <w:r>
        <w:rPr>
          <w:sz w:val="21"/>
        </w:rPr>
        <w:t>2.乙方未能按本合同规定的时间交付货物的，从逾期之日起每日按本合同总价3‰的数额向甲方支付违约金；逾期半个月以上的，甲方有权终止合同，由此造成的甲方经济损失由乙方承担。</w:t>
      </w:r>
    </w:p>
    <w:p>
      <w:pPr>
        <w:ind w:firstLine="480"/>
        <w:jc w:val="both"/>
      </w:pPr>
      <w:r>
        <w:rPr>
          <w:sz w:val="21"/>
        </w:rPr>
        <w:t>3.甲方无正当理由拒收货物，到期拒付货物款项的，甲方向乙方偿付本合同总价的5%的违约金。甲方人逾期付款，则每日按本合同总价的3‰向乙方偿付违约金。</w:t>
      </w:r>
    </w:p>
    <w:p>
      <w:pPr>
        <w:ind w:firstLine="480"/>
        <w:jc w:val="both"/>
      </w:pPr>
      <w:r>
        <w:rPr>
          <w:sz w:val="21"/>
        </w:rPr>
        <w:t>4.其它违约责任按《中华人民共和国民法典》处理。</w:t>
      </w:r>
    </w:p>
    <w:p>
      <w:pPr>
        <w:jc w:val="both"/>
      </w:pPr>
      <w:r>
        <w:rPr>
          <w:b/>
          <w:sz w:val="21"/>
        </w:rPr>
        <w:t>八</w:t>
      </w:r>
      <w:r>
        <w:rPr>
          <w:b/>
          <w:sz w:val="21"/>
        </w:rPr>
        <w:t>、提出异议的时间和方法</w:t>
      </w:r>
    </w:p>
    <w:p>
      <w:pPr>
        <w:ind w:firstLine="480"/>
        <w:jc w:val="both"/>
      </w:pPr>
      <w:r>
        <w:rPr>
          <w:sz w:val="21"/>
        </w:rPr>
        <w:t>1.甲方在验收后</w:t>
      </w:r>
      <w:r>
        <w:rPr>
          <w:sz w:val="21"/>
          <w:u w:val="single"/>
        </w:rPr>
        <w:t xml:space="preserve">     </w:t>
      </w:r>
      <w:r>
        <w:rPr>
          <w:sz w:val="21"/>
        </w:rPr>
        <w:t>天内如对货物的型号、规格、质量有异议时，应在妥善保管货物的同时，即向乙方提出书面异议。</w:t>
      </w:r>
    </w:p>
    <w:p>
      <w:pPr>
        <w:ind w:firstLine="480"/>
        <w:jc w:val="both"/>
      </w:pPr>
      <w:r>
        <w:rPr>
          <w:sz w:val="21"/>
        </w:rPr>
        <w:t>2.乙方在接到甲方书面异议后，应在3天内负责处理并函复甲方处理情况，否则，即视为默认甲方提出的异议和处理意见。</w:t>
      </w:r>
    </w:p>
    <w:p>
      <w:pPr>
        <w:ind w:firstLine="480"/>
        <w:jc w:val="both"/>
      </w:pPr>
      <w:r>
        <w:rPr>
          <w:sz w:val="21"/>
        </w:rPr>
        <w:t>3.甲方因违章操作、保管、保养不善等人为造成货物损毁，所提出的异议乙方有权不予接受。</w:t>
      </w:r>
    </w:p>
    <w:p>
      <w:pPr>
        <w:ind w:firstLine="480"/>
        <w:jc w:val="both"/>
      </w:pPr>
      <w:r>
        <w:rPr>
          <w:sz w:val="21"/>
        </w:rPr>
        <w:t>4.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jc w:val="both"/>
      </w:pPr>
      <w:r>
        <w:rPr>
          <w:b/>
          <w:sz w:val="21"/>
        </w:rPr>
        <w:t>八、争议的解决</w:t>
      </w:r>
    </w:p>
    <w:p>
      <w:pPr>
        <w:ind w:firstLine="480"/>
        <w:jc w:val="both"/>
      </w:pPr>
      <w:r>
        <w:rPr>
          <w:sz w:val="21"/>
        </w:rPr>
        <w:t>合同执行过程中发生的任何争议，如双方不能通过友好协商解决，甲、乙双方一致同意向甲方所在地人民法院提起诉讼，法院审理期间，双方应继续执行合同其余部分。</w:t>
      </w:r>
    </w:p>
    <w:p>
      <w:pPr>
        <w:jc w:val="both"/>
      </w:pPr>
      <w:r>
        <w:rPr>
          <w:b/>
          <w:sz w:val="21"/>
        </w:rPr>
        <w:t>九、不可抗力</w:t>
      </w:r>
    </w:p>
    <w:p>
      <w:pPr>
        <w:ind w:firstLine="480"/>
        <w:jc w:val="both"/>
      </w:pPr>
      <w:r>
        <w:rPr>
          <w:sz w:val="21"/>
        </w:rPr>
        <w:t>任何一方由于不可抗力原因不能履行合同时，应在不可抗力事件结束后</w:t>
      </w:r>
      <w:r>
        <w:rPr>
          <w:sz w:val="21"/>
        </w:rPr>
        <w:t>48小时内向对方通报，以减轻可能给对方造成的损失，在取得有关机构的不可抗力证明或双方谅解确认后，允许延期履行或修订合同，并根据情况可部分或全部免于承担违约责任。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十、税费</w:t>
      </w:r>
    </w:p>
    <w:p>
      <w:pPr>
        <w:ind w:firstLine="480"/>
        <w:jc w:val="both"/>
      </w:pPr>
      <w:r>
        <w:rPr>
          <w:sz w:val="21"/>
        </w:rPr>
        <w:t>在中国境内、外发生的与本合同执行有关的一切税费均由乙方负担。</w:t>
      </w:r>
    </w:p>
    <w:p>
      <w:pPr>
        <w:jc w:val="both"/>
      </w:pPr>
      <w:r>
        <w:rPr>
          <w:b/>
          <w:sz w:val="21"/>
        </w:rPr>
        <w:t>十</w:t>
      </w:r>
      <w:r>
        <w:rPr>
          <w:b/>
          <w:sz w:val="21"/>
        </w:rPr>
        <w:t>一</w:t>
      </w:r>
      <w:r>
        <w:rPr>
          <w:b/>
          <w:sz w:val="21"/>
        </w:rPr>
        <w:t>、关于政府采购合同融资</w:t>
      </w:r>
    </w:p>
    <w:p>
      <w:pPr>
        <w:ind w:firstLine="480"/>
        <w:jc w:val="both"/>
      </w:pPr>
      <w:r>
        <w:rPr>
          <w:sz w:val="21"/>
        </w:rPr>
        <w:t>1.乙方是否已申请政府采购合同融资：</w:t>
      </w:r>
      <w:r>
        <w:rPr>
          <w:sz w:val="21"/>
          <w:u w:val="single"/>
        </w:rPr>
        <w:t xml:space="preserve">  </w:t>
      </w:r>
      <w:r>
        <w:rPr>
          <w:sz w:val="21"/>
          <w:u w:val="single"/>
        </w:rPr>
        <w:t>是</w:t>
      </w:r>
      <w:r>
        <w:rPr>
          <w:sz w:val="21"/>
          <w:u w:val="single"/>
        </w:rPr>
        <w:t xml:space="preserve">/ 否  </w:t>
      </w:r>
      <w:r>
        <w:rPr>
          <w:sz w:val="21"/>
        </w:rPr>
        <w:t>；</w:t>
      </w:r>
    </w:p>
    <w:p>
      <w:pPr>
        <w:ind w:firstLine="480"/>
        <w:jc w:val="both"/>
      </w:pPr>
      <w:r>
        <w:rPr>
          <w:sz w:val="21"/>
        </w:rPr>
        <w:t>融资银行及联系方式：</w:t>
      </w:r>
      <w:r>
        <w:rPr>
          <w:sz w:val="21"/>
          <w:u w:val="single"/>
        </w:rPr>
        <w:t xml:space="preserve">                               </w:t>
      </w:r>
      <w:r>
        <w:rPr>
          <w:sz w:val="21"/>
        </w:rPr>
        <w:t>。</w:t>
      </w:r>
    </w:p>
    <w:p>
      <w:pPr>
        <w:ind w:firstLine="480"/>
        <w:jc w:val="both"/>
      </w:pPr>
      <w:r>
        <w:rPr>
          <w:sz w:val="21"/>
        </w:rPr>
        <w:t>2.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jc w:val="both"/>
      </w:pPr>
      <w:r>
        <w:rPr>
          <w:b/>
          <w:sz w:val="21"/>
        </w:rPr>
        <w:t>十</w:t>
      </w:r>
      <w:r>
        <w:rPr>
          <w:b/>
          <w:sz w:val="21"/>
        </w:rPr>
        <w:t>二</w:t>
      </w:r>
      <w:r>
        <w:rPr>
          <w:b/>
          <w:sz w:val="21"/>
        </w:rPr>
        <w:t>、其它</w:t>
      </w:r>
    </w:p>
    <w:p>
      <w:pPr>
        <w:ind w:firstLine="480"/>
        <w:jc w:val="both"/>
      </w:pPr>
      <w:r>
        <w:rPr>
          <w:sz w:val="21"/>
        </w:rPr>
        <w:t>1.本项目合同由下列文件组成，均为本合同不可分割的部分，下列文件的优先解释顺序如下：</w:t>
      </w:r>
    </w:p>
    <w:p>
      <w:pPr>
        <w:ind w:firstLine="480"/>
        <w:jc w:val="both"/>
      </w:pPr>
      <w:r>
        <w:rPr>
          <w:sz w:val="21"/>
        </w:rPr>
        <w:t>1）本合同执行期间甲、乙双方签署确认的文件（包括会议纪要、补充协议、往来信函及修正文件）；</w:t>
      </w:r>
    </w:p>
    <w:p>
      <w:pPr>
        <w:ind w:firstLine="480"/>
        <w:jc w:val="both"/>
      </w:pPr>
      <w:r>
        <w:rPr>
          <w:sz w:val="21"/>
        </w:rPr>
        <w:t>2）本采购合同；</w:t>
      </w:r>
    </w:p>
    <w:p>
      <w:pPr>
        <w:ind w:firstLine="480"/>
        <w:jc w:val="both"/>
      </w:pPr>
      <w:r>
        <w:rPr>
          <w:sz w:val="21"/>
        </w:rPr>
        <w:t>3）甲方针对本项目的各项制度和规定（包括在本合同签订后的各类新出台的制度和规定）；</w:t>
      </w:r>
    </w:p>
    <w:p>
      <w:pPr>
        <w:ind w:firstLine="480"/>
        <w:jc w:val="both"/>
      </w:pPr>
      <w:r>
        <w:rPr>
          <w:sz w:val="21"/>
        </w:rPr>
        <w:t>4）中标通知书；</w:t>
      </w:r>
    </w:p>
    <w:p>
      <w:pPr>
        <w:ind w:firstLine="480"/>
        <w:jc w:val="both"/>
      </w:pPr>
      <w:r>
        <w:rPr>
          <w:sz w:val="21"/>
        </w:rPr>
        <w:t>5）招标文件及答疑补遗文件（含招标文件澄清或修正内容、答疑会议纪要等）；</w:t>
      </w:r>
    </w:p>
    <w:p>
      <w:pPr>
        <w:ind w:firstLine="480"/>
        <w:jc w:val="both"/>
      </w:pPr>
      <w:r>
        <w:rPr>
          <w:sz w:val="21"/>
        </w:rPr>
        <w:t>6）投标文件及其相关承诺附件（含投标文件澄清）；</w:t>
      </w:r>
    </w:p>
    <w:p>
      <w:pPr>
        <w:ind w:firstLine="480"/>
        <w:jc w:val="both"/>
      </w:pPr>
      <w:r>
        <w:rPr>
          <w:sz w:val="21"/>
        </w:rPr>
        <w:t>7）标准、规范及有关技术文件；</w:t>
      </w:r>
    </w:p>
    <w:p>
      <w:pPr>
        <w:ind w:firstLine="480"/>
        <w:jc w:val="both"/>
      </w:pPr>
      <w:r>
        <w:rPr>
          <w:sz w:val="21"/>
        </w:rPr>
        <w:t>8）组成合同的其他文件。</w:t>
      </w:r>
    </w:p>
    <w:p>
      <w:pPr>
        <w:ind w:firstLine="480"/>
        <w:jc w:val="both"/>
      </w:pPr>
      <w:r>
        <w:rPr>
          <w:sz w:val="21"/>
        </w:rPr>
        <w:t>注：如乙方在投标文件及其相关承诺附件中作出有比招标文件及答疑补遗文件和本合同更有利于甲方的响应（该是否有利于甲方的解释权双方同意最终归甲方所有），则乙方投标文件及其相关承诺附件中更有利于甲方的相关条款内容的解释顺序优于招标文件及答疑补遗文件和本合同，乙方须按这些响应承诺履行。</w:t>
      </w:r>
    </w:p>
    <w:p>
      <w:pPr>
        <w:ind w:firstLine="480"/>
        <w:jc w:val="both"/>
      </w:pPr>
      <w:r>
        <w:rPr>
          <w:sz w:val="21"/>
        </w:rPr>
        <w:t>2.所有经双方签署确认的文件（包括会议纪要、补充协议、变更协议等）、招标文件、投标文件和响应承诺文件、合同附件及《中标通知书》均为本合同不可分割的有效组成部分，与本合同具有同等的法律效力和履约义务，其缔约生效日期为有效签署或盖章确认之日期。</w:t>
      </w:r>
    </w:p>
    <w:p>
      <w:pPr>
        <w:ind w:firstLine="480"/>
        <w:jc w:val="both"/>
      </w:pPr>
      <w:r>
        <w:rPr>
          <w:sz w:val="21"/>
        </w:rPr>
        <w:t>3.乙方在合同服务期内，自费办理派驻到项目所在地人员人身和自备财产的有关保险，保险时间应随服务时间的延长而顺延，并在出险后自行办理索赔。如果乙方不办理上述保险，则应对有关风险及后果自负其责。</w:t>
      </w:r>
    </w:p>
    <w:p>
      <w:pPr>
        <w:ind w:firstLine="480"/>
        <w:jc w:val="both"/>
      </w:pPr>
      <w:r>
        <w:rPr>
          <w:sz w:val="21"/>
        </w:rPr>
        <w:t>4.未经对方的书面同意，无论甲方或乙方均不得转让本合同约定的权利和义务。</w:t>
      </w:r>
    </w:p>
    <w:p>
      <w:pPr>
        <w:ind w:firstLine="480"/>
        <w:jc w:val="both"/>
      </w:pPr>
      <w:r>
        <w:rPr>
          <w:sz w:val="21"/>
        </w:rPr>
        <w:t>5.未经甲方书面同意，乙方不得将甲方提供的资料用作与本项目无关的任何其他用途。未经甲方同意，乙方不得将工作成果自行使用或向第三方转让、泄露。如发生以上情况，甲方有权索赔。</w:t>
      </w:r>
    </w:p>
    <w:p>
      <w:pPr>
        <w:ind w:firstLine="480"/>
        <w:jc w:val="both"/>
      </w:pPr>
      <w:r>
        <w:rPr>
          <w:sz w:val="21"/>
        </w:rPr>
        <w:t>6.各方都应保护对签署和履行本合同而取得的所有任何有关对方的非公开资料，任何一方均有义务限制其员工、代理人等仅在为适当履行本合同义务所必须且承诺严守保密义务时方可获得和使用上述资料。因一方未尽到此项义务而使另一方受到损失的，应赔偿另一方因此受到的损失。本合同终止后，双方仍负有上述保密义务。</w:t>
      </w:r>
    </w:p>
    <w:p>
      <w:pPr>
        <w:ind w:firstLine="480"/>
        <w:jc w:val="both"/>
      </w:pPr>
      <w:r>
        <w:rPr>
          <w:sz w:val="21"/>
        </w:rPr>
        <w:t>7.各方应保证向对方提供的资料和数据不侵犯第三方的知识产权或其他权利，因一方提供的资料虚假、错误、或侵犯第三方权利而造成误工、赔偿等损失（包括律师费）的，应当给予充分有效的赔偿。</w:t>
      </w:r>
    </w:p>
    <w:p>
      <w:pPr>
        <w:ind w:firstLine="480"/>
        <w:jc w:val="both"/>
      </w:pPr>
      <w:r>
        <w:rPr>
          <w:sz w:val="21"/>
        </w:rPr>
        <w:t>8.本合同未尽事宜，合同各方另行商定，必要时签定补充合同协议。补充协议经合同各方签字盖章后作为本合同补充文件。</w:t>
      </w:r>
    </w:p>
    <w:p>
      <w:pPr>
        <w:jc w:val="both"/>
      </w:pPr>
      <w:r>
        <w:rPr>
          <w:b/>
          <w:sz w:val="21"/>
        </w:rPr>
        <w:t>十</w:t>
      </w:r>
      <w:r>
        <w:rPr>
          <w:b/>
          <w:sz w:val="21"/>
        </w:rPr>
        <w:t>三</w:t>
      </w:r>
      <w:r>
        <w:rPr>
          <w:b/>
          <w:sz w:val="21"/>
        </w:rPr>
        <w:t>、合同生效</w:t>
      </w:r>
    </w:p>
    <w:p>
      <w:pPr>
        <w:ind w:firstLine="480"/>
        <w:jc w:val="both"/>
      </w:pPr>
      <w:r>
        <w:rPr>
          <w:sz w:val="21"/>
        </w:rPr>
        <w:t>1.本合同经本项目采购代理机构鉴证，且由甲乙双方法人代表或其授权代表签名或签章，并加盖公章后生效。</w:t>
      </w:r>
    </w:p>
    <w:p>
      <w:pPr>
        <w:ind w:firstLine="480"/>
        <w:jc w:val="both"/>
      </w:pPr>
      <w:r>
        <w:rPr>
          <w:sz w:val="21"/>
        </w:rPr>
        <w:t>2.合同一式</w:t>
      </w:r>
      <w:r>
        <w:rPr>
          <w:sz w:val="21"/>
          <w:u w:val="single"/>
        </w:rPr>
        <w:t xml:space="preserve">    </w:t>
      </w:r>
      <w:r>
        <w:rPr>
          <w:sz w:val="21"/>
        </w:rPr>
        <w:t>份，具有同等法律效力，甲方执</w:t>
      </w:r>
      <w:r>
        <w:rPr>
          <w:sz w:val="21"/>
          <w:u w:val="single"/>
        </w:rPr>
        <w:t xml:space="preserve">   </w:t>
      </w:r>
      <w:r>
        <w:rPr>
          <w:sz w:val="21"/>
        </w:rPr>
        <w:t>份、乙方执</w:t>
      </w:r>
      <w:r>
        <w:rPr>
          <w:sz w:val="21"/>
          <w:u w:val="single"/>
        </w:rPr>
        <w:t xml:space="preserve">   </w:t>
      </w:r>
      <w:r>
        <w:rPr>
          <w:sz w:val="21"/>
        </w:rPr>
        <w:t>份、采购代理机构执</w:t>
      </w:r>
      <w:r>
        <w:rPr>
          <w:sz w:val="21"/>
          <w:u w:val="single"/>
        </w:rPr>
        <w:t xml:space="preserve"> </w:t>
      </w:r>
      <w:r>
        <w:rPr>
          <w:sz w:val="21"/>
          <w:u w:val="single"/>
        </w:rPr>
        <w:t>壹</w:t>
      </w:r>
      <w:r>
        <w:rPr>
          <w:sz w:val="21"/>
        </w:rPr>
        <w:t>份。</w:t>
      </w:r>
    </w:p>
    <w:p>
      <w:pPr>
        <w:jc w:val="both"/>
      </w:pPr>
      <w:r>
        <w:rPr>
          <w:sz w:val="21"/>
        </w:rPr>
        <w:t>（以下无正文）</w:t>
      </w:r>
    </w:p>
    <w:p>
      <w:pPr>
        <w:jc w:val="both"/>
      </w:pPr>
    </w:p>
    <w:p>
      <w:pPr>
        <w:jc w:val="left"/>
      </w:pPr>
    </w:p>
    <w:p>
      <w:pPr>
        <w:jc w:val="both"/>
      </w:pPr>
      <w:r>
        <w:rPr/>
        <w:t xml:space="preserve"> </w:t>
      </w:r>
    </w:p>
    <w:p>
      <w:pPr>
        <w:jc w:val="both"/>
      </w:pPr>
      <w:r>
        <w:rPr/>
        <w:t xml:space="preserve"> </w:t>
      </w:r>
    </w:p>
    <w:p>
      <w:pPr>
        <w:jc w:val="both"/>
      </w:pPr>
      <w:r>
        <w:rPr>
          <w:sz w:val="21"/>
        </w:rPr>
        <w:t>合同鉴证单位：</w:t>
      </w:r>
      <w:r>
        <w:rPr>
          <w:sz w:val="21"/>
        </w:rPr>
        <w:t>广东华伦招标有限公司南海分公司</w:t>
      </w:r>
      <w:r>
        <w:rPr>
          <w:sz w:val="21"/>
        </w:rPr>
        <w:t>（盖公章）</w:t>
      </w:r>
    </w:p>
    <w:p>
      <w:pPr>
        <w:jc w:val="both"/>
      </w:pPr>
      <w:r>
        <w:rPr>
          <w:sz w:val="21"/>
        </w:rPr>
        <w:t>合同鉴证意见：本合同条款与招标文件相符。</w:t>
      </w:r>
    </w:p>
    <w:p>
      <w:pPr>
        <w:jc w:val="both"/>
      </w:pPr>
      <w:r>
        <w:rPr>
          <w:sz w:val="21"/>
        </w:rPr>
        <w:t>经办人（签名）：</w:t>
      </w:r>
    </w:p>
    <w:p>
      <w:pPr>
        <w:jc w:val="both"/>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Pr>
        <w:jc w:val="both"/>
      </w:pPr>
      <w:r>
        <w:rPr/>
        <w:t xml:space="preserve"> </w:t>
      </w:r>
    </w:p>
    <w:p>
      <w:pPr>
        <w:jc w:val="both"/>
      </w:pPr>
      <w:r>
        <w:rPr/>
        <w:t xml:space="preserve"> </w:t>
      </w:r>
    </w:p>
    <w:p>
      <w:pPr>
        <w:jc w:val="both"/>
      </w:pPr>
      <w:r>
        <w:rPr>
          <w:b/>
          <w:sz w:val="21"/>
        </w:rPr>
        <w:t>甲方（盖章）：佛山市南海区第五人民医院</w:t>
      </w:r>
      <w:r>
        <w:rPr>
          <w:b/>
          <w:sz w:val="21"/>
        </w:rPr>
        <w:t xml:space="preserve">   </w:t>
      </w:r>
      <w:r>
        <w:rPr>
          <w:b/>
          <w:sz w:val="21"/>
        </w:rPr>
        <w:t xml:space="preserve">       </w:t>
      </w:r>
      <w:r>
        <w:rPr>
          <w:b/>
          <w:sz w:val="21"/>
        </w:rPr>
        <w:t>乙方（盖章）：</w:t>
      </w:r>
    </w:p>
    <w:p>
      <w:pPr>
        <w:jc w:val="both"/>
      </w:pPr>
      <w:r>
        <w:rPr>
          <w:sz w:val="21"/>
        </w:rPr>
        <w:t>法人代表（或委托代理人）：</w:t>
      </w:r>
      <w:r>
        <w:rPr>
          <w:sz w:val="21"/>
        </w:rPr>
        <w:t xml:space="preserve">              </w:t>
      </w:r>
      <w:r>
        <w:rPr>
          <w:sz w:val="21"/>
        </w:rPr>
        <w:t xml:space="preserve">            </w:t>
      </w:r>
      <w:r>
        <w:rPr>
          <w:sz w:val="21"/>
        </w:rPr>
        <w:t>法人代表（或委托代理人）：</w:t>
      </w:r>
    </w:p>
    <w:p>
      <w:pPr>
        <w:jc w:val="both"/>
      </w:pPr>
      <w:r>
        <w:rPr>
          <w:sz w:val="21"/>
        </w:rPr>
        <w:t>地址：</w:t>
      </w:r>
      <w:r>
        <w:rPr>
          <w:sz w:val="21"/>
        </w:rPr>
        <w:t xml:space="preserve">                             </w:t>
      </w:r>
      <w:r>
        <w:rPr>
          <w:sz w:val="21"/>
        </w:rPr>
        <w:t xml:space="preserve">                     </w:t>
      </w:r>
      <w:r>
        <w:rPr>
          <w:sz w:val="21"/>
        </w:rPr>
        <w:t>地址：</w:t>
      </w:r>
    </w:p>
    <w:p>
      <w:pPr>
        <w:jc w:val="both"/>
      </w:pPr>
      <w:r>
        <w:rPr>
          <w:sz w:val="21"/>
        </w:rPr>
        <w:t>电话：</w:t>
      </w:r>
      <w:r>
        <w:rPr>
          <w:sz w:val="21"/>
        </w:rPr>
        <w:t xml:space="preserve">                             </w:t>
      </w:r>
      <w:r>
        <w:rPr>
          <w:sz w:val="21"/>
        </w:rPr>
        <w:t xml:space="preserve">                     </w:t>
      </w:r>
      <w:r>
        <w:rPr>
          <w:sz w:val="21"/>
        </w:rPr>
        <w:t>电话：</w:t>
      </w:r>
    </w:p>
    <w:p>
      <w:pPr>
        <w:jc w:val="both"/>
      </w:pPr>
      <w:r>
        <w:rPr>
          <w:sz w:val="21"/>
        </w:rPr>
        <w:t>传真：</w:t>
      </w:r>
      <w:r>
        <w:rPr>
          <w:sz w:val="21"/>
        </w:rPr>
        <w:t xml:space="preserve">                            </w:t>
      </w:r>
      <w:r>
        <w:rPr>
          <w:sz w:val="21"/>
        </w:rPr>
        <w:t xml:space="preserve">                      </w:t>
      </w:r>
      <w:r>
        <w:rPr>
          <w:sz w:val="21"/>
        </w:rPr>
        <w:t>传真：</w:t>
      </w:r>
    </w:p>
    <w:p>
      <w:pPr>
        <w:jc w:val="both"/>
      </w:pPr>
      <w:r>
        <w:rPr>
          <w:sz w:val="21"/>
        </w:rPr>
        <w:t>签定地点：</w:t>
      </w:r>
    </w:p>
    <w:p>
      <w:pPr>
        <w:jc w:val="both"/>
      </w:pPr>
      <w:r>
        <w:rPr>
          <w:sz w:val="21"/>
        </w:rPr>
        <w:t>签定日期：</w:t>
      </w:r>
      <w:r>
        <w:rPr>
          <w:sz w:val="21"/>
        </w:rPr>
        <w:t xml:space="preserve">  </w:t>
      </w:r>
      <w:r>
        <w:rPr>
          <w:sz w:val="21"/>
        </w:rPr>
        <w:t>年</w:t>
      </w:r>
      <w:r>
        <w:rPr>
          <w:sz w:val="21"/>
        </w:rPr>
        <w:t>月</w:t>
      </w:r>
      <w:r>
        <w:rPr>
          <w:sz w:val="21"/>
        </w:rPr>
        <w:t>日</w:t>
      </w:r>
      <w:r>
        <w:rPr>
          <w:sz w:val="21"/>
        </w:rPr>
        <w:t xml:space="preserve">                  </w:t>
      </w:r>
      <w:r>
        <w:rPr>
          <w:sz w:val="21"/>
        </w:rPr>
        <w:t xml:space="preserve">                </w:t>
      </w:r>
      <w:r>
        <w:rPr>
          <w:sz w:val="21"/>
        </w:rPr>
        <w:t>签定日期：</w:t>
      </w:r>
      <w:r>
        <w:rPr>
          <w:sz w:val="21"/>
        </w:rPr>
        <w:t xml:space="preserve">  </w:t>
      </w:r>
      <w:r>
        <w:rPr>
          <w:sz w:val="21"/>
        </w:rPr>
        <w:t>年</w:t>
      </w:r>
      <w:r>
        <w:rPr>
          <w:sz w:val="21"/>
        </w:rPr>
        <w:t>月</w:t>
      </w:r>
      <w:r>
        <w:rPr>
          <w:sz w:val="21"/>
        </w:rPr>
        <w:t>日</w:t>
      </w:r>
    </w:p>
    <w:p>
      <w:pPr>
        <w:ind w:firstLine="4620"/>
        <w:jc w:val="both"/>
      </w:pPr>
      <w:r>
        <w:rPr>
          <w:sz w:val="21"/>
        </w:rPr>
        <w:t xml:space="preserve">   开户名称：</w:t>
      </w:r>
    </w:p>
    <w:p>
      <w:pPr>
        <w:ind w:firstLine="4620"/>
        <w:jc w:val="both"/>
      </w:pPr>
      <w:r>
        <w:rPr>
          <w:sz w:val="21"/>
        </w:rPr>
        <w:t xml:space="preserve">   银行帐号：</w:t>
      </w:r>
    </w:p>
    <w:p>
      <w:pPr>
        <w:ind w:firstLine="4620"/>
        <w:jc w:val="both"/>
      </w:pPr>
      <w:r>
        <w:rPr>
          <w:sz w:val="21"/>
        </w:rPr>
        <w:t xml:space="preserve">   开户行：</w:t>
      </w:r>
    </w:p>
    <w:p>
      <w:pPr>
        <w:ind w:firstLine="4620"/>
        <w:jc w:val="both"/>
      </w:pPr>
      <w:r>
        <w:rPr/>
        <w:t xml:space="preserve"> </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440605-2023-06466</w:t>
      </w:r>
    </w:p>
    <w:p>
      <w:pPr>
        <w:jc w:val="center"/>
      </w:pPr>
      <w:r>
        <w:rPr>
          <w:b/>
          <w:sz w:val="24"/>
        </w:rPr>
        <w:t>采购项目编号：</w:t>
      </w:r>
      <w:r>
        <w:rPr>
          <w:b/>
          <w:sz w:val="24"/>
        </w:rPr>
        <w:t>沥采2023034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广东华伦招标有限公司南海分公司</w:t>
      </w:r>
    </w:p>
    <w:p>
      <w:pPr>
        <w:ind w:firstLine="480"/>
      </w:pPr>
      <w:r>
        <w:rPr/>
        <w:t>你方组织的</w:t>
      </w:r>
      <w:r>
        <w:rPr>
          <w:u w:val="single"/>
        </w:rPr>
        <w:t>“</w:t>
      </w:r>
      <w:r>
        <w:rPr>
          <w:u w:val="single"/>
        </w:rPr>
        <w:t>血管内超声系统</w:t>
      </w:r>
      <w:r>
        <w:rPr>
          <w:u w:val="single"/>
        </w:rPr>
        <w:t>”</w:t>
      </w:r>
      <w:r>
        <w:rPr/>
        <w:t>项目的招标[采购项目编号为：</w:t>
      </w:r>
      <w:r>
        <w:rPr>
          <w:u w:val="single"/>
        </w:rPr>
        <w:t>沥采2023034</w:t>
      </w:r>
      <w:r>
        <w:rPr/>
        <w:t>]，我方愿参与投标。</w:t>
      </w:r>
    </w:p>
    <w:p>
      <w:pPr>
        <w:ind w:firstLine="480"/>
      </w:pPr>
      <w:r>
        <w:rPr/>
        <w:t>我方确认收到贵方提供的</w:t>
      </w:r>
      <w:r>
        <w:rPr>
          <w:u w:val="single"/>
        </w:rPr>
        <w:t>“</w:t>
      </w:r>
      <w:r>
        <w:rPr>
          <w:u w:val="single"/>
        </w:rPr>
        <w:t>血管内超声系统</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广东华伦招标有限公司南海分公司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血管内超声系统</w:t>
      </w:r>
      <w:r>
        <w:rPr/>
        <w:t>”项目采购[采购项目编号为</w:t>
      </w:r>
      <w:r>
        <w:rPr/>
        <w:t>沥采2023034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佛山市南海区第五人民医院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广东华伦招标有限公司南海分公司</w:t>
      </w:r>
    </w:p>
    <w:p>
      <w:pPr>
        <w:ind w:firstLine="480"/>
      </w:pPr>
      <w:r>
        <w:rPr/>
        <w:t>如果我方在贵采购代理机构组织的</w:t>
      </w:r>
      <w:r>
        <w:rPr/>
        <w:t>血管内超声系统</w:t>
      </w:r>
      <w:r>
        <w:rPr/>
        <w:t>招标中获中标（采购项目编号：</w:t>
      </w:r>
      <w:r>
        <w:rPr/>
        <w:t>沥采2023034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广东华伦招标有限公司南海分公司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广东华伦招标有限公司南海分公司</w:t>
      </w:r>
    </w:p>
    <w:p>
      <w:pPr>
        <w:ind w:firstLine="480"/>
      </w:pPr>
      <w:r>
        <w:rPr/>
        <w:t>我单位已登记并准备参与“</w:t>
      </w:r>
      <w:r>
        <w:rPr/>
        <w:t>血管内超声系统</w:t>
      </w:r>
      <w:r>
        <w:rPr/>
        <w:t>”项目（采购项目编号：</w:t>
      </w:r>
      <w:r>
        <w:rPr/>
        <w:t>沥采2023034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