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bCs/>
          <w:color w:val="auto"/>
          <w:sz w:val="48"/>
          <w:szCs w:val="48"/>
        </w:rPr>
      </w:pPr>
      <w:bookmarkStart w:id="491" w:name="_GoBack"/>
      <w:bookmarkEnd w:id="491"/>
      <w:r>
        <w:rPr>
          <w:rFonts w:hint="eastAsia" w:ascii="宋体" w:hAnsi="宋体" w:cs="宋体"/>
          <w:b/>
          <w:bCs/>
          <w:color w:val="auto"/>
          <w:sz w:val="48"/>
          <w:szCs w:val="48"/>
        </w:rPr>
        <w:t xml:space="preserve"> </w:t>
      </w:r>
    </w:p>
    <w:p>
      <w:pPr>
        <w:spacing w:line="360" w:lineRule="auto"/>
        <w:jc w:val="center"/>
        <w:rPr>
          <w:rFonts w:ascii="宋体" w:hAnsi="宋体" w:cs="宋体"/>
          <w:color w:val="auto"/>
          <w:sz w:val="48"/>
          <w:szCs w:val="48"/>
        </w:rPr>
      </w:pPr>
      <w:r>
        <w:rPr>
          <w:rFonts w:hint="eastAsia" w:ascii="宋体" w:hAnsi="宋体" w:cs="宋体"/>
          <w:b/>
          <w:color w:val="auto"/>
          <w:sz w:val="48"/>
          <w:szCs w:val="48"/>
        </w:rPr>
        <w:t>政府采购</w:t>
      </w:r>
    </w:p>
    <w:p>
      <w:pPr>
        <w:spacing w:line="360" w:lineRule="auto"/>
        <w:jc w:val="center"/>
        <w:rPr>
          <w:rFonts w:ascii="宋体" w:hAnsi="宋体" w:cs="宋体"/>
          <w:b/>
          <w:color w:val="auto"/>
          <w:sz w:val="48"/>
          <w:szCs w:val="48"/>
        </w:rPr>
      </w:pPr>
      <w:r>
        <w:rPr>
          <w:rFonts w:hint="eastAsia" w:ascii="宋体" w:hAnsi="宋体" w:cs="宋体"/>
          <w:b/>
          <w:color w:val="auto"/>
          <w:sz w:val="48"/>
          <w:szCs w:val="48"/>
        </w:rPr>
        <w:t>公开招标文件</w:t>
      </w:r>
    </w:p>
    <w:p>
      <w:pPr>
        <w:spacing w:line="360" w:lineRule="auto"/>
        <w:rPr>
          <w:rFonts w:ascii="宋体" w:hAnsi="宋体" w:cs="宋体"/>
          <w:bCs/>
          <w:color w:val="auto"/>
          <w:sz w:val="24"/>
          <w:szCs w:val="24"/>
        </w:rPr>
      </w:pPr>
    </w:p>
    <w:p>
      <w:pPr>
        <w:spacing w:line="360" w:lineRule="auto"/>
        <w:jc w:val="center"/>
        <w:rPr>
          <w:rFonts w:ascii="宋体" w:hAnsi="宋体" w:cs="宋体"/>
          <w:bCs/>
          <w:color w:val="auto"/>
          <w:sz w:val="24"/>
          <w:szCs w:val="24"/>
        </w:rPr>
      </w:pPr>
    </w:p>
    <w:p>
      <w:pPr>
        <w:spacing w:line="360" w:lineRule="auto"/>
        <w:rPr>
          <w:rFonts w:ascii="宋体" w:hAnsi="宋体" w:cs="宋体"/>
          <w:bCs/>
          <w:color w:val="auto"/>
          <w:sz w:val="24"/>
          <w:szCs w:val="24"/>
        </w:rPr>
      </w:pPr>
    </w:p>
    <w:p>
      <w:pPr>
        <w:spacing w:line="360" w:lineRule="auto"/>
        <w:rPr>
          <w:rFonts w:ascii="宋体" w:hAnsi="宋体" w:cs="宋体"/>
          <w:bCs/>
          <w:color w:val="auto"/>
          <w:sz w:val="24"/>
          <w:szCs w:val="24"/>
        </w:rPr>
      </w:pPr>
    </w:p>
    <w:p>
      <w:pPr>
        <w:spacing w:line="360" w:lineRule="auto"/>
        <w:rPr>
          <w:rFonts w:ascii="宋体" w:hAnsi="宋体" w:cs="宋体"/>
          <w:bCs/>
          <w:color w:val="auto"/>
          <w:sz w:val="24"/>
          <w:szCs w:val="24"/>
        </w:rPr>
      </w:pPr>
    </w:p>
    <w:p>
      <w:pPr>
        <w:spacing w:line="360" w:lineRule="auto"/>
        <w:rPr>
          <w:rFonts w:ascii="宋体" w:hAnsi="宋体" w:cs="宋体"/>
          <w:bCs/>
          <w:color w:val="auto"/>
          <w:sz w:val="24"/>
          <w:szCs w:val="24"/>
        </w:rPr>
      </w:pPr>
    </w:p>
    <w:p>
      <w:pPr>
        <w:spacing w:line="360" w:lineRule="auto"/>
        <w:ind w:firstLine="218" w:firstLineChars="68"/>
        <w:jc w:val="left"/>
        <w:rPr>
          <w:rFonts w:hint="eastAsia" w:ascii="宋体" w:hAnsi="宋体" w:eastAsia="宋体" w:cs="宋体"/>
          <w:b/>
          <w:bCs/>
          <w:color w:val="auto"/>
          <w:sz w:val="32"/>
          <w:szCs w:val="32"/>
          <w:u w:val="single"/>
          <w:lang w:eastAsia="zh-CN"/>
        </w:rPr>
      </w:pPr>
      <w:r>
        <w:rPr>
          <w:rFonts w:hint="eastAsia" w:ascii="宋体" w:hAnsi="宋体" w:cs="宋体"/>
          <w:b/>
          <w:bCs/>
          <w:color w:val="auto"/>
          <w:sz w:val="32"/>
          <w:szCs w:val="32"/>
        </w:rPr>
        <w:t>采购文件编号：</w:t>
      </w:r>
      <w:r>
        <w:rPr>
          <w:rFonts w:hint="eastAsia" w:ascii="宋体" w:hAnsi="宋体" w:cs="宋体"/>
          <w:b/>
          <w:bCs/>
          <w:color w:val="auto"/>
          <w:sz w:val="32"/>
          <w:szCs w:val="32"/>
          <w:u w:val="single"/>
          <w:lang w:eastAsia="zh-CN"/>
        </w:rPr>
        <w:t>0809-2241GZG14036</w:t>
      </w:r>
    </w:p>
    <w:p>
      <w:pPr>
        <w:spacing w:line="360" w:lineRule="auto"/>
        <w:ind w:firstLine="218" w:firstLineChars="68"/>
        <w:jc w:val="center"/>
        <w:rPr>
          <w:rFonts w:ascii="宋体" w:hAnsi="宋体" w:cs="宋体"/>
          <w:b/>
          <w:bCs/>
          <w:color w:val="auto"/>
          <w:sz w:val="32"/>
          <w:szCs w:val="32"/>
          <w:u w:val="single"/>
        </w:rPr>
      </w:pPr>
    </w:p>
    <w:p>
      <w:pPr>
        <w:spacing w:line="360" w:lineRule="auto"/>
        <w:ind w:left="2322" w:leftChars="104" w:right="983" w:rightChars="468" w:hanging="2104" w:hangingChars="655"/>
        <w:jc w:val="left"/>
        <w:rPr>
          <w:rFonts w:hint="eastAsia" w:ascii="宋体" w:hAnsi="宋体" w:eastAsia="宋体" w:cs="宋体"/>
          <w:b/>
          <w:bCs/>
          <w:color w:val="auto"/>
          <w:sz w:val="32"/>
          <w:szCs w:val="32"/>
          <w:u w:val="single"/>
          <w:lang w:eastAsia="zh-CN"/>
        </w:rPr>
      </w:pPr>
      <w:r>
        <w:rPr>
          <w:rFonts w:hint="eastAsia" w:ascii="宋体" w:hAnsi="宋体" w:cs="宋体"/>
          <w:b/>
          <w:bCs/>
          <w:color w:val="auto"/>
          <w:sz w:val="32"/>
          <w:szCs w:val="32"/>
        </w:rPr>
        <w:t>采购项目名称：</w:t>
      </w:r>
      <w:r>
        <w:rPr>
          <w:rFonts w:hint="eastAsia" w:ascii="宋体" w:hAnsi="宋体" w:cs="宋体"/>
          <w:b/>
          <w:bCs/>
          <w:color w:val="auto"/>
          <w:sz w:val="32"/>
          <w:szCs w:val="32"/>
          <w:u w:val="single"/>
          <w:lang w:eastAsia="zh-CN"/>
        </w:rPr>
        <w:t>工业和信息化部电子第五研究所动力电池配套使用环境试验箱采购项目</w:t>
      </w:r>
    </w:p>
    <w:p>
      <w:pPr>
        <w:spacing w:line="360" w:lineRule="auto"/>
        <w:ind w:firstLine="218" w:firstLineChars="68"/>
        <w:jc w:val="center"/>
        <w:rPr>
          <w:rFonts w:ascii="宋体" w:hAnsi="宋体" w:cs="宋体"/>
          <w:b/>
          <w:bCs/>
          <w:color w:val="auto"/>
          <w:sz w:val="32"/>
          <w:szCs w:val="32"/>
          <w:u w:val="single"/>
        </w:rPr>
      </w:pPr>
    </w:p>
    <w:p>
      <w:pPr>
        <w:spacing w:line="360" w:lineRule="auto"/>
        <w:ind w:firstLine="218" w:firstLineChars="68"/>
        <w:jc w:val="left"/>
        <w:rPr>
          <w:rFonts w:ascii="宋体" w:hAnsi="宋体" w:cs="宋体"/>
          <w:b/>
          <w:color w:val="auto"/>
          <w:sz w:val="30"/>
          <w:szCs w:val="30"/>
          <w:u w:val="single"/>
        </w:rPr>
      </w:pPr>
      <w:r>
        <w:rPr>
          <w:rFonts w:hint="eastAsia" w:ascii="宋体" w:hAnsi="宋体" w:cs="宋体"/>
          <w:b/>
          <w:bCs/>
          <w:color w:val="auto"/>
          <w:sz w:val="32"/>
          <w:szCs w:val="32"/>
        </w:rPr>
        <w:t>采购人名称：</w:t>
      </w:r>
      <w:r>
        <w:rPr>
          <w:rFonts w:hint="eastAsia" w:ascii="宋体" w:hAnsi="宋体" w:cs="宋体"/>
          <w:b/>
          <w:bCs/>
          <w:color w:val="auto"/>
          <w:sz w:val="32"/>
          <w:szCs w:val="32"/>
          <w:u w:val="single"/>
        </w:rPr>
        <w:t xml:space="preserve"> 工业和信息化部电子第五研究所 </w:t>
      </w:r>
      <w:r>
        <w:rPr>
          <w:rFonts w:hint="eastAsia" w:ascii="宋体" w:hAnsi="宋体" w:cs="宋体"/>
          <w:b/>
          <w:bCs/>
          <w:color w:val="auto"/>
          <w:sz w:val="30"/>
          <w:szCs w:val="30"/>
        </w:rPr>
        <w:fldChar w:fldCharType="begin"/>
      </w:r>
      <w:r>
        <w:rPr>
          <w:rFonts w:hint="eastAsia" w:ascii="宋体" w:hAnsi="宋体" w:cs="宋体"/>
          <w:b/>
          <w:bCs/>
          <w:color w:val="auto"/>
          <w:sz w:val="30"/>
          <w:szCs w:val="30"/>
        </w:rPr>
        <w:instrText xml:space="preserve"> DOCVARIABLE  项目名称  \* MERGEFORMAT </w:instrText>
      </w:r>
      <w:r>
        <w:rPr>
          <w:rFonts w:hint="eastAsia" w:ascii="宋体" w:hAnsi="宋体" w:cs="宋体"/>
          <w:b/>
          <w:bCs/>
          <w:color w:val="auto"/>
          <w:sz w:val="30"/>
          <w:szCs w:val="30"/>
        </w:rPr>
        <w:fldChar w:fldCharType="end"/>
      </w:r>
    </w:p>
    <w:p>
      <w:pPr>
        <w:spacing w:line="360" w:lineRule="auto"/>
        <w:ind w:firstLine="163" w:firstLineChars="68"/>
        <w:rPr>
          <w:rFonts w:ascii="宋体" w:hAnsi="宋体" w:cs="宋体"/>
          <w:bCs/>
          <w:color w:val="auto"/>
          <w:sz w:val="24"/>
          <w:szCs w:val="24"/>
        </w:rPr>
      </w:pPr>
    </w:p>
    <w:p>
      <w:pPr>
        <w:spacing w:line="360" w:lineRule="auto"/>
        <w:rPr>
          <w:rFonts w:ascii="宋体" w:hAnsi="宋体" w:cs="宋体"/>
          <w:bCs/>
          <w:color w:val="auto"/>
          <w:sz w:val="24"/>
          <w:szCs w:val="24"/>
        </w:rPr>
      </w:pPr>
    </w:p>
    <w:p>
      <w:pPr>
        <w:spacing w:line="360" w:lineRule="auto"/>
        <w:rPr>
          <w:rFonts w:ascii="宋体" w:hAnsi="宋体" w:cs="宋体"/>
          <w:bCs/>
          <w:color w:val="auto"/>
          <w:sz w:val="24"/>
          <w:szCs w:val="24"/>
        </w:rPr>
      </w:pPr>
    </w:p>
    <w:p>
      <w:pPr>
        <w:spacing w:line="360" w:lineRule="auto"/>
        <w:rPr>
          <w:rFonts w:ascii="宋体" w:hAnsi="宋体" w:cs="宋体"/>
          <w:bCs/>
          <w:color w:val="auto"/>
          <w:sz w:val="24"/>
          <w:szCs w:val="24"/>
        </w:rPr>
      </w:pPr>
    </w:p>
    <w:p>
      <w:pPr>
        <w:spacing w:line="360" w:lineRule="auto"/>
        <w:rPr>
          <w:rFonts w:ascii="宋体" w:hAnsi="宋体" w:cs="宋体"/>
          <w:bCs/>
          <w:color w:val="auto"/>
          <w:sz w:val="24"/>
          <w:szCs w:val="24"/>
        </w:rPr>
      </w:pPr>
    </w:p>
    <w:p>
      <w:pPr>
        <w:spacing w:line="360" w:lineRule="auto"/>
        <w:rPr>
          <w:rFonts w:ascii="宋体" w:hAnsi="宋体" w:cs="宋体"/>
          <w:bCs/>
          <w:color w:val="auto"/>
          <w:sz w:val="24"/>
          <w:szCs w:val="24"/>
        </w:rPr>
      </w:pPr>
      <w:r>
        <w:rPr>
          <w:rFonts w:ascii="宋体" w:hAnsi="宋体" w:cs="宋体"/>
          <w:color w:val="auto"/>
          <w:sz w:val="24"/>
          <w:szCs w:val="24"/>
        </w:rPr>
        <w:pict>
          <v:shape id="_x0000_s2054" o:spid="_x0000_s2054" o:spt="75" alt="LOGO20190523（终稿）.png" type="#_x0000_t75" style="position:absolute;left:0pt;margin-left:108.8pt;margin-top:22pt;height:31.45pt;width:31.45pt;z-index:-251656192;mso-width-relative:page;mso-height-relative:page;" filled="f" o:preferrelative="t" stroked="f" coordsize="21600,21600">
            <v:path/>
            <v:fill on="f" focussize="0,0"/>
            <v:stroke on="f" joinstyle="miter"/>
            <v:imagedata r:id="rId8" o:title="LOGO20190523（终稿）"/>
            <o:lock v:ext="edit" aspectratio="t"/>
          </v:shape>
        </w:pict>
      </w:r>
    </w:p>
    <w:p>
      <w:pPr>
        <w:spacing w:line="360" w:lineRule="auto"/>
        <w:jc w:val="center"/>
        <w:rPr>
          <w:rFonts w:ascii="宋体" w:hAnsi="宋体" w:cs="宋体"/>
          <w:b/>
          <w:bCs/>
          <w:color w:val="auto"/>
          <w:sz w:val="28"/>
          <w:szCs w:val="28"/>
        </w:rPr>
      </w:pPr>
      <w:r>
        <w:rPr>
          <w:rFonts w:hint="eastAsia" w:ascii="宋体" w:hAnsi="宋体" w:cs="宋体"/>
          <w:color w:val="auto"/>
          <w:sz w:val="24"/>
          <w:szCs w:val="24"/>
        </w:rPr>
        <w:t xml:space="preserve">   </w:t>
      </w:r>
      <w:r>
        <w:rPr>
          <w:rFonts w:hint="eastAsia" w:ascii="宋体" w:hAnsi="宋体" w:cs="宋体"/>
          <w:b/>
          <w:bCs/>
          <w:color w:val="auto"/>
          <w:sz w:val="28"/>
          <w:szCs w:val="28"/>
        </w:rPr>
        <w:t>广东华伦招标有限公司 编制</w:t>
      </w:r>
    </w:p>
    <w:p>
      <w:pPr>
        <w:spacing w:line="360" w:lineRule="auto"/>
        <w:jc w:val="center"/>
        <w:rPr>
          <w:rFonts w:ascii="宋体" w:hAnsi="宋体" w:cs="宋体"/>
          <w:b/>
          <w:bCs/>
          <w:color w:val="auto"/>
          <w:sz w:val="28"/>
          <w:szCs w:val="28"/>
        </w:rPr>
      </w:pPr>
    </w:p>
    <w:p>
      <w:pPr>
        <w:spacing w:line="360" w:lineRule="auto"/>
        <w:jc w:val="center"/>
        <w:rPr>
          <w:rFonts w:ascii="宋体" w:hAnsi="宋体"/>
          <w:color w:val="auto"/>
          <w:sz w:val="24"/>
          <w:szCs w:val="24"/>
        </w:rPr>
        <w:sectPr>
          <w:headerReference r:id="rId3" w:type="default"/>
          <w:footerReference r:id="rId4" w:type="default"/>
          <w:pgSz w:w="11906" w:h="16838"/>
          <w:pgMar w:top="1134" w:right="1134" w:bottom="1134" w:left="1134" w:header="567" w:footer="737" w:gutter="454"/>
          <w:pgNumType w:fmt="numberInDash" w:start="0"/>
          <w:cols w:space="720" w:num="1"/>
          <w:titlePg/>
          <w:docGrid w:type="lines" w:linePitch="312" w:charSpace="0"/>
        </w:sectPr>
      </w:pPr>
      <w:r>
        <w:rPr>
          <w:rFonts w:hint="eastAsia" w:ascii="宋体" w:hAnsi="宋体" w:cs="宋体"/>
          <w:b/>
          <w:bCs/>
          <w:color w:val="auto"/>
          <w:sz w:val="28"/>
          <w:szCs w:val="28"/>
        </w:rPr>
        <w:t>发布日期：2022年</w:t>
      </w:r>
      <w:r>
        <w:rPr>
          <w:rFonts w:hint="eastAsia" w:ascii="宋体" w:hAnsi="宋体" w:cs="宋体"/>
          <w:b/>
          <w:bCs/>
          <w:color w:val="auto"/>
          <w:sz w:val="28"/>
          <w:szCs w:val="28"/>
          <w:lang w:val="en-US" w:eastAsia="zh-CN"/>
        </w:rPr>
        <w:t>04</w:t>
      </w:r>
      <w:r>
        <w:rPr>
          <w:rFonts w:hint="eastAsia" w:ascii="宋体" w:hAnsi="宋体" w:cs="宋体"/>
          <w:b/>
          <w:bCs/>
          <w:color w:val="auto"/>
          <w:sz w:val="28"/>
          <w:szCs w:val="28"/>
        </w:rPr>
        <w:t>月</w:t>
      </w:r>
      <w:r>
        <w:rPr>
          <w:rFonts w:hint="eastAsia" w:ascii="宋体" w:hAnsi="宋体" w:cs="宋体"/>
          <w:b/>
          <w:bCs/>
          <w:color w:val="auto"/>
          <w:sz w:val="28"/>
          <w:szCs w:val="28"/>
          <w:lang w:val="en-US" w:eastAsia="zh-CN"/>
        </w:rPr>
        <w:t>24</w:t>
      </w:r>
      <w:r>
        <w:rPr>
          <w:rFonts w:hint="eastAsia" w:ascii="宋体" w:hAnsi="宋体" w:cs="宋体"/>
          <w:b/>
          <w:bCs/>
          <w:color w:val="auto"/>
          <w:sz w:val="28"/>
          <w:szCs w:val="28"/>
        </w:rPr>
        <w:t>日</w:t>
      </w:r>
      <w:r>
        <w:rPr>
          <w:rFonts w:ascii="宋体" w:hAnsi="宋体"/>
          <w:color w:val="auto"/>
          <w:sz w:val="24"/>
          <w:szCs w:val="24"/>
        </w:rPr>
        <w:br w:type="page"/>
      </w:r>
    </w:p>
    <w:p>
      <w:pPr>
        <w:spacing w:line="360" w:lineRule="auto"/>
        <w:jc w:val="center"/>
        <w:outlineLvl w:val="0"/>
        <w:rPr>
          <w:rStyle w:val="37"/>
          <w:color w:val="auto"/>
        </w:rPr>
      </w:pPr>
      <w:bookmarkStart w:id="0" w:name="_Toc24484"/>
      <w:r>
        <w:rPr>
          <w:rStyle w:val="37"/>
          <w:rFonts w:hint="eastAsia"/>
          <w:color w:val="auto"/>
        </w:rPr>
        <w:t>温馨提示</w:t>
      </w:r>
      <w:bookmarkEnd w:id="0"/>
    </w:p>
    <w:p>
      <w:pPr>
        <w:spacing w:line="360" w:lineRule="auto"/>
        <w:jc w:val="center"/>
        <w:rPr>
          <w:rFonts w:ascii="宋体" w:hAnsi="宋体"/>
          <w:color w:val="auto"/>
          <w:szCs w:val="21"/>
        </w:rPr>
      </w:pPr>
    </w:p>
    <w:p>
      <w:pPr>
        <w:rPr>
          <w:rFonts w:ascii="宋体" w:hAnsi="宋体"/>
          <w:color w:val="auto"/>
          <w:sz w:val="24"/>
          <w:szCs w:val="24"/>
        </w:rPr>
      </w:pPr>
      <w:r>
        <w:rPr>
          <w:rFonts w:hint="eastAsia" w:ascii="宋体" w:hAnsi="宋体"/>
          <w:color w:val="auto"/>
          <w:sz w:val="24"/>
          <w:szCs w:val="24"/>
        </w:rPr>
        <w:t>（本提示内容非招标文件的组成部分，仅为善意提醒。如有不一致，以招标文件为准）</w:t>
      </w:r>
    </w:p>
    <w:p>
      <w:pPr>
        <w:numPr>
          <w:ilvl w:val="0"/>
          <w:numId w:val="2"/>
        </w:numPr>
        <w:rPr>
          <w:rFonts w:ascii="宋体" w:hAnsi="宋体"/>
          <w:color w:val="auto"/>
          <w:sz w:val="24"/>
          <w:szCs w:val="24"/>
        </w:rPr>
      </w:pPr>
      <w:r>
        <w:rPr>
          <w:rFonts w:hint="eastAsia" w:ascii="宋体" w:hAnsi="宋体"/>
          <w:color w:val="auto"/>
          <w:sz w:val="24"/>
          <w:szCs w:val="24"/>
        </w:rPr>
        <w:t>如无另行说明，投标文件递交时间为投标文件</w:t>
      </w:r>
      <w:r>
        <w:rPr>
          <w:rFonts w:hint="eastAsia" w:ascii="宋体" w:hAnsi="宋体"/>
          <w:b/>
          <w:color w:val="auto"/>
          <w:sz w:val="24"/>
          <w:szCs w:val="24"/>
          <w:u w:val="single"/>
        </w:rPr>
        <w:t>递交截止时间之前30分钟</w:t>
      </w:r>
      <w:r>
        <w:rPr>
          <w:rFonts w:hint="eastAsia" w:ascii="宋体" w:hAnsi="宋体"/>
          <w:color w:val="auto"/>
          <w:sz w:val="24"/>
          <w:szCs w:val="24"/>
        </w:rPr>
        <w:t>内。</w:t>
      </w:r>
    </w:p>
    <w:p>
      <w:pPr>
        <w:numPr>
          <w:ilvl w:val="0"/>
          <w:numId w:val="2"/>
        </w:numPr>
        <w:rPr>
          <w:rStyle w:val="56"/>
          <w:rFonts w:ascii="宋体" w:hAnsi="宋体"/>
          <w:color w:val="auto"/>
          <w:sz w:val="24"/>
          <w:szCs w:val="24"/>
        </w:rPr>
      </w:pPr>
      <w:r>
        <w:rPr>
          <w:rStyle w:val="56"/>
          <w:rFonts w:hint="eastAsia" w:hAnsi="宋体"/>
          <w:color w:val="auto"/>
          <w:sz w:val="24"/>
          <w:szCs w:val="24"/>
        </w:rPr>
        <w:t>对可接受分支机构投标的项目，分支机构投标的，须提供分支机构的营业执</w:t>
      </w:r>
      <w:r>
        <w:rPr>
          <w:rStyle w:val="56"/>
          <w:rFonts w:hint="eastAsia"/>
          <w:color w:val="auto"/>
          <w:sz w:val="24"/>
          <w:szCs w:val="24"/>
        </w:rPr>
        <w:t>照（执业许可证）复印件、</w:t>
      </w:r>
      <w:r>
        <w:rPr>
          <w:rFonts w:hint="eastAsia" w:ascii="宋体" w:hAnsi="宋体"/>
          <w:color w:val="auto"/>
          <w:sz w:val="24"/>
          <w:szCs w:val="24"/>
        </w:rPr>
        <w:t>总公司（总所）的营业执照副本复印件</w:t>
      </w:r>
      <w:r>
        <w:rPr>
          <w:rStyle w:val="56"/>
          <w:rFonts w:hint="eastAsia"/>
          <w:color w:val="auto"/>
          <w:sz w:val="24"/>
          <w:szCs w:val="24"/>
        </w:rPr>
        <w:t>及</w:t>
      </w:r>
      <w:r>
        <w:rPr>
          <w:rStyle w:val="56"/>
          <w:rFonts w:hint="eastAsia" w:hAnsi="宋体"/>
          <w:color w:val="auto"/>
          <w:sz w:val="24"/>
          <w:szCs w:val="24"/>
        </w:rPr>
        <w:t>总公司（总所）出具给分支机构的</w:t>
      </w:r>
      <w:r>
        <w:rPr>
          <w:rStyle w:val="56"/>
          <w:rFonts w:hint="eastAsia"/>
          <w:color w:val="auto"/>
          <w:sz w:val="24"/>
          <w:szCs w:val="24"/>
        </w:rPr>
        <w:t>授</w:t>
      </w:r>
      <w:r>
        <w:rPr>
          <w:rStyle w:val="56"/>
          <w:rFonts w:hint="eastAsia" w:hAnsi="宋体"/>
          <w:color w:val="auto"/>
          <w:sz w:val="24"/>
          <w:szCs w:val="24"/>
        </w:rPr>
        <w:t>权书，</w:t>
      </w:r>
      <w:r>
        <w:rPr>
          <w:rStyle w:val="56"/>
          <w:rFonts w:hint="eastAsia" w:hAnsi="宋体"/>
          <w:b/>
          <w:color w:val="auto"/>
          <w:sz w:val="24"/>
          <w:szCs w:val="24"/>
        </w:rPr>
        <w:t>授权书须加盖总公司（总所）公章</w:t>
      </w:r>
      <w:r>
        <w:rPr>
          <w:rStyle w:val="56"/>
          <w:rFonts w:hint="eastAsia" w:hAnsi="宋体"/>
          <w:color w:val="auto"/>
          <w:sz w:val="24"/>
          <w:szCs w:val="24"/>
        </w:rPr>
        <w:t>。总公司（总所）可就本项目或此类项目在一定范围或时间内出具授权书。已由总公司（总所）授权的，总公司（总所）取得的相关资质证书对分支机构有效，法律法规或者行业另有规定的除外。</w:t>
      </w:r>
    </w:p>
    <w:p>
      <w:pPr>
        <w:numPr>
          <w:ilvl w:val="0"/>
          <w:numId w:val="2"/>
        </w:numPr>
        <w:rPr>
          <w:rStyle w:val="56"/>
          <w:rFonts w:ascii="宋体" w:hAnsi="宋体"/>
          <w:color w:val="auto"/>
          <w:sz w:val="24"/>
          <w:szCs w:val="24"/>
        </w:rPr>
      </w:pPr>
      <w:r>
        <w:rPr>
          <w:rStyle w:val="56"/>
          <w:rFonts w:hint="eastAsia" w:ascii="宋体" w:hAnsi="宋体"/>
          <w:color w:val="auto"/>
          <w:sz w:val="24"/>
          <w:szCs w:val="24"/>
        </w:rPr>
        <w:t>投标人请注意区分投标保证金及采购代理服务费收款帐号的区别。如项目（采购包）要求缴纳投标保证金的，供应商在按照招标公告及招标文件规定获取招标文件后，</w:t>
      </w:r>
      <w:r>
        <w:rPr>
          <w:rStyle w:val="56"/>
          <w:rFonts w:hint="eastAsia" w:ascii="宋体" w:hAnsi="宋体"/>
          <w:b/>
          <w:color w:val="auto"/>
          <w:sz w:val="24"/>
          <w:szCs w:val="24"/>
          <w:u w:val="single"/>
        </w:rPr>
        <w:t>可在系统中获取专属的投标保证金账户信息</w:t>
      </w:r>
      <w:r>
        <w:rPr>
          <w:rStyle w:val="56"/>
          <w:rFonts w:hint="eastAsia" w:ascii="宋体" w:hAnsi="宋体"/>
          <w:color w:val="auto"/>
          <w:sz w:val="24"/>
          <w:szCs w:val="24"/>
        </w:rPr>
        <w:t>，每个供应商每个项目（采购包）的保证金缴纳账户是唯一的，请投标人务必按要求将保证金存入所投项目（采购包）指定的保证金专用账户；</w:t>
      </w:r>
      <w:r>
        <w:rPr>
          <w:rStyle w:val="56"/>
          <w:rFonts w:hint="eastAsia" w:ascii="宋体" w:hAnsi="宋体"/>
          <w:color w:val="auto"/>
          <w:sz w:val="24"/>
          <w:szCs w:val="24"/>
        </w:rPr>
        <w:tab/>
      </w:r>
      <w:r>
        <w:rPr>
          <w:rStyle w:val="56"/>
          <w:rFonts w:hint="eastAsia" w:ascii="宋体" w:hAnsi="宋体"/>
          <w:color w:val="auto"/>
          <w:sz w:val="24"/>
          <w:szCs w:val="24"/>
        </w:rPr>
        <w:t>投标保证金的转账当天不一定能够达账，为避免因投标保证金未达账而导致投标被拒绝，建议在递交投标保证金充分考虑以上因素。采购代理服务费存入指定的</w:t>
      </w:r>
      <w:r>
        <w:rPr>
          <w:rStyle w:val="56"/>
          <w:rFonts w:hint="eastAsia" w:ascii="宋体" w:hAnsi="宋体"/>
          <w:b/>
          <w:color w:val="auto"/>
          <w:sz w:val="24"/>
          <w:szCs w:val="24"/>
          <w:u w:val="single"/>
        </w:rPr>
        <w:t>采购代理服务费缴费账户</w:t>
      </w:r>
      <w:r>
        <w:rPr>
          <w:rStyle w:val="56"/>
          <w:rFonts w:hint="eastAsia" w:ascii="宋体" w:hAnsi="宋体"/>
          <w:color w:val="auto"/>
          <w:sz w:val="24"/>
          <w:szCs w:val="24"/>
        </w:rPr>
        <w:t>。</w:t>
      </w:r>
    </w:p>
    <w:p>
      <w:pPr>
        <w:numPr>
          <w:ilvl w:val="0"/>
          <w:numId w:val="2"/>
        </w:numPr>
        <w:rPr>
          <w:rFonts w:ascii="宋体" w:hAnsi="宋体"/>
          <w:color w:val="auto"/>
          <w:sz w:val="24"/>
          <w:szCs w:val="24"/>
        </w:rPr>
      </w:pPr>
      <w:r>
        <w:rPr>
          <w:rFonts w:hint="eastAsia" w:ascii="宋体" w:hAnsi="宋体"/>
          <w:color w:val="auto"/>
          <w:sz w:val="24"/>
          <w:szCs w:val="24"/>
        </w:rPr>
        <w:t>为了提高政府采购效率，节约社会交易成本与时间，本公司希望购买了招标文件而决定不参加本次投标的供应商，在投标文件递交截止时间的3日前，按《投标邀请》中的联系方式，</w:t>
      </w:r>
      <w:r>
        <w:rPr>
          <w:rFonts w:hint="eastAsia" w:ascii="宋体" w:hAnsi="宋体"/>
          <w:b/>
          <w:color w:val="auto"/>
          <w:sz w:val="24"/>
          <w:szCs w:val="24"/>
          <w:u w:val="single"/>
        </w:rPr>
        <w:t>告知采购代理机构</w:t>
      </w:r>
      <w:r>
        <w:rPr>
          <w:rFonts w:hint="eastAsia" w:ascii="宋体" w:hAnsi="宋体"/>
          <w:color w:val="auto"/>
          <w:sz w:val="24"/>
          <w:szCs w:val="24"/>
        </w:rPr>
        <w:t>。对您的支持与配合，谨此致谢。</w:t>
      </w:r>
    </w:p>
    <w:p>
      <w:pPr>
        <w:numPr>
          <w:ilvl w:val="0"/>
          <w:numId w:val="2"/>
        </w:numPr>
        <w:rPr>
          <w:rFonts w:ascii="宋体" w:hAnsi="宋体"/>
          <w:color w:val="auto"/>
          <w:sz w:val="24"/>
          <w:szCs w:val="24"/>
        </w:rPr>
      </w:pPr>
      <w:r>
        <w:rPr>
          <w:rFonts w:hint="eastAsia" w:ascii="宋体" w:hAnsi="宋体"/>
          <w:color w:val="auto"/>
          <w:sz w:val="24"/>
          <w:szCs w:val="24"/>
        </w:rPr>
        <w:t>投标人如需对项目提出书面询问或质疑，应分别按招标文件《投标人须知》附件中的询问函、质疑函的格式在规定的时间内提交。</w:t>
      </w:r>
    </w:p>
    <w:p>
      <w:pPr>
        <w:numPr>
          <w:ilvl w:val="0"/>
          <w:numId w:val="2"/>
        </w:numPr>
        <w:rPr>
          <w:rFonts w:ascii="宋体" w:hAnsi="宋体"/>
          <w:color w:val="auto"/>
          <w:sz w:val="24"/>
          <w:szCs w:val="24"/>
        </w:rPr>
      </w:pPr>
      <w:r>
        <w:rPr>
          <w:rFonts w:hint="eastAsia" w:ascii="宋体" w:hAnsi="宋体"/>
          <w:color w:val="auto"/>
          <w:sz w:val="24"/>
          <w:szCs w:val="24"/>
        </w:rPr>
        <w:t>因场地有限，本公司（总部）</w:t>
      </w:r>
      <w:r>
        <w:rPr>
          <w:rFonts w:hint="eastAsia" w:ascii="宋体" w:hAnsi="宋体"/>
          <w:b/>
          <w:color w:val="auto"/>
          <w:sz w:val="24"/>
          <w:szCs w:val="24"/>
          <w:u w:val="single"/>
        </w:rPr>
        <w:t>无法提供停车位</w:t>
      </w:r>
      <w:r>
        <w:rPr>
          <w:rFonts w:hint="eastAsia" w:ascii="宋体" w:hAnsi="宋体"/>
          <w:color w:val="auto"/>
          <w:sz w:val="24"/>
          <w:szCs w:val="24"/>
        </w:rPr>
        <w:t>，不便之处敬请谅解。如有需要，请到周边的停车场停车，如珠江国际大厦、广州大厦、机械大厦、五月花广场及其他对外营业的停车场等。</w:t>
      </w:r>
    </w:p>
    <w:p>
      <w:pPr>
        <w:ind w:left="480" w:firstLine="480" w:firstLineChars="200"/>
        <w:rPr>
          <w:rFonts w:ascii="宋体" w:hAnsi="宋体"/>
          <w:color w:val="auto"/>
          <w:sz w:val="24"/>
          <w:szCs w:val="24"/>
        </w:rPr>
      </w:pPr>
      <w:r>
        <w:rPr>
          <w:rFonts w:hint="eastAsia" w:ascii="宋体" w:hAnsi="宋体"/>
          <w:color w:val="auto"/>
          <w:sz w:val="24"/>
          <w:szCs w:val="24"/>
        </w:rPr>
        <w:t>注：根据广东省财政厅政府采购监管处《关于做好供应商注册登记有关工作的通知》的要求，如供应商未在广东省政府采购网注册的，请供应商登录广东省政府采购网</w:t>
      </w:r>
      <w:r>
        <w:rPr>
          <w:rFonts w:hint="eastAsia" w:ascii="宋体" w:hAnsi="宋体" w:cs="宋体"/>
          <w:color w:val="auto"/>
          <w:sz w:val="24"/>
          <w:szCs w:val="24"/>
        </w:rPr>
        <w:t>（https://gdgpo.czt.gd.gov.cn/）</w:t>
      </w:r>
      <w:r>
        <w:rPr>
          <w:rFonts w:hint="eastAsia" w:ascii="宋体" w:hAnsi="宋体"/>
          <w:color w:val="auto"/>
          <w:sz w:val="24"/>
          <w:szCs w:val="24"/>
        </w:rPr>
        <w:t>进行注册登记（相关事宜详见广东省政府采购网《关于做好供应商注册登记有关工作的通知》）。</w:t>
      </w:r>
    </w:p>
    <w:p>
      <w:pPr>
        <w:numPr>
          <w:ilvl w:val="0"/>
          <w:numId w:val="2"/>
        </w:numPr>
        <w:rPr>
          <w:rFonts w:ascii="宋体" w:hAnsi="宋体"/>
          <w:color w:val="auto"/>
          <w:sz w:val="24"/>
          <w:szCs w:val="24"/>
        </w:rPr>
      </w:pPr>
      <w:r>
        <w:rPr>
          <w:rFonts w:hint="eastAsia" w:ascii="宋体" w:hAnsi="宋体"/>
          <w:color w:val="auto"/>
          <w:sz w:val="24"/>
          <w:szCs w:val="24"/>
        </w:rPr>
        <w:t>在新冠肺炎疫情防控期间，请供应商注意各级政府采购监管部门的疫情防控要求及采购代理机构采取的相应防控措施，按照本地区有关公共场所新型冠状病毒感染的肺炎疫情预防控制的规定参加采购活动。</w:t>
      </w:r>
    </w:p>
    <w:p>
      <w:pPr>
        <w:ind w:left="480" w:firstLine="480" w:firstLineChars="200"/>
        <w:rPr>
          <w:rFonts w:ascii="宋体" w:hAnsi="宋体"/>
          <w:color w:val="auto"/>
          <w:sz w:val="24"/>
          <w:szCs w:val="24"/>
        </w:rPr>
      </w:pPr>
    </w:p>
    <w:p>
      <w:pPr>
        <w:spacing w:line="360" w:lineRule="auto"/>
        <w:jc w:val="center"/>
        <w:rPr>
          <w:rFonts w:ascii="宋体" w:hAnsi="宋体"/>
          <w:b/>
          <w:color w:val="auto"/>
          <w:sz w:val="28"/>
          <w:szCs w:val="28"/>
        </w:rPr>
      </w:pPr>
      <w:r>
        <w:rPr>
          <w:rFonts w:ascii="宋体" w:hAnsi="宋体"/>
          <w:color w:val="auto"/>
          <w:sz w:val="24"/>
          <w:szCs w:val="24"/>
        </w:rPr>
        <w:br w:type="page"/>
      </w:r>
      <w:r>
        <w:rPr>
          <w:rFonts w:hint="eastAsia" w:ascii="宋体" w:hAnsi="宋体"/>
          <w:b/>
          <w:color w:val="auto"/>
          <w:sz w:val="28"/>
          <w:szCs w:val="28"/>
        </w:rPr>
        <w:t>华伦公司地理位置示意</w:t>
      </w:r>
    </w:p>
    <w:p>
      <w:pPr>
        <w:spacing w:line="360" w:lineRule="auto"/>
        <w:jc w:val="center"/>
        <w:rPr>
          <w:rFonts w:ascii="宋体" w:hAnsi="宋体"/>
          <w:color w:val="auto"/>
          <w:sz w:val="24"/>
          <w:szCs w:val="24"/>
        </w:rPr>
      </w:pPr>
      <w:r>
        <w:rPr>
          <w:rFonts w:ascii="宋体" w:hAnsi="宋体"/>
          <w:color w:val="auto"/>
          <w:sz w:val="24"/>
          <w:szCs w:val="24"/>
        </w:rPr>
        <w:pict>
          <v:shape id="_x0000_i1025" o:spt="75" type="#_x0000_t75" style="height:371.65pt;width:458.65pt;" filled="f" o:preferrelative="t" stroked="f" coordsize="21600,21600">
            <v:path/>
            <v:fill on="f" focussize="0,0"/>
            <v:stroke on="f" joinstyle="miter"/>
            <v:imagedata r:id="rId9" o:title=""/>
            <o:lock v:ext="edit" aspectratio="t"/>
            <w10:wrap type="none"/>
            <w10:anchorlock/>
          </v:shape>
        </w:pict>
      </w:r>
    </w:p>
    <w:p>
      <w:pPr>
        <w:spacing w:line="360" w:lineRule="auto"/>
        <w:rPr>
          <w:rFonts w:ascii="宋体" w:hAnsi="宋体"/>
          <w:color w:val="auto"/>
          <w:sz w:val="24"/>
          <w:szCs w:val="24"/>
        </w:rPr>
      </w:pPr>
    </w:p>
    <w:p>
      <w:pPr>
        <w:spacing w:line="360" w:lineRule="auto"/>
        <w:jc w:val="center"/>
        <w:rPr>
          <w:rFonts w:ascii="宋体" w:hAnsi="宋体"/>
          <w:b/>
          <w:color w:val="auto"/>
          <w:sz w:val="28"/>
          <w:szCs w:val="28"/>
        </w:rPr>
      </w:pPr>
      <w:r>
        <w:rPr>
          <w:rFonts w:hint="eastAsia" w:ascii="宋体" w:hAnsi="宋体"/>
          <w:b/>
          <w:color w:val="auto"/>
          <w:sz w:val="28"/>
          <w:szCs w:val="28"/>
        </w:rPr>
        <w:t>广仁大厦外观图</w:t>
      </w:r>
    </w:p>
    <w:p>
      <w:pPr>
        <w:spacing w:line="360" w:lineRule="auto"/>
        <w:jc w:val="center"/>
        <w:rPr>
          <w:rFonts w:ascii="宋体" w:hAnsi="宋体"/>
          <w:color w:val="auto"/>
          <w:sz w:val="24"/>
          <w:szCs w:val="24"/>
        </w:rPr>
      </w:pPr>
      <w:r>
        <w:rPr>
          <w:rFonts w:ascii="宋体" w:hAnsi="宋体"/>
          <w:color w:val="auto"/>
          <w:sz w:val="24"/>
          <w:szCs w:val="24"/>
        </w:rPr>
        <w:pict>
          <v:shape id="_x0000_i1026" o:spt="75" type="#_x0000_t75" style="height:166.5pt;width:168.4pt;" filled="f" o:preferrelative="t" stroked="f" coordsize="21600,21600">
            <v:path/>
            <v:fill on="f" focussize="0,0"/>
            <v:stroke on="f" joinstyle="miter"/>
            <v:imagedata r:id="rId10" o:title=""/>
            <o:lock v:ext="edit" aspectratio="t"/>
            <w10:wrap type="none"/>
            <w10:anchorlock/>
          </v:shape>
        </w:pict>
      </w:r>
      <w:r>
        <w:rPr>
          <w:rFonts w:ascii="宋体" w:hAnsi="宋体"/>
          <w:color w:val="auto"/>
          <w:sz w:val="24"/>
          <w:szCs w:val="24"/>
        </w:rPr>
        <w:pict>
          <v:shape id="_x0000_i1027" o:spt="75" type="#_x0000_t75" style="height:167.65pt;width:286.9pt;" filled="f" o:preferrelative="t" stroked="f" coordsize="21600,21600">
            <v:path/>
            <v:fill on="f" focussize="0,0"/>
            <v:stroke on="f" joinstyle="miter"/>
            <v:imagedata r:id="rId11" o:title=""/>
            <o:lock v:ext="edit" aspectratio="t"/>
            <w10:wrap type="none"/>
            <w10:anchorlock/>
          </v:shape>
        </w:pict>
      </w:r>
    </w:p>
    <w:p>
      <w:pPr>
        <w:pStyle w:val="3"/>
        <w:spacing w:before="0" w:after="0" w:line="360" w:lineRule="auto"/>
        <w:jc w:val="center"/>
        <w:rPr>
          <w:color w:val="auto"/>
        </w:rPr>
      </w:pPr>
      <w:r>
        <w:rPr>
          <w:color w:val="auto"/>
          <w:sz w:val="24"/>
          <w:szCs w:val="24"/>
        </w:rPr>
        <w:br w:type="page"/>
      </w:r>
      <w:bookmarkStart w:id="1" w:name="_Toc9582"/>
      <w:r>
        <w:rPr>
          <w:rFonts w:hint="eastAsia"/>
          <w:color w:val="auto"/>
        </w:rPr>
        <w:t>目  录</w:t>
      </w:r>
      <w:bookmarkEnd w:id="1"/>
    </w:p>
    <w:p>
      <w:pPr>
        <w:rPr>
          <w:color w:val="auto"/>
        </w:rPr>
      </w:pPr>
    </w:p>
    <w:p>
      <w:pPr>
        <w:pStyle w:val="20"/>
        <w:tabs>
          <w:tab w:val="right" w:leader="dot" w:pos="9184"/>
        </w:tabs>
        <w:jc w:val="center"/>
        <w:rPr>
          <w:rFonts w:ascii="宋体" w:hAnsi="宋体"/>
          <w:color w:val="auto"/>
          <w:sz w:val="24"/>
          <w:szCs w:val="24"/>
        </w:rPr>
      </w:pPr>
      <w:r>
        <w:rPr>
          <w:rFonts w:ascii="宋体" w:hAnsi="宋体"/>
          <w:color w:val="auto"/>
          <w:sz w:val="24"/>
          <w:szCs w:val="24"/>
        </w:rPr>
        <w:fldChar w:fldCharType="begin"/>
      </w:r>
      <w:r>
        <w:rPr>
          <w:rFonts w:ascii="宋体" w:hAnsi="宋体"/>
          <w:color w:val="auto"/>
          <w:sz w:val="24"/>
          <w:szCs w:val="24"/>
        </w:rPr>
        <w:instrText xml:space="preserve"> </w:instrText>
      </w:r>
      <w:r>
        <w:rPr>
          <w:rFonts w:hint="eastAsia" w:ascii="宋体" w:hAnsi="宋体"/>
          <w:color w:val="auto"/>
          <w:sz w:val="24"/>
          <w:szCs w:val="24"/>
        </w:rPr>
        <w:instrText xml:space="preserve">TOC \o "1-3" \h \z \u</w:instrText>
      </w:r>
      <w:r>
        <w:rPr>
          <w:rFonts w:ascii="宋体" w:hAnsi="宋体"/>
          <w:color w:val="auto"/>
          <w:sz w:val="24"/>
          <w:szCs w:val="24"/>
        </w:rPr>
        <w:instrText xml:space="preserve"> </w:instrText>
      </w:r>
      <w:r>
        <w:rPr>
          <w:rFonts w:ascii="宋体" w:hAnsi="宋体"/>
          <w:color w:val="auto"/>
          <w:sz w:val="24"/>
          <w:szCs w:val="24"/>
        </w:rPr>
        <w:fldChar w:fldCharType="separate"/>
      </w:r>
      <w:r>
        <w:rPr>
          <w:color w:val="auto"/>
        </w:rPr>
        <w:fldChar w:fldCharType="begin"/>
      </w:r>
      <w:r>
        <w:rPr>
          <w:color w:val="auto"/>
        </w:rPr>
        <w:instrText xml:space="preserve"> HYPERLINK \l "_Toc24484" </w:instrText>
      </w:r>
      <w:r>
        <w:rPr>
          <w:color w:val="auto"/>
        </w:rPr>
        <w:fldChar w:fldCharType="separate"/>
      </w:r>
      <w:r>
        <w:rPr>
          <w:rFonts w:hint="eastAsia"/>
          <w:color w:val="auto"/>
          <w:sz w:val="24"/>
          <w:szCs w:val="24"/>
        </w:rPr>
        <w:t>温馨提示</w:t>
      </w:r>
      <w:r>
        <w:rPr>
          <w:color w:val="auto"/>
          <w:sz w:val="24"/>
          <w:szCs w:val="24"/>
        </w:rPr>
        <w:tab/>
      </w:r>
      <w:r>
        <w:rPr>
          <w:color w:val="auto"/>
          <w:sz w:val="24"/>
          <w:szCs w:val="24"/>
        </w:rPr>
        <w:fldChar w:fldCharType="begin"/>
      </w:r>
      <w:r>
        <w:rPr>
          <w:color w:val="auto"/>
          <w:sz w:val="24"/>
          <w:szCs w:val="24"/>
        </w:rPr>
        <w:instrText xml:space="preserve"> PAGEREF _Toc24484 \h </w:instrText>
      </w:r>
      <w:r>
        <w:rPr>
          <w:color w:val="auto"/>
          <w:sz w:val="24"/>
          <w:szCs w:val="24"/>
        </w:rPr>
        <w:fldChar w:fldCharType="separate"/>
      </w:r>
      <w:r>
        <w:rPr>
          <w:color w:val="auto"/>
          <w:sz w:val="24"/>
          <w:szCs w:val="24"/>
        </w:rPr>
        <w:t>- 1 -</w:t>
      </w:r>
      <w:r>
        <w:rPr>
          <w:color w:val="auto"/>
          <w:sz w:val="24"/>
          <w:szCs w:val="24"/>
        </w:rPr>
        <w:fldChar w:fldCharType="end"/>
      </w:r>
      <w:r>
        <w:rPr>
          <w:color w:val="auto"/>
          <w:sz w:val="24"/>
          <w:szCs w:val="24"/>
        </w:rPr>
        <w:fldChar w:fldCharType="end"/>
      </w:r>
    </w:p>
    <w:p>
      <w:pPr>
        <w:jc w:val="center"/>
        <w:rPr>
          <w:color w:val="auto"/>
          <w:sz w:val="24"/>
          <w:szCs w:val="24"/>
        </w:rPr>
      </w:pPr>
    </w:p>
    <w:p>
      <w:pPr>
        <w:pStyle w:val="20"/>
        <w:tabs>
          <w:tab w:val="right" w:leader="dot" w:pos="9184"/>
        </w:tabs>
        <w:jc w:val="center"/>
        <w:rPr>
          <w:rFonts w:ascii="宋体" w:hAnsi="宋体"/>
          <w:color w:val="auto"/>
          <w:sz w:val="24"/>
          <w:szCs w:val="24"/>
        </w:rPr>
      </w:pPr>
      <w:r>
        <w:rPr>
          <w:color w:val="auto"/>
        </w:rPr>
        <w:fldChar w:fldCharType="begin"/>
      </w:r>
      <w:r>
        <w:rPr>
          <w:color w:val="auto"/>
        </w:rPr>
        <w:instrText xml:space="preserve"> HYPERLINK \l "_Toc9582" </w:instrText>
      </w:r>
      <w:r>
        <w:rPr>
          <w:color w:val="auto"/>
        </w:rPr>
        <w:fldChar w:fldCharType="separate"/>
      </w:r>
      <w:r>
        <w:rPr>
          <w:rFonts w:hint="eastAsia"/>
          <w:color w:val="auto"/>
          <w:sz w:val="24"/>
          <w:szCs w:val="24"/>
        </w:rPr>
        <w:t>目  录</w:t>
      </w:r>
      <w:r>
        <w:rPr>
          <w:color w:val="auto"/>
          <w:sz w:val="24"/>
          <w:szCs w:val="24"/>
        </w:rPr>
        <w:tab/>
      </w:r>
      <w:r>
        <w:rPr>
          <w:color w:val="auto"/>
          <w:sz w:val="24"/>
          <w:szCs w:val="24"/>
        </w:rPr>
        <w:fldChar w:fldCharType="begin"/>
      </w:r>
      <w:r>
        <w:rPr>
          <w:color w:val="auto"/>
          <w:sz w:val="24"/>
          <w:szCs w:val="24"/>
        </w:rPr>
        <w:instrText xml:space="preserve"> PAGEREF _Toc9582 \h </w:instrText>
      </w:r>
      <w:r>
        <w:rPr>
          <w:color w:val="auto"/>
          <w:sz w:val="24"/>
          <w:szCs w:val="24"/>
        </w:rPr>
        <w:fldChar w:fldCharType="separate"/>
      </w:r>
      <w:r>
        <w:rPr>
          <w:color w:val="auto"/>
          <w:sz w:val="24"/>
          <w:szCs w:val="24"/>
        </w:rPr>
        <w:t>- 2 -</w:t>
      </w:r>
      <w:r>
        <w:rPr>
          <w:color w:val="auto"/>
          <w:sz w:val="24"/>
          <w:szCs w:val="24"/>
        </w:rPr>
        <w:fldChar w:fldCharType="end"/>
      </w:r>
      <w:r>
        <w:rPr>
          <w:color w:val="auto"/>
          <w:sz w:val="24"/>
          <w:szCs w:val="24"/>
        </w:rPr>
        <w:fldChar w:fldCharType="end"/>
      </w:r>
    </w:p>
    <w:p>
      <w:pPr>
        <w:jc w:val="center"/>
        <w:rPr>
          <w:color w:val="auto"/>
          <w:sz w:val="24"/>
          <w:szCs w:val="24"/>
        </w:rPr>
      </w:pPr>
    </w:p>
    <w:p>
      <w:pPr>
        <w:pStyle w:val="20"/>
        <w:tabs>
          <w:tab w:val="right" w:leader="dot" w:pos="9184"/>
        </w:tabs>
        <w:jc w:val="center"/>
        <w:rPr>
          <w:color w:val="auto"/>
          <w:sz w:val="24"/>
          <w:szCs w:val="24"/>
        </w:rPr>
      </w:pPr>
      <w:r>
        <w:rPr>
          <w:color w:val="auto"/>
        </w:rPr>
        <w:fldChar w:fldCharType="begin"/>
      </w:r>
      <w:r>
        <w:rPr>
          <w:color w:val="auto"/>
        </w:rPr>
        <w:instrText xml:space="preserve"> HYPERLINK \l "_Toc12738" </w:instrText>
      </w:r>
      <w:r>
        <w:rPr>
          <w:color w:val="auto"/>
        </w:rPr>
        <w:fldChar w:fldCharType="separate"/>
      </w:r>
      <w:r>
        <w:rPr>
          <w:rFonts w:hint="eastAsia" w:ascii="宋体" w:hAnsi="宋体"/>
          <w:color w:val="auto"/>
          <w:kern w:val="0"/>
          <w:sz w:val="24"/>
          <w:szCs w:val="24"/>
        </w:rPr>
        <w:t>第一部分 投标邀请</w:t>
      </w:r>
      <w:r>
        <w:rPr>
          <w:color w:val="auto"/>
          <w:sz w:val="24"/>
          <w:szCs w:val="24"/>
        </w:rPr>
        <w:tab/>
      </w:r>
      <w:r>
        <w:rPr>
          <w:color w:val="auto"/>
          <w:sz w:val="24"/>
          <w:szCs w:val="24"/>
        </w:rPr>
        <w:fldChar w:fldCharType="begin"/>
      </w:r>
      <w:r>
        <w:rPr>
          <w:color w:val="auto"/>
          <w:sz w:val="24"/>
          <w:szCs w:val="24"/>
        </w:rPr>
        <w:instrText xml:space="preserve"> PAGEREF _Toc12738 \h </w:instrText>
      </w:r>
      <w:r>
        <w:rPr>
          <w:color w:val="auto"/>
          <w:sz w:val="24"/>
          <w:szCs w:val="24"/>
        </w:rPr>
        <w:fldChar w:fldCharType="separate"/>
      </w:r>
      <w:r>
        <w:rPr>
          <w:color w:val="auto"/>
          <w:sz w:val="24"/>
          <w:szCs w:val="24"/>
        </w:rPr>
        <w:t>1</w:t>
      </w:r>
      <w:r>
        <w:rPr>
          <w:color w:val="auto"/>
          <w:sz w:val="24"/>
          <w:szCs w:val="24"/>
        </w:rPr>
        <w:fldChar w:fldCharType="end"/>
      </w:r>
      <w:r>
        <w:rPr>
          <w:color w:val="auto"/>
          <w:sz w:val="24"/>
          <w:szCs w:val="24"/>
        </w:rPr>
        <w:fldChar w:fldCharType="end"/>
      </w:r>
    </w:p>
    <w:p>
      <w:pPr>
        <w:pStyle w:val="25"/>
        <w:tabs>
          <w:tab w:val="right" w:leader="dot" w:pos="9184"/>
        </w:tabs>
        <w:jc w:val="center"/>
        <w:rPr>
          <w:color w:val="auto"/>
          <w:sz w:val="24"/>
          <w:szCs w:val="24"/>
        </w:rPr>
      </w:pPr>
    </w:p>
    <w:p>
      <w:pPr>
        <w:pStyle w:val="20"/>
        <w:tabs>
          <w:tab w:val="right" w:leader="dot" w:pos="9184"/>
        </w:tabs>
        <w:jc w:val="center"/>
        <w:rPr>
          <w:color w:val="auto"/>
          <w:sz w:val="24"/>
          <w:szCs w:val="24"/>
        </w:rPr>
      </w:pPr>
      <w:r>
        <w:rPr>
          <w:color w:val="auto"/>
        </w:rPr>
        <w:fldChar w:fldCharType="begin"/>
      </w:r>
      <w:r>
        <w:rPr>
          <w:color w:val="auto"/>
        </w:rPr>
        <w:instrText xml:space="preserve"> HYPERLINK \l "_Toc31471" </w:instrText>
      </w:r>
      <w:r>
        <w:rPr>
          <w:color w:val="auto"/>
        </w:rPr>
        <w:fldChar w:fldCharType="separate"/>
      </w:r>
      <w:r>
        <w:rPr>
          <w:rFonts w:hint="eastAsia" w:ascii="宋体" w:hAnsi="宋体"/>
          <w:color w:val="auto"/>
          <w:kern w:val="0"/>
          <w:sz w:val="24"/>
          <w:szCs w:val="24"/>
        </w:rPr>
        <w:t>第二部分 采购需求</w:t>
      </w:r>
      <w:r>
        <w:rPr>
          <w:color w:val="auto"/>
          <w:sz w:val="24"/>
          <w:szCs w:val="24"/>
        </w:rPr>
        <w:tab/>
      </w:r>
      <w:r>
        <w:rPr>
          <w:color w:val="auto"/>
          <w:sz w:val="24"/>
          <w:szCs w:val="24"/>
        </w:rPr>
        <w:fldChar w:fldCharType="begin"/>
      </w:r>
      <w:r>
        <w:rPr>
          <w:color w:val="auto"/>
          <w:sz w:val="24"/>
          <w:szCs w:val="24"/>
        </w:rPr>
        <w:instrText xml:space="preserve"> PAGEREF _Toc31471 \h </w:instrText>
      </w:r>
      <w:r>
        <w:rPr>
          <w:color w:val="auto"/>
          <w:sz w:val="24"/>
          <w:szCs w:val="24"/>
        </w:rPr>
        <w:fldChar w:fldCharType="separate"/>
      </w:r>
      <w:r>
        <w:rPr>
          <w:color w:val="auto"/>
          <w:sz w:val="24"/>
          <w:szCs w:val="24"/>
        </w:rPr>
        <w:t>7</w:t>
      </w:r>
      <w:r>
        <w:rPr>
          <w:color w:val="auto"/>
          <w:sz w:val="24"/>
          <w:szCs w:val="24"/>
        </w:rPr>
        <w:fldChar w:fldCharType="end"/>
      </w:r>
      <w:r>
        <w:rPr>
          <w:color w:val="auto"/>
          <w:sz w:val="24"/>
          <w:szCs w:val="24"/>
        </w:rPr>
        <w:fldChar w:fldCharType="end"/>
      </w:r>
    </w:p>
    <w:p>
      <w:pPr>
        <w:pStyle w:val="25"/>
        <w:tabs>
          <w:tab w:val="right" w:leader="dot" w:pos="9184"/>
        </w:tabs>
        <w:jc w:val="center"/>
        <w:rPr>
          <w:color w:val="auto"/>
          <w:sz w:val="24"/>
          <w:szCs w:val="24"/>
        </w:rPr>
      </w:pPr>
    </w:p>
    <w:p>
      <w:pPr>
        <w:pStyle w:val="20"/>
        <w:tabs>
          <w:tab w:val="right" w:leader="dot" w:pos="9184"/>
        </w:tabs>
        <w:jc w:val="center"/>
        <w:rPr>
          <w:color w:val="auto"/>
          <w:sz w:val="24"/>
          <w:szCs w:val="24"/>
        </w:rPr>
      </w:pPr>
      <w:r>
        <w:rPr>
          <w:color w:val="auto"/>
        </w:rPr>
        <w:fldChar w:fldCharType="begin"/>
      </w:r>
      <w:r>
        <w:rPr>
          <w:color w:val="auto"/>
        </w:rPr>
        <w:instrText xml:space="preserve"> HYPERLINK \l "_Toc20294" </w:instrText>
      </w:r>
      <w:r>
        <w:rPr>
          <w:color w:val="auto"/>
        </w:rPr>
        <w:fldChar w:fldCharType="separate"/>
      </w:r>
      <w:r>
        <w:rPr>
          <w:rFonts w:hint="eastAsia" w:ascii="宋体" w:hAnsi="宋体"/>
          <w:color w:val="auto"/>
          <w:kern w:val="0"/>
          <w:sz w:val="24"/>
          <w:szCs w:val="24"/>
        </w:rPr>
        <w:t>第三部分 投标人须知</w:t>
      </w:r>
      <w:r>
        <w:rPr>
          <w:color w:val="auto"/>
          <w:sz w:val="24"/>
          <w:szCs w:val="24"/>
        </w:rPr>
        <w:tab/>
      </w:r>
      <w:r>
        <w:rPr>
          <w:color w:val="auto"/>
          <w:sz w:val="24"/>
          <w:szCs w:val="24"/>
        </w:rPr>
        <w:fldChar w:fldCharType="begin"/>
      </w:r>
      <w:r>
        <w:rPr>
          <w:color w:val="auto"/>
          <w:sz w:val="24"/>
          <w:szCs w:val="24"/>
        </w:rPr>
        <w:instrText xml:space="preserve"> PAGEREF _Toc20294 \h </w:instrText>
      </w:r>
      <w:r>
        <w:rPr>
          <w:color w:val="auto"/>
          <w:sz w:val="24"/>
          <w:szCs w:val="24"/>
        </w:rPr>
        <w:fldChar w:fldCharType="separate"/>
      </w:r>
      <w:r>
        <w:rPr>
          <w:color w:val="auto"/>
          <w:sz w:val="24"/>
          <w:szCs w:val="24"/>
        </w:rPr>
        <w:t>48</w:t>
      </w:r>
      <w:r>
        <w:rPr>
          <w:color w:val="auto"/>
          <w:sz w:val="24"/>
          <w:szCs w:val="24"/>
        </w:rPr>
        <w:fldChar w:fldCharType="end"/>
      </w:r>
      <w:r>
        <w:rPr>
          <w:color w:val="auto"/>
          <w:sz w:val="24"/>
          <w:szCs w:val="24"/>
        </w:rPr>
        <w:fldChar w:fldCharType="end"/>
      </w:r>
    </w:p>
    <w:p>
      <w:pPr>
        <w:pStyle w:val="12"/>
        <w:tabs>
          <w:tab w:val="right" w:leader="dot" w:pos="9184"/>
        </w:tabs>
        <w:jc w:val="center"/>
        <w:rPr>
          <w:color w:val="auto"/>
          <w:sz w:val="24"/>
          <w:szCs w:val="24"/>
        </w:rPr>
      </w:pPr>
    </w:p>
    <w:p>
      <w:pPr>
        <w:pStyle w:val="20"/>
        <w:tabs>
          <w:tab w:val="right" w:leader="dot" w:pos="9184"/>
        </w:tabs>
        <w:jc w:val="center"/>
        <w:rPr>
          <w:color w:val="auto"/>
          <w:sz w:val="24"/>
          <w:szCs w:val="24"/>
        </w:rPr>
      </w:pPr>
      <w:r>
        <w:rPr>
          <w:color w:val="auto"/>
        </w:rPr>
        <w:fldChar w:fldCharType="begin"/>
      </w:r>
      <w:r>
        <w:rPr>
          <w:color w:val="auto"/>
        </w:rPr>
        <w:instrText xml:space="preserve"> HYPERLINK \l "_Toc28919" </w:instrText>
      </w:r>
      <w:r>
        <w:rPr>
          <w:color w:val="auto"/>
        </w:rPr>
        <w:fldChar w:fldCharType="separate"/>
      </w:r>
      <w:r>
        <w:rPr>
          <w:rFonts w:hint="eastAsia" w:ascii="宋体" w:hAnsi="宋体"/>
          <w:color w:val="auto"/>
          <w:kern w:val="0"/>
          <w:sz w:val="24"/>
          <w:szCs w:val="24"/>
        </w:rPr>
        <w:t>第四部分 评标办法</w:t>
      </w:r>
      <w:r>
        <w:rPr>
          <w:color w:val="auto"/>
          <w:sz w:val="24"/>
          <w:szCs w:val="24"/>
        </w:rPr>
        <w:tab/>
      </w:r>
      <w:r>
        <w:rPr>
          <w:color w:val="auto"/>
          <w:sz w:val="24"/>
          <w:szCs w:val="24"/>
        </w:rPr>
        <w:fldChar w:fldCharType="begin"/>
      </w:r>
      <w:r>
        <w:rPr>
          <w:color w:val="auto"/>
          <w:sz w:val="24"/>
          <w:szCs w:val="24"/>
        </w:rPr>
        <w:instrText xml:space="preserve"> PAGEREF _Toc28919 \h </w:instrText>
      </w:r>
      <w:r>
        <w:rPr>
          <w:color w:val="auto"/>
          <w:sz w:val="24"/>
          <w:szCs w:val="24"/>
        </w:rPr>
        <w:fldChar w:fldCharType="separate"/>
      </w:r>
      <w:r>
        <w:rPr>
          <w:color w:val="auto"/>
          <w:sz w:val="24"/>
          <w:szCs w:val="24"/>
        </w:rPr>
        <w:t>74</w:t>
      </w:r>
      <w:r>
        <w:rPr>
          <w:color w:val="auto"/>
          <w:sz w:val="24"/>
          <w:szCs w:val="24"/>
        </w:rPr>
        <w:fldChar w:fldCharType="end"/>
      </w:r>
      <w:r>
        <w:rPr>
          <w:color w:val="auto"/>
          <w:sz w:val="24"/>
          <w:szCs w:val="24"/>
        </w:rPr>
        <w:fldChar w:fldCharType="end"/>
      </w:r>
    </w:p>
    <w:p>
      <w:pPr>
        <w:pStyle w:val="12"/>
        <w:tabs>
          <w:tab w:val="right" w:leader="dot" w:pos="9184"/>
        </w:tabs>
        <w:jc w:val="center"/>
        <w:rPr>
          <w:color w:val="auto"/>
          <w:sz w:val="24"/>
          <w:szCs w:val="24"/>
        </w:rPr>
      </w:pPr>
    </w:p>
    <w:p>
      <w:pPr>
        <w:pStyle w:val="20"/>
        <w:tabs>
          <w:tab w:val="right" w:leader="dot" w:pos="9184"/>
        </w:tabs>
        <w:jc w:val="center"/>
        <w:rPr>
          <w:rFonts w:ascii="宋体" w:hAnsi="宋体"/>
          <w:color w:val="auto"/>
          <w:sz w:val="24"/>
          <w:szCs w:val="24"/>
        </w:rPr>
      </w:pPr>
      <w:r>
        <w:rPr>
          <w:color w:val="auto"/>
        </w:rPr>
        <w:fldChar w:fldCharType="begin"/>
      </w:r>
      <w:r>
        <w:rPr>
          <w:color w:val="auto"/>
        </w:rPr>
        <w:instrText xml:space="preserve"> HYPERLINK \l "_Toc25899" </w:instrText>
      </w:r>
      <w:r>
        <w:rPr>
          <w:color w:val="auto"/>
        </w:rPr>
        <w:fldChar w:fldCharType="separate"/>
      </w:r>
      <w:r>
        <w:rPr>
          <w:rFonts w:hint="eastAsia" w:ascii="宋体" w:hAnsi="宋体"/>
          <w:color w:val="auto"/>
          <w:kern w:val="0"/>
          <w:sz w:val="24"/>
          <w:szCs w:val="24"/>
        </w:rPr>
        <w:t>第五部分 拟签订的合同文本</w:t>
      </w:r>
      <w:r>
        <w:rPr>
          <w:color w:val="auto"/>
          <w:sz w:val="24"/>
          <w:szCs w:val="24"/>
        </w:rPr>
        <w:tab/>
      </w:r>
      <w:r>
        <w:rPr>
          <w:color w:val="auto"/>
          <w:sz w:val="24"/>
          <w:szCs w:val="24"/>
        </w:rPr>
        <w:fldChar w:fldCharType="begin"/>
      </w:r>
      <w:r>
        <w:rPr>
          <w:color w:val="auto"/>
          <w:sz w:val="24"/>
          <w:szCs w:val="24"/>
        </w:rPr>
        <w:instrText xml:space="preserve"> PAGEREF _Toc25899 \h </w:instrText>
      </w:r>
      <w:r>
        <w:rPr>
          <w:color w:val="auto"/>
          <w:sz w:val="24"/>
          <w:szCs w:val="24"/>
        </w:rPr>
        <w:fldChar w:fldCharType="separate"/>
      </w:r>
      <w:r>
        <w:rPr>
          <w:color w:val="auto"/>
          <w:sz w:val="24"/>
          <w:szCs w:val="24"/>
        </w:rPr>
        <w:t>92</w:t>
      </w:r>
      <w:r>
        <w:rPr>
          <w:color w:val="auto"/>
          <w:sz w:val="24"/>
          <w:szCs w:val="24"/>
        </w:rPr>
        <w:fldChar w:fldCharType="end"/>
      </w:r>
      <w:r>
        <w:rPr>
          <w:color w:val="auto"/>
          <w:sz w:val="24"/>
          <w:szCs w:val="24"/>
        </w:rPr>
        <w:fldChar w:fldCharType="end"/>
      </w:r>
    </w:p>
    <w:p>
      <w:pPr>
        <w:jc w:val="center"/>
        <w:rPr>
          <w:color w:val="auto"/>
          <w:sz w:val="24"/>
          <w:szCs w:val="24"/>
        </w:rPr>
      </w:pPr>
    </w:p>
    <w:p>
      <w:pPr>
        <w:pStyle w:val="20"/>
        <w:tabs>
          <w:tab w:val="right" w:leader="dot" w:pos="9184"/>
        </w:tabs>
        <w:jc w:val="center"/>
        <w:rPr>
          <w:color w:val="auto"/>
        </w:rPr>
      </w:pPr>
      <w:r>
        <w:rPr>
          <w:color w:val="auto"/>
        </w:rPr>
        <w:fldChar w:fldCharType="begin"/>
      </w:r>
      <w:r>
        <w:rPr>
          <w:color w:val="auto"/>
        </w:rPr>
        <w:instrText xml:space="preserve"> HYPERLINK \l "_Toc16400" </w:instrText>
      </w:r>
      <w:r>
        <w:rPr>
          <w:color w:val="auto"/>
        </w:rPr>
        <w:fldChar w:fldCharType="separate"/>
      </w:r>
      <w:r>
        <w:rPr>
          <w:rFonts w:hint="eastAsia" w:ascii="宋体" w:hAnsi="宋体"/>
          <w:color w:val="auto"/>
          <w:kern w:val="0"/>
          <w:sz w:val="24"/>
          <w:szCs w:val="24"/>
        </w:rPr>
        <w:t>第六部分 投标文件格式</w:t>
      </w:r>
      <w:r>
        <w:rPr>
          <w:color w:val="auto"/>
          <w:sz w:val="24"/>
          <w:szCs w:val="24"/>
        </w:rPr>
        <w:tab/>
      </w:r>
      <w:r>
        <w:rPr>
          <w:color w:val="auto"/>
          <w:sz w:val="24"/>
          <w:szCs w:val="24"/>
        </w:rPr>
        <w:fldChar w:fldCharType="begin"/>
      </w:r>
      <w:r>
        <w:rPr>
          <w:color w:val="auto"/>
          <w:sz w:val="24"/>
          <w:szCs w:val="24"/>
        </w:rPr>
        <w:instrText xml:space="preserve"> PAGEREF _Toc16400 \h </w:instrText>
      </w:r>
      <w:r>
        <w:rPr>
          <w:color w:val="auto"/>
          <w:sz w:val="24"/>
          <w:szCs w:val="24"/>
        </w:rPr>
        <w:fldChar w:fldCharType="separate"/>
      </w:r>
      <w:r>
        <w:rPr>
          <w:color w:val="auto"/>
          <w:sz w:val="24"/>
          <w:szCs w:val="24"/>
        </w:rPr>
        <w:t>104</w:t>
      </w:r>
      <w:r>
        <w:rPr>
          <w:color w:val="auto"/>
          <w:sz w:val="24"/>
          <w:szCs w:val="24"/>
        </w:rPr>
        <w:fldChar w:fldCharType="end"/>
      </w:r>
      <w:r>
        <w:rPr>
          <w:color w:val="auto"/>
          <w:sz w:val="24"/>
          <w:szCs w:val="24"/>
        </w:rPr>
        <w:fldChar w:fldCharType="end"/>
      </w:r>
    </w:p>
    <w:p>
      <w:pPr>
        <w:spacing w:line="360" w:lineRule="auto"/>
        <w:rPr>
          <w:rFonts w:ascii="宋体" w:hAnsi="宋体"/>
          <w:color w:val="auto"/>
          <w:sz w:val="24"/>
          <w:szCs w:val="24"/>
        </w:rPr>
      </w:pPr>
      <w:r>
        <w:rPr>
          <w:rFonts w:ascii="宋体" w:hAnsi="宋体"/>
          <w:color w:val="auto"/>
          <w:szCs w:val="24"/>
        </w:rPr>
        <w:fldChar w:fldCharType="end"/>
      </w:r>
    </w:p>
    <w:p>
      <w:pPr>
        <w:spacing w:line="360" w:lineRule="auto"/>
        <w:rPr>
          <w:rFonts w:ascii="宋体" w:hAnsi="宋体"/>
          <w:color w:val="auto"/>
          <w:sz w:val="24"/>
          <w:szCs w:val="24"/>
        </w:rPr>
        <w:sectPr>
          <w:type w:val="continuous"/>
          <w:pgSz w:w="11906" w:h="16838"/>
          <w:pgMar w:top="1134" w:right="1134" w:bottom="1134" w:left="1134" w:header="567" w:footer="737" w:gutter="454"/>
          <w:pgNumType w:fmt="numberInDash" w:start="0"/>
          <w:cols w:space="720" w:num="1"/>
          <w:titlePg/>
          <w:docGrid w:type="lines" w:linePitch="312" w:charSpace="0"/>
        </w:sectPr>
      </w:pPr>
    </w:p>
    <w:p>
      <w:pPr>
        <w:spacing w:line="360" w:lineRule="auto"/>
        <w:rPr>
          <w:rFonts w:ascii="宋体" w:hAnsi="宋体"/>
          <w:color w:val="auto"/>
          <w:sz w:val="24"/>
          <w:szCs w:val="24"/>
        </w:rPr>
      </w:pPr>
    </w:p>
    <w:p>
      <w:pPr>
        <w:spacing w:line="360" w:lineRule="auto"/>
        <w:rPr>
          <w:rFonts w:ascii="宋体" w:hAnsi="宋体"/>
          <w:color w:val="auto"/>
          <w:sz w:val="24"/>
          <w:szCs w:val="24"/>
        </w:rPr>
      </w:pPr>
    </w:p>
    <w:p>
      <w:pPr>
        <w:spacing w:line="360" w:lineRule="auto"/>
        <w:rPr>
          <w:rFonts w:ascii="宋体" w:hAnsi="宋体"/>
          <w:color w:val="auto"/>
          <w:sz w:val="24"/>
          <w:szCs w:val="24"/>
        </w:rPr>
      </w:pPr>
    </w:p>
    <w:p>
      <w:pPr>
        <w:spacing w:line="360" w:lineRule="auto"/>
        <w:rPr>
          <w:rFonts w:ascii="宋体" w:hAnsi="宋体"/>
          <w:color w:val="auto"/>
          <w:sz w:val="24"/>
          <w:szCs w:val="24"/>
        </w:rPr>
      </w:pPr>
    </w:p>
    <w:p>
      <w:pPr>
        <w:spacing w:line="360" w:lineRule="auto"/>
        <w:rPr>
          <w:rFonts w:ascii="宋体" w:hAnsi="宋体"/>
          <w:color w:val="auto"/>
          <w:sz w:val="24"/>
          <w:szCs w:val="24"/>
        </w:rPr>
      </w:pPr>
    </w:p>
    <w:p>
      <w:pPr>
        <w:spacing w:line="360" w:lineRule="auto"/>
        <w:rPr>
          <w:rFonts w:ascii="宋体" w:hAnsi="宋体"/>
          <w:color w:val="auto"/>
          <w:sz w:val="24"/>
          <w:szCs w:val="24"/>
        </w:rPr>
      </w:pPr>
    </w:p>
    <w:p>
      <w:pPr>
        <w:spacing w:line="360" w:lineRule="auto"/>
        <w:rPr>
          <w:rFonts w:ascii="宋体" w:hAnsi="宋体"/>
          <w:color w:val="auto"/>
          <w:sz w:val="24"/>
          <w:szCs w:val="24"/>
        </w:rPr>
      </w:pPr>
    </w:p>
    <w:p>
      <w:pPr>
        <w:spacing w:line="360" w:lineRule="auto"/>
        <w:rPr>
          <w:rFonts w:ascii="宋体" w:hAnsi="宋体"/>
          <w:color w:val="auto"/>
          <w:sz w:val="24"/>
          <w:szCs w:val="24"/>
        </w:rPr>
      </w:pPr>
    </w:p>
    <w:p>
      <w:pPr>
        <w:spacing w:line="360" w:lineRule="auto"/>
        <w:rPr>
          <w:rFonts w:ascii="宋体" w:hAnsi="宋体"/>
          <w:color w:val="auto"/>
          <w:sz w:val="24"/>
          <w:szCs w:val="24"/>
        </w:rPr>
      </w:pPr>
    </w:p>
    <w:p>
      <w:pPr>
        <w:spacing w:line="360" w:lineRule="auto"/>
        <w:rPr>
          <w:rFonts w:ascii="宋体" w:hAnsi="宋体"/>
          <w:color w:val="auto"/>
          <w:sz w:val="24"/>
          <w:szCs w:val="24"/>
        </w:rPr>
      </w:pPr>
    </w:p>
    <w:p>
      <w:pPr>
        <w:pStyle w:val="3"/>
        <w:numPr>
          <w:ilvl w:val="0"/>
          <w:numId w:val="3"/>
        </w:numPr>
        <w:spacing w:before="0" w:after="0" w:line="360" w:lineRule="auto"/>
        <w:ind w:left="0" w:firstLine="0"/>
        <w:jc w:val="center"/>
        <w:rPr>
          <w:rFonts w:ascii="宋体" w:hAnsi="宋体"/>
          <w:color w:val="auto"/>
          <w:kern w:val="0"/>
          <w:sz w:val="36"/>
          <w:szCs w:val="36"/>
        </w:rPr>
      </w:pPr>
      <w:bookmarkStart w:id="2" w:name="_Toc22806081"/>
      <w:r>
        <w:rPr>
          <w:rFonts w:hint="eastAsia" w:ascii="宋体" w:hAnsi="宋体"/>
          <w:color w:val="auto"/>
          <w:kern w:val="0"/>
          <w:sz w:val="36"/>
          <w:szCs w:val="36"/>
        </w:rPr>
        <w:t xml:space="preserve">  </w:t>
      </w:r>
      <w:bookmarkStart w:id="3" w:name="_Toc12738"/>
      <w:r>
        <w:rPr>
          <w:rFonts w:hint="eastAsia" w:ascii="宋体" w:hAnsi="宋体"/>
          <w:color w:val="auto"/>
          <w:kern w:val="0"/>
          <w:sz w:val="36"/>
          <w:szCs w:val="36"/>
        </w:rPr>
        <w:t>投标邀请</w:t>
      </w:r>
      <w:bookmarkEnd w:id="2"/>
      <w:bookmarkEnd w:id="3"/>
    </w:p>
    <w:p>
      <w:pPr>
        <w:spacing w:line="360" w:lineRule="auto"/>
        <w:jc w:val="center"/>
        <w:rPr>
          <w:rFonts w:ascii="宋体" w:hAnsi="宋体"/>
          <w:b/>
          <w:color w:val="auto"/>
          <w:sz w:val="32"/>
          <w:szCs w:val="32"/>
        </w:rPr>
      </w:pPr>
      <w:r>
        <w:rPr>
          <w:rFonts w:ascii="宋体" w:hAnsi="宋体"/>
          <w:color w:val="auto"/>
          <w:sz w:val="24"/>
          <w:szCs w:val="24"/>
        </w:rPr>
        <w:br w:type="page"/>
      </w:r>
      <w:r>
        <w:rPr>
          <w:rFonts w:hint="eastAsia" w:ascii="宋体" w:hAnsi="宋体"/>
          <w:b/>
          <w:color w:val="auto"/>
          <w:sz w:val="32"/>
          <w:szCs w:val="32"/>
        </w:rPr>
        <w:t>投标邀请</w:t>
      </w:r>
    </w:p>
    <w:p>
      <w:pPr>
        <w:spacing w:line="360" w:lineRule="auto"/>
        <w:ind w:firstLine="480" w:firstLineChars="200"/>
        <w:rPr>
          <w:rFonts w:ascii="宋体" w:hAnsi="宋体"/>
          <w:color w:val="auto"/>
          <w:sz w:val="24"/>
          <w:szCs w:val="24"/>
        </w:rPr>
      </w:pPr>
    </w:p>
    <w:p>
      <w:pPr>
        <w:spacing w:line="360" w:lineRule="auto"/>
        <w:ind w:firstLine="480" w:firstLineChars="200"/>
        <w:rPr>
          <w:rFonts w:ascii="宋体" w:hAnsi="宋体"/>
          <w:color w:val="auto"/>
          <w:sz w:val="24"/>
          <w:szCs w:val="24"/>
        </w:rPr>
      </w:pPr>
      <w:r>
        <w:rPr>
          <w:rFonts w:hint="eastAsia" w:ascii="宋体" w:hAnsi="宋体"/>
          <w:color w:val="auto"/>
          <w:sz w:val="24"/>
          <w:szCs w:val="24"/>
          <w:u w:val="single"/>
          <w:lang w:eastAsia="zh-CN"/>
        </w:rPr>
        <w:t>工业和信息化部电子第五研究所动力电池配套使用环境试验箱采购项目</w:t>
      </w:r>
      <w:r>
        <w:rPr>
          <w:rFonts w:hint="eastAsia" w:ascii="宋体" w:hAnsi="宋体"/>
          <w:color w:val="auto"/>
          <w:sz w:val="24"/>
          <w:szCs w:val="24"/>
          <w:u w:val="single"/>
        </w:rPr>
        <w:t xml:space="preserve"> </w:t>
      </w:r>
      <w:r>
        <w:rPr>
          <w:rFonts w:hint="eastAsia" w:ascii="宋体" w:hAnsi="宋体"/>
          <w:color w:val="auto"/>
          <w:sz w:val="24"/>
          <w:szCs w:val="24"/>
        </w:rPr>
        <w:t>招标项目的潜在投标人应在</w:t>
      </w:r>
      <w:r>
        <w:rPr>
          <w:rFonts w:hint="eastAsia" w:ascii="宋体" w:hAnsi="宋体"/>
          <w:color w:val="auto"/>
          <w:sz w:val="24"/>
          <w:szCs w:val="24"/>
          <w:u w:val="single"/>
        </w:rPr>
        <w:t>广东华伦招标有限公司网站“供应商在线服务”（http:// 120.25.193.109/）</w:t>
      </w:r>
      <w:r>
        <w:rPr>
          <w:rFonts w:hint="eastAsia" w:ascii="宋体" w:hAnsi="宋体"/>
          <w:color w:val="auto"/>
          <w:sz w:val="24"/>
          <w:szCs w:val="24"/>
        </w:rPr>
        <w:t>获取招标文件，欢迎符合资格条件的供应商参加投标。</w:t>
      </w:r>
    </w:p>
    <w:p>
      <w:pPr>
        <w:spacing w:line="360" w:lineRule="auto"/>
        <w:ind w:firstLine="6480" w:firstLineChars="2700"/>
        <w:jc w:val="center"/>
        <w:rPr>
          <w:rFonts w:ascii="宋体" w:hAnsi="宋体"/>
          <w:color w:val="auto"/>
          <w:sz w:val="24"/>
          <w:szCs w:val="24"/>
        </w:rPr>
      </w:pPr>
    </w:p>
    <w:p>
      <w:pPr>
        <w:pStyle w:val="4"/>
        <w:spacing w:before="0" w:after="0" w:line="360" w:lineRule="auto"/>
        <w:rPr>
          <w:rFonts w:ascii="宋体" w:hAnsi="宋体" w:cs="宋体"/>
          <w:color w:val="auto"/>
          <w:sz w:val="24"/>
          <w:szCs w:val="24"/>
        </w:rPr>
      </w:pPr>
      <w:bookmarkStart w:id="4" w:name="_Toc28359079"/>
      <w:bookmarkStart w:id="5" w:name="_Toc35393790"/>
      <w:bookmarkStart w:id="6" w:name="_Toc28359002"/>
      <w:bookmarkStart w:id="7" w:name="_Toc35393621"/>
      <w:bookmarkStart w:id="8" w:name="_Toc23969"/>
      <w:bookmarkStart w:id="9" w:name="_Toc54335348"/>
      <w:bookmarkStart w:id="10" w:name="_Hlk24379207"/>
      <w:r>
        <w:rPr>
          <w:rFonts w:hint="eastAsia" w:ascii="宋体" w:hAnsi="宋体" w:cs="宋体"/>
          <w:color w:val="auto"/>
          <w:sz w:val="24"/>
          <w:szCs w:val="24"/>
        </w:rPr>
        <w:t>一、项目基本情况</w:t>
      </w:r>
      <w:bookmarkEnd w:id="4"/>
      <w:bookmarkEnd w:id="5"/>
      <w:bookmarkEnd w:id="6"/>
      <w:bookmarkEnd w:id="7"/>
      <w:bookmarkEnd w:id="8"/>
      <w:bookmarkEnd w:id="9"/>
    </w:p>
    <w:bookmarkEnd w:id="10"/>
    <w:p>
      <w:pPr>
        <w:numPr>
          <w:ilvl w:val="0"/>
          <w:numId w:val="4"/>
        </w:numPr>
        <w:spacing w:line="360" w:lineRule="auto"/>
        <w:ind w:firstLine="220"/>
        <w:rPr>
          <w:rFonts w:ascii="宋体" w:hAnsi="宋体" w:cs="宋体"/>
          <w:bCs/>
          <w:color w:val="auto"/>
          <w:sz w:val="24"/>
          <w:szCs w:val="24"/>
        </w:rPr>
      </w:pPr>
      <w:r>
        <w:rPr>
          <w:rFonts w:hint="eastAsia" w:ascii="宋体" w:hAnsi="宋体" w:cs="宋体"/>
          <w:bCs/>
          <w:color w:val="auto"/>
          <w:sz w:val="24"/>
          <w:szCs w:val="24"/>
        </w:rPr>
        <w:t>采购文件编号：</w:t>
      </w:r>
      <w:r>
        <w:rPr>
          <w:rFonts w:hint="eastAsia" w:ascii="宋体" w:hAnsi="宋体" w:cs="宋体"/>
          <w:bCs/>
          <w:color w:val="auto"/>
          <w:sz w:val="24"/>
          <w:szCs w:val="24"/>
          <w:lang w:eastAsia="zh-CN"/>
        </w:rPr>
        <w:t>0809-2241GZG14036</w:t>
      </w:r>
    </w:p>
    <w:p>
      <w:pPr>
        <w:numPr>
          <w:ilvl w:val="0"/>
          <w:numId w:val="4"/>
        </w:numPr>
        <w:spacing w:line="360" w:lineRule="auto"/>
        <w:ind w:firstLine="220"/>
        <w:rPr>
          <w:rFonts w:ascii="宋体" w:hAnsi="宋体" w:cs="宋体"/>
          <w:bCs/>
          <w:color w:val="auto"/>
          <w:sz w:val="24"/>
          <w:szCs w:val="24"/>
        </w:rPr>
      </w:pPr>
      <w:r>
        <w:rPr>
          <w:rFonts w:hint="eastAsia" w:ascii="宋体" w:hAnsi="宋体" w:cs="宋体"/>
          <w:bCs/>
          <w:color w:val="auto"/>
          <w:sz w:val="24"/>
          <w:szCs w:val="24"/>
        </w:rPr>
        <w:t>项目名称：</w:t>
      </w:r>
      <w:r>
        <w:rPr>
          <w:rFonts w:hint="eastAsia" w:ascii="宋体" w:hAnsi="宋体" w:cs="宋体"/>
          <w:bCs/>
          <w:color w:val="auto"/>
          <w:sz w:val="24"/>
          <w:szCs w:val="24"/>
          <w:lang w:eastAsia="zh-CN"/>
        </w:rPr>
        <w:t>工业和信息化部电子第五研究所动力电池配套使用环境试验箱采购项目</w:t>
      </w:r>
    </w:p>
    <w:p>
      <w:pPr>
        <w:numPr>
          <w:ilvl w:val="0"/>
          <w:numId w:val="4"/>
        </w:numPr>
        <w:spacing w:line="360" w:lineRule="auto"/>
        <w:ind w:firstLine="220"/>
        <w:rPr>
          <w:rFonts w:ascii="宋体" w:hAnsi="宋体" w:cs="宋体"/>
          <w:i/>
          <w:color w:val="auto"/>
          <w:kern w:val="0"/>
          <w:sz w:val="24"/>
          <w:szCs w:val="24"/>
        </w:rPr>
      </w:pPr>
      <w:r>
        <w:rPr>
          <w:rFonts w:hint="eastAsia" w:ascii="宋体" w:hAnsi="宋体" w:cs="宋体"/>
          <w:bCs/>
          <w:color w:val="auto"/>
          <w:sz w:val="24"/>
          <w:szCs w:val="24"/>
        </w:rPr>
        <w:t>预算金额：</w:t>
      </w:r>
      <w:r>
        <w:rPr>
          <w:rFonts w:hint="eastAsia" w:ascii="宋体" w:hAnsi="宋体" w:cs="宋体"/>
          <w:bCs/>
          <w:color w:val="auto"/>
          <w:sz w:val="24"/>
          <w:szCs w:val="24"/>
          <w:lang w:val="zh-CN"/>
        </w:rPr>
        <w:t>人民币</w:t>
      </w:r>
      <w:r>
        <w:rPr>
          <w:rFonts w:hint="eastAsia" w:ascii="宋体" w:hAnsi="宋体" w:cs="宋体"/>
          <w:bCs/>
          <w:color w:val="auto"/>
          <w:sz w:val="24"/>
          <w:szCs w:val="24"/>
        </w:rPr>
        <w:t>2</w:t>
      </w:r>
      <w:r>
        <w:rPr>
          <w:rFonts w:ascii="宋体" w:hAnsi="宋体" w:cs="宋体"/>
          <w:bCs/>
          <w:color w:val="auto"/>
          <w:sz w:val="24"/>
          <w:szCs w:val="24"/>
        </w:rPr>
        <w:t>159</w:t>
      </w:r>
      <w:r>
        <w:rPr>
          <w:rFonts w:hint="eastAsia" w:ascii="宋体" w:hAnsi="宋体" w:cs="宋体"/>
          <w:bCs/>
          <w:color w:val="auto"/>
          <w:sz w:val="24"/>
          <w:szCs w:val="24"/>
        </w:rPr>
        <w:t>.00万元</w:t>
      </w:r>
    </w:p>
    <w:p>
      <w:pPr>
        <w:numPr>
          <w:ilvl w:val="0"/>
          <w:numId w:val="4"/>
        </w:numPr>
        <w:spacing w:line="360" w:lineRule="auto"/>
        <w:ind w:firstLine="220"/>
        <w:rPr>
          <w:rFonts w:ascii="宋体" w:hAnsi="宋体" w:cs="宋体"/>
          <w:i/>
          <w:color w:val="auto"/>
          <w:kern w:val="0"/>
          <w:sz w:val="24"/>
          <w:szCs w:val="24"/>
        </w:rPr>
      </w:pPr>
      <w:r>
        <w:rPr>
          <w:rFonts w:hint="eastAsia" w:ascii="宋体" w:hAnsi="宋体" w:cs="宋体"/>
          <w:bCs/>
          <w:color w:val="auto"/>
          <w:sz w:val="24"/>
          <w:szCs w:val="24"/>
        </w:rPr>
        <w:t>最高限价：</w:t>
      </w:r>
      <w:r>
        <w:rPr>
          <w:rFonts w:hint="eastAsia" w:ascii="宋体" w:hAnsi="宋体" w:cs="宋体"/>
          <w:bCs/>
          <w:color w:val="auto"/>
          <w:sz w:val="24"/>
          <w:szCs w:val="24"/>
          <w:lang w:val="zh-CN"/>
        </w:rPr>
        <w:t>人民币</w:t>
      </w:r>
      <w:r>
        <w:rPr>
          <w:rFonts w:ascii="宋体" w:hAnsi="宋体" w:cs="宋体"/>
          <w:bCs/>
          <w:color w:val="auto"/>
          <w:sz w:val="24"/>
          <w:szCs w:val="24"/>
        </w:rPr>
        <w:t>2159</w:t>
      </w:r>
      <w:r>
        <w:rPr>
          <w:rFonts w:hint="eastAsia" w:ascii="宋体" w:hAnsi="宋体" w:cs="宋体"/>
          <w:bCs/>
          <w:color w:val="auto"/>
          <w:sz w:val="24"/>
          <w:szCs w:val="24"/>
        </w:rPr>
        <w:t>.00万元</w:t>
      </w:r>
    </w:p>
    <w:p>
      <w:pPr>
        <w:numPr>
          <w:ilvl w:val="0"/>
          <w:numId w:val="4"/>
        </w:numPr>
        <w:spacing w:line="360" w:lineRule="auto"/>
        <w:ind w:firstLine="220"/>
        <w:rPr>
          <w:rFonts w:ascii="宋体" w:hAnsi="宋体" w:cs="宋体"/>
          <w:bCs/>
          <w:color w:val="auto"/>
          <w:sz w:val="24"/>
          <w:szCs w:val="24"/>
        </w:rPr>
      </w:pPr>
      <w:r>
        <w:rPr>
          <w:rFonts w:hint="eastAsia" w:ascii="宋体" w:hAnsi="宋体" w:cs="宋体"/>
          <w:bCs/>
          <w:color w:val="auto"/>
          <w:sz w:val="24"/>
          <w:szCs w:val="24"/>
        </w:rPr>
        <w:t>采购需求：</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1"/>
        <w:gridCol w:w="908"/>
        <w:gridCol w:w="1818"/>
        <w:gridCol w:w="1518"/>
        <w:gridCol w:w="1857"/>
        <w:gridCol w:w="1369"/>
        <w:gridCol w:w="1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0" w:type="auto"/>
            <w:vAlign w:val="center"/>
          </w:tcPr>
          <w:p>
            <w:pPr>
              <w:widowControl/>
              <w:jc w:val="center"/>
              <w:rPr>
                <w:rFonts w:ascii="宋体" w:hAnsi="宋体" w:cs="宋体"/>
                <w:iCs/>
                <w:color w:val="auto"/>
                <w:kern w:val="0"/>
                <w:sz w:val="24"/>
                <w:szCs w:val="24"/>
              </w:rPr>
            </w:pPr>
            <w:r>
              <w:rPr>
                <w:rFonts w:hint="eastAsia" w:ascii="宋体" w:hAnsi="宋体" w:cs="宋体"/>
                <w:iCs/>
                <w:color w:val="auto"/>
                <w:kern w:val="0"/>
                <w:sz w:val="24"/>
                <w:szCs w:val="24"/>
              </w:rPr>
              <w:t>序号</w:t>
            </w:r>
          </w:p>
        </w:tc>
        <w:tc>
          <w:tcPr>
            <w:tcW w:w="908" w:type="dxa"/>
            <w:vAlign w:val="center"/>
          </w:tcPr>
          <w:p>
            <w:pPr>
              <w:widowControl/>
              <w:jc w:val="center"/>
              <w:rPr>
                <w:rFonts w:ascii="宋体" w:hAnsi="宋体" w:cs="宋体"/>
                <w:iCs/>
                <w:color w:val="auto"/>
                <w:kern w:val="0"/>
                <w:sz w:val="24"/>
                <w:szCs w:val="24"/>
              </w:rPr>
            </w:pPr>
            <w:r>
              <w:rPr>
                <w:rFonts w:hint="eastAsia" w:ascii="宋体" w:hAnsi="宋体" w:cs="宋体"/>
                <w:iCs/>
                <w:color w:val="auto"/>
                <w:kern w:val="0"/>
                <w:sz w:val="24"/>
                <w:szCs w:val="24"/>
              </w:rPr>
              <w:t>品目名称</w:t>
            </w:r>
          </w:p>
        </w:tc>
        <w:tc>
          <w:tcPr>
            <w:tcW w:w="1818" w:type="dxa"/>
            <w:vAlign w:val="center"/>
          </w:tcPr>
          <w:p>
            <w:pPr>
              <w:widowControl/>
              <w:jc w:val="center"/>
              <w:rPr>
                <w:rFonts w:ascii="宋体" w:hAnsi="宋体" w:cs="宋体"/>
                <w:iCs/>
                <w:color w:val="auto"/>
                <w:kern w:val="0"/>
                <w:sz w:val="24"/>
                <w:szCs w:val="24"/>
              </w:rPr>
            </w:pPr>
            <w:r>
              <w:rPr>
                <w:rFonts w:hint="eastAsia" w:ascii="宋体" w:hAnsi="宋体" w:cs="宋体"/>
                <w:iCs/>
                <w:color w:val="auto"/>
                <w:kern w:val="0"/>
                <w:sz w:val="24"/>
                <w:szCs w:val="24"/>
              </w:rPr>
              <w:t>采购标的</w:t>
            </w:r>
          </w:p>
        </w:tc>
        <w:tc>
          <w:tcPr>
            <w:tcW w:w="1518" w:type="dxa"/>
            <w:vAlign w:val="center"/>
          </w:tcPr>
          <w:p>
            <w:pPr>
              <w:widowControl/>
              <w:jc w:val="center"/>
              <w:rPr>
                <w:rFonts w:ascii="宋体" w:hAnsi="宋体" w:cs="宋体"/>
                <w:iCs/>
                <w:color w:val="auto"/>
                <w:kern w:val="0"/>
                <w:sz w:val="24"/>
                <w:szCs w:val="24"/>
              </w:rPr>
            </w:pPr>
            <w:r>
              <w:rPr>
                <w:rFonts w:hint="eastAsia" w:ascii="宋体" w:hAnsi="宋体" w:cs="宋体"/>
                <w:iCs/>
                <w:color w:val="auto"/>
                <w:kern w:val="0"/>
                <w:sz w:val="24"/>
                <w:szCs w:val="24"/>
              </w:rPr>
              <w:t>数量（单位）</w:t>
            </w:r>
          </w:p>
        </w:tc>
        <w:tc>
          <w:tcPr>
            <w:tcW w:w="1857" w:type="dxa"/>
            <w:vAlign w:val="center"/>
          </w:tcPr>
          <w:p>
            <w:pPr>
              <w:widowControl/>
              <w:jc w:val="center"/>
              <w:rPr>
                <w:rFonts w:ascii="宋体" w:hAnsi="宋体" w:cs="宋体"/>
                <w:iCs/>
                <w:color w:val="auto"/>
                <w:kern w:val="0"/>
                <w:sz w:val="24"/>
                <w:szCs w:val="24"/>
              </w:rPr>
            </w:pPr>
            <w:r>
              <w:rPr>
                <w:rFonts w:hint="eastAsia" w:ascii="宋体" w:hAnsi="宋体" w:cs="宋体"/>
                <w:iCs/>
                <w:color w:val="auto"/>
                <w:kern w:val="0"/>
                <w:sz w:val="24"/>
                <w:szCs w:val="24"/>
              </w:rPr>
              <w:t>技术规格、参数及要求</w:t>
            </w:r>
          </w:p>
        </w:tc>
        <w:tc>
          <w:tcPr>
            <w:tcW w:w="1369" w:type="dxa"/>
            <w:vAlign w:val="center"/>
          </w:tcPr>
          <w:p>
            <w:pPr>
              <w:widowControl/>
              <w:jc w:val="center"/>
              <w:rPr>
                <w:rFonts w:ascii="宋体" w:hAnsi="宋体" w:cs="宋体"/>
                <w:iCs/>
                <w:color w:val="auto"/>
                <w:kern w:val="0"/>
                <w:sz w:val="24"/>
                <w:szCs w:val="24"/>
              </w:rPr>
            </w:pPr>
            <w:r>
              <w:rPr>
                <w:rFonts w:hint="eastAsia" w:ascii="宋体" w:hAnsi="宋体" w:cs="宋体"/>
                <w:iCs/>
                <w:color w:val="auto"/>
                <w:kern w:val="0"/>
                <w:sz w:val="24"/>
                <w:szCs w:val="24"/>
              </w:rPr>
              <w:t>品目预算（</w:t>
            </w:r>
            <w:r>
              <w:rPr>
                <w:rFonts w:hint="eastAsia" w:ascii="宋体" w:hAnsi="宋体" w:cs="宋体"/>
                <w:bCs/>
                <w:color w:val="auto"/>
                <w:sz w:val="24"/>
                <w:szCs w:val="24"/>
              </w:rPr>
              <w:t>万</w:t>
            </w:r>
            <w:r>
              <w:rPr>
                <w:rFonts w:hint="eastAsia" w:ascii="宋体" w:hAnsi="宋体" w:cs="宋体"/>
                <w:iCs/>
                <w:color w:val="auto"/>
                <w:kern w:val="0"/>
                <w:sz w:val="24"/>
                <w:szCs w:val="24"/>
              </w:rPr>
              <w:t>元）</w:t>
            </w:r>
          </w:p>
        </w:tc>
        <w:tc>
          <w:tcPr>
            <w:tcW w:w="1329" w:type="dxa"/>
            <w:vAlign w:val="center"/>
          </w:tcPr>
          <w:p>
            <w:pPr>
              <w:widowControl/>
              <w:jc w:val="center"/>
              <w:rPr>
                <w:rFonts w:ascii="宋体" w:hAnsi="宋体" w:cs="宋体"/>
                <w:iCs/>
                <w:color w:val="auto"/>
                <w:kern w:val="0"/>
                <w:sz w:val="24"/>
                <w:szCs w:val="24"/>
              </w:rPr>
            </w:pPr>
            <w:r>
              <w:rPr>
                <w:rFonts w:hint="eastAsia" w:ascii="宋体" w:hAnsi="宋体" w:cs="宋体"/>
                <w:iCs/>
                <w:color w:val="auto"/>
                <w:kern w:val="0"/>
                <w:sz w:val="24"/>
                <w:szCs w:val="24"/>
              </w:rPr>
              <w:t>最高限价（</w:t>
            </w:r>
            <w:r>
              <w:rPr>
                <w:rFonts w:hint="eastAsia" w:ascii="宋体" w:hAnsi="宋体" w:cs="宋体"/>
                <w:bCs/>
                <w:color w:val="auto"/>
                <w:sz w:val="24"/>
                <w:szCs w:val="24"/>
              </w:rPr>
              <w:t>万</w:t>
            </w:r>
            <w:r>
              <w:rPr>
                <w:rFonts w:hint="eastAsia" w:ascii="宋体" w:hAnsi="宋体" w:cs="宋体"/>
                <w:iCs/>
                <w:color w:val="auto"/>
                <w:kern w:val="0"/>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0" w:type="auto"/>
            <w:vAlign w:val="center"/>
          </w:tcPr>
          <w:p>
            <w:pPr>
              <w:widowControl/>
              <w:jc w:val="center"/>
              <w:rPr>
                <w:rFonts w:ascii="宋体" w:hAnsi="宋体" w:cs="宋体"/>
                <w:iCs/>
                <w:color w:val="auto"/>
                <w:kern w:val="0"/>
                <w:sz w:val="24"/>
                <w:szCs w:val="24"/>
              </w:rPr>
            </w:pPr>
            <w:r>
              <w:rPr>
                <w:rFonts w:hint="eastAsia" w:ascii="宋体" w:hAnsi="宋体" w:cs="宋体"/>
                <w:iCs/>
                <w:color w:val="auto"/>
                <w:kern w:val="0"/>
                <w:sz w:val="24"/>
                <w:szCs w:val="24"/>
              </w:rPr>
              <w:t>1</w:t>
            </w:r>
          </w:p>
        </w:tc>
        <w:tc>
          <w:tcPr>
            <w:tcW w:w="908" w:type="dxa"/>
            <w:vMerge w:val="restart"/>
            <w:vAlign w:val="center"/>
          </w:tcPr>
          <w:p>
            <w:pPr>
              <w:widowControl/>
              <w:jc w:val="center"/>
              <w:rPr>
                <w:rFonts w:ascii="宋体" w:hAnsi="宋体" w:cs="宋体"/>
                <w:iCs/>
                <w:color w:val="auto"/>
                <w:kern w:val="0"/>
                <w:sz w:val="24"/>
                <w:szCs w:val="24"/>
              </w:rPr>
            </w:pPr>
            <w:r>
              <w:rPr>
                <w:rFonts w:hint="eastAsia" w:ascii="宋体" w:hAnsi="宋体" w:cs="宋体"/>
                <w:iCs/>
                <w:color w:val="auto"/>
                <w:kern w:val="0"/>
                <w:sz w:val="24"/>
                <w:szCs w:val="24"/>
              </w:rPr>
              <w:t>通用设备</w:t>
            </w:r>
          </w:p>
        </w:tc>
        <w:tc>
          <w:tcPr>
            <w:tcW w:w="1818" w:type="dxa"/>
            <w:vAlign w:val="center"/>
          </w:tcPr>
          <w:p>
            <w:pPr>
              <w:widowControl/>
              <w:jc w:val="center"/>
              <w:rPr>
                <w:rFonts w:hint="eastAsia" w:ascii="宋体" w:hAnsi="宋体" w:eastAsia="宋体" w:cs="宋体"/>
                <w:iCs/>
                <w:color w:val="auto"/>
                <w:kern w:val="0"/>
                <w:sz w:val="24"/>
                <w:szCs w:val="24"/>
                <w:lang w:val="en-US" w:eastAsia="zh-CN"/>
              </w:rPr>
            </w:pPr>
            <w:r>
              <w:rPr>
                <w:rFonts w:hint="eastAsia" w:ascii="宋体" w:hAnsi="宋体" w:cs="宋体"/>
                <w:color w:val="auto"/>
                <w:sz w:val="24"/>
                <w:szCs w:val="24"/>
              </w:rPr>
              <w:t>高低温湿热试验箱</w:t>
            </w:r>
            <w:r>
              <w:rPr>
                <w:rFonts w:hint="eastAsia" w:ascii="宋体" w:hAnsi="宋体" w:cs="宋体"/>
                <w:color w:val="auto"/>
                <w:sz w:val="24"/>
                <w:szCs w:val="24"/>
                <w:lang w:val="en-US" w:eastAsia="zh-CN"/>
              </w:rPr>
              <w:t>1</w:t>
            </w:r>
          </w:p>
        </w:tc>
        <w:tc>
          <w:tcPr>
            <w:tcW w:w="1518" w:type="dxa"/>
            <w:vMerge w:val="restart"/>
            <w:vAlign w:val="center"/>
          </w:tcPr>
          <w:p>
            <w:pPr>
              <w:widowControl/>
              <w:jc w:val="center"/>
              <w:rPr>
                <w:rFonts w:ascii="宋体" w:hAnsi="宋体" w:cs="宋体"/>
                <w:iCs/>
                <w:color w:val="auto"/>
                <w:kern w:val="0"/>
                <w:sz w:val="24"/>
                <w:szCs w:val="24"/>
              </w:rPr>
            </w:pPr>
            <w:r>
              <w:rPr>
                <w:rFonts w:hint="eastAsia" w:ascii="宋体" w:hAnsi="宋体"/>
                <w:bCs/>
                <w:color w:val="auto"/>
                <w:sz w:val="24"/>
                <w:szCs w:val="24"/>
              </w:rPr>
              <w:t>5</w:t>
            </w:r>
            <w:r>
              <w:rPr>
                <w:rFonts w:ascii="宋体" w:hAnsi="宋体"/>
                <w:bCs/>
                <w:color w:val="auto"/>
                <w:sz w:val="24"/>
                <w:szCs w:val="24"/>
              </w:rPr>
              <w:t>2</w:t>
            </w:r>
            <w:r>
              <w:rPr>
                <w:rFonts w:hint="eastAsia" w:ascii="宋体" w:hAnsi="宋体"/>
                <w:bCs/>
                <w:color w:val="auto"/>
                <w:sz w:val="24"/>
                <w:szCs w:val="24"/>
              </w:rPr>
              <w:t>台</w:t>
            </w:r>
          </w:p>
        </w:tc>
        <w:tc>
          <w:tcPr>
            <w:tcW w:w="1857" w:type="dxa"/>
            <w:vMerge w:val="restart"/>
            <w:vAlign w:val="center"/>
          </w:tcPr>
          <w:p>
            <w:pPr>
              <w:widowControl/>
              <w:jc w:val="center"/>
              <w:rPr>
                <w:rFonts w:ascii="宋体" w:hAnsi="宋体" w:cs="宋体"/>
                <w:iCs/>
                <w:color w:val="auto"/>
                <w:kern w:val="0"/>
                <w:sz w:val="24"/>
                <w:szCs w:val="24"/>
              </w:rPr>
            </w:pPr>
            <w:r>
              <w:rPr>
                <w:rFonts w:hint="eastAsia" w:ascii="宋体" w:hAnsi="宋体" w:cs="宋体"/>
                <w:iCs/>
                <w:color w:val="auto"/>
                <w:kern w:val="0"/>
                <w:sz w:val="24"/>
                <w:szCs w:val="24"/>
              </w:rPr>
              <w:t>详见《第二部分 采购需求》</w:t>
            </w:r>
          </w:p>
        </w:tc>
        <w:tc>
          <w:tcPr>
            <w:tcW w:w="1369" w:type="dxa"/>
            <w:vMerge w:val="restart"/>
            <w:vAlign w:val="center"/>
          </w:tcPr>
          <w:p>
            <w:pPr>
              <w:widowControl/>
              <w:jc w:val="center"/>
              <w:rPr>
                <w:rFonts w:ascii="宋体" w:hAnsi="宋体" w:cs="宋体"/>
                <w:iCs/>
                <w:color w:val="auto"/>
                <w:kern w:val="0"/>
                <w:sz w:val="24"/>
                <w:szCs w:val="24"/>
              </w:rPr>
            </w:pPr>
            <w:r>
              <w:rPr>
                <w:rFonts w:hint="eastAsia" w:ascii="宋体" w:hAnsi="宋体" w:cs="宋体"/>
                <w:bCs/>
                <w:color w:val="auto"/>
                <w:sz w:val="24"/>
                <w:szCs w:val="24"/>
              </w:rPr>
              <w:t>2</w:t>
            </w:r>
            <w:r>
              <w:rPr>
                <w:rFonts w:ascii="宋体" w:hAnsi="宋体" w:cs="宋体"/>
                <w:bCs/>
                <w:color w:val="auto"/>
                <w:sz w:val="24"/>
                <w:szCs w:val="24"/>
              </w:rPr>
              <w:t>159</w:t>
            </w:r>
            <w:r>
              <w:rPr>
                <w:rFonts w:hint="eastAsia" w:ascii="宋体" w:hAnsi="宋体" w:cs="宋体"/>
                <w:bCs/>
                <w:color w:val="auto"/>
                <w:sz w:val="24"/>
                <w:szCs w:val="24"/>
              </w:rPr>
              <w:t>.00</w:t>
            </w:r>
          </w:p>
        </w:tc>
        <w:tc>
          <w:tcPr>
            <w:tcW w:w="1329" w:type="dxa"/>
            <w:vAlign w:val="center"/>
          </w:tcPr>
          <w:p>
            <w:pPr>
              <w:widowControl/>
              <w:jc w:val="center"/>
              <w:rPr>
                <w:rFonts w:ascii="宋体" w:hAnsi="宋体" w:cs="宋体"/>
                <w:iCs/>
                <w:color w:val="auto"/>
                <w:kern w:val="0"/>
                <w:sz w:val="24"/>
                <w:szCs w:val="24"/>
              </w:rPr>
            </w:pPr>
            <w:r>
              <w:rPr>
                <w:rFonts w:hint="eastAsia" w:ascii="宋体" w:hAnsi="宋体" w:cs="宋体"/>
                <w:color w:val="auto"/>
                <w:sz w:val="24"/>
                <w:szCs w:val="24"/>
              </w:rPr>
              <w:t>3</w:t>
            </w:r>
            <w:r>
              <w:rPr>
                <w:rFonts w:ascii="宋体" w:hAnsi="宋体" w:cs="宋体"/>
                <w:color w:val="auto"/>
                <w:sz w:val="24"/>
                <w:szCs w:val="24"/>
              </w:rPr>
              <w:t>38</w:t>
            </w:r>
            <w:r>
              <w:rPr>
                <w:rFonts w:hint="eastAsia" w:ascii="宋体" w:hAnsi="宋体" w:cs="宋体"/>
                <w:color w:val="auto"/>
                <w:sz w:val="24"/>
                <w:szCs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0" w:type="auto"/>
            <w:vAlign w:val="center"/>
          </w:tcPr>
          <w:p>
            <w:pPr>
              <w:widowControl/>
              <w:jc w:val="center"/>
              <w:rPr>
                <w:rFonts w:ascii="宋体" w:hAnsi="宋体" w:cs="宋体"/>
                <w:iCs/>
                <w:color w:val="auto"/>
                <w:kern w:val="0"/>
                <w:sz w:val="24"/>
                <w:szCs w:val="24"/>
              </w:rPr>
            </w:pPr>
            <w:r>
              <w:rPr>
                <w:rFonts w:hint="eastAsia" w:ascii="宋体" w:hAnsi="宋体" w:cs="宋体"/>
                <w:iCs/>
                <w:color w:val="auto"/>
                <w:kern w:val="0"/>
                <w:sz w:val="24"/>
                <w:szCs w:val="24"/>
              </w:rPr>
              <w:t>2</w:t>
            </w:r>
          </w:p>
        </w:tc>
        <w:tc>
          <w:tcPr>
            <w:tcW w:w="908" w:type="dxa"/>
            <w:vMerge w:val="continue"/>
            <w:vAlign w:val="center"/>
          </w:tcPr>
          <w:p>
            <w:pPr>
              <w:widowControl/>
              <w:jc w:val="center"/>
              <w:rPr>
                <w:rFonts w:ascii="宋体" w:hAnsi="宋体" w:cs="宋体"/>
                <w:iCs/>
                <w:color w:val="auto"/>
                <w:kern w:val="0"/>
                <w:sz w:val="24"/>
                <w:szCs w:val="24"/>
              </w:rPr>
            </w:pPr>
          </w:p>
        </w:tc>
        <w:tc>
          <w:tcPr>
            <w:tcW w:w="1818" w:type="dxa"/>
            <w:vAlign w:val="center"/>
          </w:tcPr>
          <w:p>
            <w:pPr>
              <w:widowControl/>
              <w:jc w:val="center"/>
              <w:rPr>
                <w:rFonts w:hint="eastAsia" w:ascii="宋体" w:hAnsi="宋体" w:eastAsia="宋体" w:cs="宋体"/>
                <w:bCs/>
                <w:color w:val="auto"/>
                <w:sz w:val="24"/>
                <w:szCs w:val="24"/>
                <w:lang w:val="en-US" w:eastAsia="zh-CN"/>
              </w:rPr>
            </w:pPr>
            <w:r>
              <w:rPr>
                <w:rFonts w:hint="eastAsia" w:ascii="宋体" w:hAnsi="宋体" w:cs="宋体"/>
                <w:color w:val="auto"/>
                <w:sz w:val="24"/>
                <w:szCs w:val="24"/>
              </w:rPr>
              <w:t>高低温湿热试验箱</w:t>
            </w:r>
            <w:r>
              <w:rPr>
                <w:rFonts w:hint="eastAsia" w:ascii="宋体" w:hAnsi="宋体" w:cs="宋体"/>
                <w:color w:val="auto"/>
                <w:sz w:val="24"/>
                <w:szCs w:val="24"/>
                <w:lang w:val="en-US" w:eastAsia="zh-CN"/>
              </w:rPr>
              <w:t>2</w:t>
            </w:r>
          </w:p>
        </w:tc>
        <w:tc>
          <w:tcPr>
            <w:tcW w:w="1518" w:type="dxa"/>
            <w:vMerge w:val="continue"/>
            <w:vAlign w:val="center"/>
          </w:tcPr>
          <w:p>
            <w:pPr>
              <w:widowControl/>
              <w:jc w:val="center"/>
              <w:rPr>
                <w:rFonts w:ascii="宋体" w:hAnsi="宋体"/>
                <w:bCs/>
                <w:color w:val="auto"/>
                <w:sz w:val="24"/>
                <w:szCs w:val="24"/>
              </w:rPr>
            </w:pPr>
          </w:p>
        </w:tc>
        <w:tc>
          <w:tcPr>
            <w:tcW w:w="1857" w:type="dxa"/>
            <w:vMerge w:val="continue"/>
            <w:vAlign w:val="center"/>
          </w:tcPr>
          <w:p>
            <w:pPr>
              <w:widowControl/>
              <w:jc w:val="center"/>
              <w:rPr>
                <w:rFonts w:ascii="宋体" w:hAnsi="宋体" w:cs="宋体"/>
                <w:iCs/>
                <w:color w:val="auto"/>
                <w:kern w:val="0"/>
                <w:sz w:val="24"/>
                <w:szCs w:val="24"/>
              </w:rPr>
            </w:pPr>
          </w:p>
        </w:tc>
        <w:tc>
          <w:tcPr>
            <w:tcW w:w="1369" w:type="dxa"/>
            <w:vMerge w:val="continue"/>
            <w:vAlign w:val="center"/>
          </w:tcPr>
          <w:p>
            <w:pPr>
              <w:widowControl/>
              <w:jc w:val="center"/>
              <w:rPr>
                <w:rFonts w:ascii="宋体" w:hAnsi="宋体" w:cs="宋体"/>
                <w:bCs/>
                <w:color w:val="auto"/>
                <w:sz w:val="24"/>
                <w:szCs w:val="24"/>
              </w:rPr>
            </w:pPr>
          </w:p>
        </w:tc>
        <w:tc>
          <w:tcPr>
            <w:tcW w:w="1329" w:type="dxa"/>
            <w:vAlign w:val="center"/>
          </w:tcPr>
          <w:p>
            <w:pPr>
              <w:widowControl/>
              <w:jc w:val="center"/>
              <w:rPr>
                <w:rFonts w:ascii="宋体" w:hAnsi="宋体" w:cs="宋体"/>
                <w:bCs/>
                <w:color w:val="auto"/>
                <w:sz w:val="24"/>
                <w:szCs w:val="24"/>
              </w:rPr>
            </w:pPr>
            <w:r>
              <w:rPr>
                <w:rFonts w:hint="eastAsia" w:ascii="宋体" w:hAnsi="宋体" w:cs="宋体"/>
                <w:color w:val="auto"/>
                <w:sz w:val="24"/>
                <w:szCs w:val="24"/>
              </w:rPr>
              <w:t>2</w:t>
            </w:r>
            <w:r>
              <w:rPr>
                <w:rFonts w:ascii="宋体" w:hAnsi="宋体" w:cs="宋体"/>
                <w:color w:val="auto"/>
                <w:sz w:val="24"/>
                <w:szCs w:val="24"/>
              </w:rPr>
              <w:t>37</w:t>
            </w:r>
            <w:r>
              <w:rPr>
                <w:rFonts w:hint="eastAsia" w:ascii="宋体" w:hAnsi="宋体" w:cs="宋体"/>
                <w:color w:val="auto"/>
                <w:sz w:val="24"/>
                <w:szCs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0" w:type="auto"/>
            <w:vAlign w:val="center"/>
          </w:tcPr>
          <w:p>
            <w:pPr>
              <w:widowControl/>
              <w:jc w:val="center"/>
              <w:rPr>
                <w:rFonts w:ascii="宋体" w:hAnsi="宋体" w:cs="宋体"/>
                <w:iCs/>
                <w:color w:val="auto"/>
                <w:kern w:val="0"/>
                <w:sz w:val="24"/>
                <w:szCs w:val="24"/>
              </w:rPr>
            </w:pPr>
            <w:r>
              <w:rPr>
                <w:rFonts w:hint="eastAsia" w:ascii="宋体" w:hAnsi="宋体" w:cs="宋体"/>
                <w:iCs/>
                <w:color w:val="auto"/>
                <w:kern w:val="0"/>
                <w:sz w:val="24"/>
                <w:szCs w:val="24"/>
              </w:rPr>
              <w:t>3</w:t>
            </w:r>
          </w:p>
        </w:tc>
        <w:tc>
          <w:tcPr>
            <w:tcW w:w="908" w:type="dxa"/>
            <w:vMerge w:val="continue"/>
            <w:vAlign w:val="center"/>
          </w:tcPr>
          <w:p>
            <w:pPr>
              <w:widowControl/>
              <w:jc w:val="center"/>
              <w:rPr>
                <w:rFonts w:ascii="宋体" w:hAnsi="宋体" w:cs="宋体"/>
                <w:iCs/>
                <w:color w:val="auto"/>
                <w:kern w:val="0"/>
                <w:sz w:val="24"/>
                <w:szCs w:val="24"/>
              </w:rPr>
            </w:pPr>
          </w:p>
        </w:tc>
        <w:tc>
          <w:tcPr>
            <w:tcW w:w="1818" w:type="dxa"/>
            <w:vAlign w:val="center"/>
          </w:tcPr>
          <w:p>
            <w:pPr>
              <w:widowControl/>
              <w:jc w:val="center"/>
              <w:rPr>
                <w:rFonts w:hint="eastAsia" w:ascii="宋体" w:hAnsi="宋体" w:eastAsia="宋体" w:cs="宋体"/>
                <w:bCs/>
                <w:color w:val="auto"/>
                <w:sz w:val="24"/>
                <w:szCs w:val="24"/>
                <w:lang w:val="en-US" w:eastAsia="zh-CN"/>
              </w:rPr>
            </w:pPr>
            <w:r>
              <w:rPr>
                <w:rFonts w:hint="eastAsia" w:ascii="宋体" w:hAnsi="宋体" w:cs="宋体"/>
                <w:color w:val="auto"/>
                <w:sz w:val="24"/>
                <w:szCs w:val="24"/>
              </w:rPr>
              <w:t>快速温度变化湿热试验箱</w:t>
            </w:r>
            <w:r>
              <w:rPr>
                <w:rFonts w:hint="eastAsia" w:ascii="宋体" w:hAnsi="宋体" w:cs="宋体"/>
                <w:color w:val="auto"/>
                <w:sz w:val="24"/>
                <w:szCs w:val="24"/>
                <w:lang w:val="en-US" w:eastAsia="zh-CN"/>
              </w:rPr>
              <w:t>1</w:t>
            </w:r>
          </w:p>
        </w:tc>
        <w:tc>
          <w:tcPr>
            <w:tcW w:w="1518" w:type="dxa"/>
            <w:vMerge w:val="continue"/>
            <w:vAlign w:val="center"/>
          </w:tcPr>
          <w:p>
            <w:pPr>
              <w:widowControl/>
              <w:jc w:val="center"/>
              <w:rPr>
                <w:rFonts w:ascii="宋体" w:hAnsi="宋体"/>
                <w:bCs/>
                <w:color w:val="auto"/>
                <w:sz w:val="24"/>
                <w:szCs w:val="24"/>
              </w:rPr>
            </w:pPr>
          </w:p>
        </w:tc>
        <w:tc>
          <w:tcPr>
            <w:tcW w:w="1857" w:type="dxa"/>
            <w:vMerge w:val="continue"/>
            <w:vAlign w:val="center"/>
          </w:tcPr>
          <w:p>
            <w:pPr>
              <w:widowControl/>
              <w:jc w:val="center"/>
              <w:rPr>
                <w:rFonts w:ascii="宋体" w:hAnsi="宋体" w:cs="宋体"/>
                <w:iCs/>
                <w:color w:val="auto"/>
                <w:kern w:val="0"/>
                <w:sz w:val="24"/>
                <w:szCs w:val="24"/>
              </w:rPr>
            </w:pPr>
          </w:p>
        </w:tc>
        <w:tc>
          <w:tcPr>
            <w:tcW w:w="1369" w:type="dxa"/>
            <w:vMerge w:val="continue"/>
            <w:vAlign w:val="center"/>
          </w:tcPr>
          <w:p>
            <w:pPr>
              <w:widowControl/>
              <w:jc w:val="center"/>
              <w:rPr>
                <w:rFonts w:ascii="宋体" w:hAnsi="宋体" w:cs="宋体"/>
                <w:bCs/>
                <w:color w:val="auto"/>
                <w:sz w:val="24"/>
                <w:szCs w:val="24"/>
              </w:rPr>
            </w:pPr>
          </w:p>
        </w:tc>
        <w:tc>
          <w:tcPr>
            <w:tcW w:w="1329" w:type="dxa"/>
            <w:vAlign w:val="center"/>
          </w:tcPr>
          <w:p>
            <w:pPr>
              <w:widowControl/>
              <w:jc w:val="center"/>
              <w:rPr>
                <w:rFonts w:ascii="宋体" w:hAnsi="宋体" w:cs="宋体"/>
                <w:bCs/>
                <w:color w:val="auto"/>
                <w:sz w:val="24"/>
                <w:szCs w:val="24"/>
              </w:rPr>
            </w:pPr>
            <w:r>
              <w:rPr>
                <w:rFonts w:hint="eastAsia" w:ascii="宋体" w:hAnsi="宋体" w:cs="宋体"/>
                <w:color w:val="auto"/>
                <w:sz w:val="24"/>
                <w:szCs w:val="24"/>
              </w:rPr>
              <w:t>7</w:t>
            </w:r>
            <w:r>
              <w:rPr>
                <w:rFonts w:ascii="宋体" w:hAnsi="宋体" w:cs="宋体"/>
                <w:color w:val="auto"/>
                <w:sz w:val="24"/>
                <w:szCs w:val="24"/>
              </w:rPr>
              <w:t>5</w:t>
            </w:r>
            <w:r>
              <w:rPr>
                <w:rFonts w:hint="eastAsia" w:ascii="宋体" w:hAnsi="宋体" w:cs="宋体"/>
                <w:color w:val="auto"/>
                <w:sz w:val="24"/>
                <w:szCs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0" w:type="auto"/>
            <w:vAlign w:val="center"/>
          </w:tcPr>
          <w:p>
            <w:pPr>
              <w:widowControl/>
              <w:jc w:val="center"/>
              <w:rPr>
                <w:rFonts w:ascii="宋体" w:hAnsi="宋体" w:cs="宋体"/>
                <w:iCs/>
                <w:color w:val="auto"/>
                <w:kern w:val="0"/>
                <w:sz w:val="24"/>
                <w:szCs w:val="24"/>
              </w:rPr>
            </w:pPr>
            <w:r>
              <w:rPr>
                <w:rFonts w:hint="eastAsia" w:ascii="宋体" w:hAnsi="宋体" w:cs="宋体"/>
                <w:iCs/>
                <w:color w:val="auto"/>
                <w:kern w:val="0"/>
                <w:sz w:val="24"/>
                <w:szCs w:val="24"/>
              </w:rPr>
              <w:t>4</w:t>
            </w:r>
          </w:p>
        </w:tc>
        <w:tc>
          <w:tcPr>
            <w:tcW w:w="908" w:type="dxa"/>
            <w:vMerge w:val="continue"/>
            <w:vAlign w:val="center"/>
          </w:tcPr>
          <w:p>
            <w:pPr>
              <w:widowControl/>
              <w:jc w:val="center"/>
              <w:rPr>
                <w:rFonts w:ascii="宋体" w:hAnsi="宋体" w:cs="宋体"/>
                <w:iCs/>
                <w:color w:val="auto"/>
                <w:kern w:val="0"/>
                <w:sz w:val="24"/>
                <w:szCs w:val="24"/>
              </w:rPr>
            </w:pPr>
          </w:p>
        </w:tc>
        <w:tc>
          <w:tcPr>
            <w:tcW w:w="1818" w:type="dxa"/>
            <w:vAlign w:val="center"/>
          </w:tcPr>
          <w:p>
            <w:pPr>
              <w:widowControl/>
              <w:jc w:val="center"/>
              <w:rPr>
                <w:rFonts w:hint="eastAsia" w:ascii="宋体" w:hAnsi="宋体" w:eastAsia="宋体" w:cs="宋体"/>
                <w:bCs/>
                <w:color w:val="auto"/>
                <w:sz w:val="24"/>
                <w:szCs w:val="24"/>
                <w:lang w:val="en-US" w:eastAsia="zh-CN"/>
              </w:rPr>
            </w:pPr>
            <w:r>
              <w:rPr>
                <w:rFonts w:hint="eastAsia" w:ascii="宋体" w:hAnsi="宋体" w:cs="宋体"/>
                <w:color w:val="auto"/>
                <w:sz w:val="24"/>
                <w:szCs w:val="24"/>
              </w:rPr>
              <w:t>高低温湿热试验箱</w:t>
            </w:r>
            <w:r>
              <w:rPr>
                <w:rFonts w:hint="eastAsia" w:ascii="宋体" w:hAnsi="宋体" w:cs="宋体"/>
                <w:color w:val="auto"/>
                <w:sz w:val="24"/>
                <w:szCs w:val="24"/>
                <w:lang w:val="en-US" w:eastAsia="zh-CN"/>
              </w:rPr>
              <w:t>3</w:t>
            </w:r>
          </w:p>
        </w:tc>
        <w:tc>
          <w:tcPr>
            <w:tcW w:w="1518" w:type="dxa"/>
            <w:vMerge w:val="continue"/>
            <w:vAlign w:val="center"/>
          </w:tcPr>
          <w:p>
            <w:pPr>
              <w:widowControl/>
              <w:jc w:val="center"/>
              <w:rPr>
                <w:rFonts w:ascii="宋体" w:hAnsi="宋体"/>
                <w:bCs/>
                <w:color w:val="auto"/>
                <w:sz w:val="24"/>
                <w:szCs w:val="24"/>
              </w:rPr>
            </w:pPr>
          </w:p>
        </w:tc>
        <w:tc>
          <w:tcPr>
            <w:tcW w:w="1857" w:type="dxa"/>
            <w:vMerge w:val="continue"/>
            <w:vAlign w:val="center"/>
          </w:tcPr>
          <w:p>
            <w:pPr>
              <w:widowControl/>
              <w:jc w:val="center"/>
              <w:rPr>
                <w:rFonts w:ascii="宋体" w:hAnsi="宋体" w:cs="宋体"/>
                <w:iCs/>
                <w:color w:val="auto"/>
                <w:kern w:val="0"/>
                <w:sz w:val="24"/>
                <w:szCs w:val="24"/>
              </w:rPr>
            </w:pPr>
          </w:p>
        </w:tc>
        <w:tc>
          <w:tcPr>
            <w:tcW w:w="1369" w:type="dxa"/>
            <w:vMerge w:val="continue"/>
            <w:vAlign w:val="center"/>
          </w:tcPr>
          <w:p>
            <w:pPr>
              <w:widowControl/>
              <w:jc w:val="center"/>
              <w:rPr>
                <w:rFonts w:ascii="宋体" w:hAnsi="宋体" w:cs="宋体"/>
                <w:bCs/>
                <w:color w:val="auto"/>
                <w:sz w:val="24"/>
                <w:szCs w:val="24"/>
              </w:rPr>
            </w:pPr>
          </w:p>
        </w:tc>
        <w:tc>
          <w:tcPr>
            <w:tcW w:w="1329" w:type="dxa"/>
            <w:vAlign w:val="center"/>
          </w:tcPr>
          <w:p>
            <w:pPr>
              <w:widowControl/>
              <w:jc w:val="center"/>
              <w:rPr>
                <w:rFonts w:ascii="宋体" w:hAnsi="宋体" w:cs="宋体"/>
                <w:bCs/>
                <w:color w:val="auto"/>
                <w:sz w:val="24"/>
                <w:szCs w:val="24"/>
              </w:rPr>
            </w:pPr>
            <w:r>
              <w:rPr>
                <w:rFonts w:hint="eastAsia" w:ascii="宋体" w:hAnsi="宋体" w:cs="宋体"/>
                <w:color w:val="auto"/>
                <w:sz w:val="24"/>
                <w:szCs w:val="24"/>
              </w:rPr>
              <w:t>1</w:t>
            </w:r>
            <w:r>
              <w:rPr>
                <w:rFonts w:ascii="宋体" w:hAnsi="宋体" w:cs="宋体"/>
                <w:color w:val="auto"/>
                <w:sz w:val="24"/>
                <w:szCs w:val="24"/>
              </w:rPr>
              <w:t>45</w:t>
            </w:r>
            <w:r>
              <w:rPr>
                <w:rFonts w:hint="eastAsia" w:ascii="宋体" w:hAnsi="宋体" w:cs="宋体"/>
                <w:color w:val="auto"/>
                <w:sz w:val="24"/>
                <w:szCs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0" w:type="auto"/>
            <w:vAlign w:val="center"/>
          </w:tcPr>
          <w:p>
            <w:pPr>
              <w:widowControl/>
              <w:jc w:val="center"/>
              <w:rPr>
                <w:rFonts w:ascii="宋体" w:hAnsi="宋体" w:cs="宋体"/>
                <w:iCs/>
                <w:color w:val="auto"/>
                <w:kern w:val="0"/>
                <w:sz w:val="24"/>
                <w:szCs w:val="24"/>
              </w:rPr>
            </w:pPr>
            <w:r>
              <w:rPr>
                <w:rFonts w:hint="eastAsia" w:ascii="宋体" w:hAnsi="宋体" w:cs="宋体"/>
                <w:iCs/>
                <w:color w:val="auto"/>
                <w:kern w:val="0"/>
                <w:sz w:val="24"/>
                <w:szCs w:val="24"/>
              </w:rPr>
              <w:t>5</w:t>
            </w:r>
          </w:p>
        </w:tc>
        <w:tc>
          <w:tcPr>
            <w:tcW w:w="908" w:type="dxa"/>
            <w:vMerge w:val="continue"/>
            <w:vAlign w:val="center"/>
          </w:tcPr>
          <w:p>
            <w:pPr>
              <w:widowControl/>
              <w:jc w:val="center"/>
              <w:rPr>
                <w:rFonts w:ascii="宋体" w:hAnsi="宋体" w:cs="宋体"/>
                <w:iCs/>
                <w:color w:val="auto"/>
                <w:kern w:val="0"/>
                <w:sz w:val="24"/>
                <w:szCs w:val="24"/>
              </w:rPr>
            </w:pPr>
          </w:p>
        </w:tc>
        <w:tc>
          <w:tcPr>
            <w:tcW w:w="1818" w:type="dxa"/>
            <w:vAlign w:val="center"/>
          </w:tcPr>
          <w:p>
            <w:pPr>
              <w:widowControl/>
              <w:jc w:val="center"/>
              <w:rPr>
                <w:rFonts w:hint="eastAsia" w:ascii="宋体" w:hAnsi="宋体" w:eastAsia="宋体" w:cs="宋体"/>
                <w:bCs/>
                <w:color w:val="auto"/>
                <w:sz w:val="24"/>
                <w:szCs w:val="24"/>
                <w:lang w:eastAsia="zh-CN"/>
              </w:rPr>
            </w:pPr>
            <w:r>
              <w:rPr>
                <w:rFonts w:hint="eastAsia" w:ascii="宋体" w:hAnsi="宋体" w:cs="宋体"/>
                <w:color w:val="auto"/>
                <w:sz w:val="24"/>
                <w:szCs w:val="24"/>
                <w:lang w:eastAsia="zh-CN"/>
              </w:rPr>
              <w:t>低气压湿热试验箱</w:t>
            </w:r>
          </w:p>
        </w:tc>
        <w:tc>
          <w:tcPr>
            <w:tcW w:w="1518" w:type="dxa"/>
            <w:vMerge w:val="continue"/>
            <w:vAlign w:val="center"/>
          </w:tcPr>
          <w:p>
            <w:pPr>
              <w:widowControl/>
              <w:jc w:val="center"/>
              <w:rPr>
                <w:rFonts w:ascii="宋体" w:hAnsi="宋体"/>
                <w:bCs/>
                <w:color w:val="auto"/>
                <w:sz w:val="24"/>
                <w:szCs w:val="24"/>
              </w:rPr>
            </w:pPr>
          </w:p>
        </w:tc>
        <w:tc>
          <w:tcPr>
            <w:tcW w:w="1857" w:type="dxa"/>
            <w:vMerge w:val="continue"/>
            <w:vAlign w:val="center"/>
          </w:tcPr>
          <w:p>
            <w:pPr>
              <w:widowControl/>
              <w:jc w:val="center"/>
              <w:rPr>
                <w:rFonts w:ascii="宋体" w:hAnsi="宋体" w:cs="宋体"/>
                <w:iCs/>
                <w:color w:val="auto"/>
                <w:kern w:val="0"/>
                <w:sz w:val="24"/>
                <w:szCs w:val="24"/>
              </w:rPr>
            </w:pPr>
          </w:p>
        </w:tc>
        <w:tc>
          <w:tcPr>
            <w:tcW w:w="1369" w:type="dxa"/>
            <w:vMerge w:val="continue"/>
            <w:vAlign w:val="center"/>
          </w:tcPr>
          <w:p>
            <w:pPr>
              <w:widowControl/>
              <w:jc w:val="center"/>
              <w:rPr>
                <w:rFonts w:ascii="宋体" w:hAnsi="宋体" w:cs="宋体"/>
                <w:bCs/>
                <w:color w:val="auto"/>
                <w:sz w:val="24"/>
                <w:szCs w:val="24"/>
              </w:rPr>
            </w:pPr>
          </w:p>
        </w:tc>
        <w:tc>
          <w:tcPr>
            <w:tcW w:w="1329" w:type="dxa"/>
            <w:vAlign w:val="center"/>
          </w:tcPr>
          <w:p>
            <w:pPr>
              <w:widowControl/>
              <w:jc w:val="center"/>
              <w:rPr>
                <w:rFonts w:ascii="宋体" w:hAnsi="宋体" w:cs="宋体"/>
                <w:bCs/>
                <w:color w:val="auto"/>
                <w:sz w:val="24"/>
                <w:szCs w:val="24"/>
              </w:rPr>
            </w:pPr>
            <w:r>
              <w:rPr>
                <w:rFonts w:hint="eastAsia" w:ascii="宋体" w:hAnsi="宋体" w:cs="宋体"/>
                <w:color w:val="auto"/>
                <w:sz w:val="24"/>
                <w:szCs w:val="24"/>
              </w:rPr>
              <w:t>6</w:t>
            </w:r>
            <w:r>
              <w:rPr>
                <w:rFonts w:ascii="宋体" w:hAnsi="宋体" w:cs="宋体"/>
                <w:color w:val="auto"/>
                <w:sz w:val="24"/>
                <w:szCs w:val="24"/>
              </w:rPr>
              <w:t>0</w:t>
            </w:r>
            <w:r>
              <w:rPr>
                <w:rFonts w:hint="eastAsia" w:ascii="宋体" w:hAnsi="宋体" w:cs="宋体"/>
                <w:color w:val="auto"/>
                <w:sz w:val="24"/>
                <w:szCs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0" w:type="auto"/>
            <w:vAlign w:val="center"/>
          </w:tcPr>
          <w:p>
            <w:pPr>
              <w:widowControl/>
              <w:jc w:val="center"/>
              <w:rPr>
                <w:rFonts w:ascii="宋体" w:hAnsi="宋体" w:cs="宋体"/>
                <w:iCs/>
                <w:color w:val="auto"/>
                <w:kern w:val="0"/>
                <w:sz w:val="24"/>
                <w:szCs w:val="24"/>
              </w:rPr>
            </w:pPr>
            <w:r>
              <w:rPr>
                <w:rFonts w:hint="eastAsia" w:ascii="宋体" w:hAnsi="宋体" w:cs="宋体"/>
                <w:iCs/>
                <w:color w:val="auto"/>
                <w:kern w:val="0"/>
                <w:sz w:val="24"/>
                <w:szCs w:val="24"/>
              </w:rPr>
              <w:t>6</w:t>
            </w:r>
          </w:p>
        </w:tc>
        <w:tc>
          <w:tcPr>
            <w:tcW w:w="908" w:type="dxa"/>
            <w:vMerge w:val="continue"/>
            <w:vAlign w:val="center"/>
          </w:tcPr>
          <w:p>
            <w:pPr>
              <w:widowControl/>
              <w:jc w:val="center"/>
              <w:rPr>
                <w:rFonts w:ascii="宋体" w:hAnsi="宋体" w:cs="宋体"/>
                <w:iCs/>
                <w:color w:val="auto"/>
                <w:kern w:val="0"/>
                <w:sz w:val="24"/>
                <w:szCs w:val="24"/>
              </w:rPr>
            </w:pPr>
          </w:p>
        </w:tc>
        <w:tc>
          <w:tcPr>
            <w:tcW w:w="1818" w:type="dxa"/>
            <w:vAlign w:val="center"/>
          </w:tcPr>
          <w:p>
            <w:pPr>
              <w:widowControl/>
              <w:jc w:val="center"/>
              <w:rPr>
                <w:rFonts w:hint="eastAsia" w:ascii="宋体" w:hAnsi="宋体" w:eastAsia="宋体" w:cs="宋体"/>
                <w:bCs/>
                <w:color w:val="auto"/>
                <w:sz w:val="24"/>
                <w:szCs w:val="24"/>
                <w:lang w:val="en-US" w:eastAsia="zh-CN"/>
              </w:rPr>
            </w:pPr>
            <w:r>
              <w:rPr>
                <w:rFonts w:ascii="宋体" w:hAnsi="宋体" w:cs="宋体"/>
                <w:color w:val="auto"/>
                <w:sz w:val="24"/>
                <w:szCs w:val="24"/>
              </w:rPr>
              <w:t>高低温湿热试验箱</w:t>
            </w:r>
            <w:r>
              <w:rPr>
                <w:rFonts w:hint="eastAsia" w:ascii="宋体" w:hAnsi="宋体" w:cs="宋体"/>
                <w:color w:val="auto"/>
                <w:sz w:val="24"/>
                <w:szCs w:val="24"/>
                <w:lang w:val="en-US" w:eastAsia="zh-CN"/>
              </w:rPr>
              <w:t>4</w:t>
            </w:r>
          </w:p>
        </w:tc>
        <w:tc>
          <w:tcPr>
            <w:tcW w:w="1518" w:type="dxa"/>
            <w:vMerge w:val="continue"/>
            <w:vAlign w:val="center"/>
          </w:tcPr>
          <w:p>
            <w:pPr>
              <w:widowControl/>
              <w:jc w:val="center"/>
              <w:rPr>
                <w:rFonts w:ascii="宋体" w:hAnsi="宋体"/>
                <w:bCs/>
                <w:color w:val="auto"/>
                <w:sz w:val="24"/>
                <w:szCs w:val="24"/>
              </w:rPr>
            </w:pPr>
          </w:p>
        </w:tc>
        <w:tc>
          <w:tcPr>
            <w:tcW w:w="1857" w:type="dxa"/>
            <w:vMerge w:val="continue"/>
            <w:vAlign w:val="center"/>
          </w:tcPr>
          <w:p>
            <w:pPr>
              <w:widowControl/>
              <w:jc w:val="center"/>
              <w:rPr>
                <w:rFonts w:ascii="宋体" w:hAnsi="宋体" w:cs="宋体"/>
                <w:iCs/>
                <w:color w:val="auto"/>
                <w:kern w:val="0"/>
                <w:sz w:val="24"/>
                <w:szCs w:val="24"/>
              </w:rPr>
            </w:pPr>
          </w:p>
        </w:tc>
        <w:tc>
          <w:tcPr>
            <w:tcW w:w="1369" w:type="dxa"/>
            <w:vMerge w:val="continue"/>
            <w:vAlign w:val="center"/>
          </w:tcPr>
          <w:p>
            <w:pPr>
              <w:widowControl/>
              <w:jc w:val="center"/>
              <w:rPr>
                <w:rFonts w:ascii="宋体" w:hAnsi="宋体" w:cs="宋体"/>
                <w:bCs/>
                <w:color w:val="auto"/>
                <w:sz w:val="24"/>
                <w:szCs w:val="24"/>
              </w:rPr>
            </w:pPr>
          </w:p>
        </w:tc>
        <w:tc>
          <w:tcPr>
            <w:tcW w:w="1329" w:type="dxa"/>
            <w:vAlign w:val="center"/>
          </w:tcPr>
          <w:p>
            <w:pPr>
              <w:widowControl/>
              <w:jc w:val="center"/>
              <w:rPr>
                <w:rFonts w:ascii="宋体" w:hAnsi="宋体" w:cs="宋体"/>
                <w:bCs/>
                <w:color w:val="auto"/>
                <w:sz w:val="24"/>
                <w:szCs w:val="24"/>
              </w:rPr>
            </w:pPr>
            <w:r>
              <w:rPr>
                <w:rFonts w:hint="eastAsia" w:ascii="宋体" w:hAnsi="宋体" w:cs="宋体"/>
                <w:color w:val="auto"/>
                <w:sz w:val="24"/>
                <w:szCs w:val="24"/>
              </w:rPr>
              <w:t>1</w:t>
            </w:r>
            <w:r>
              <w:rPr>
                <w:rFonts w:ascii="宋体" w:hAnsi="宋体" w:cs="宋体"/>
                <w:color w:val="auto"/>
                <w:sz w:val="24"/>
                <w:szCs w:val="24"/>
              </w:rPr>
              <w:t>95</w:t>
            </w:r>
            <w:r>
              <w:rPr>
                <w:rFonts w:hint="eastAsia" w:ascii="宋体" w:hAnsi="宋体" w:cs="宋体"/>
                <w:color w:val="auto"/>
                <w:sz w:val="24"/>
                <w:szCs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0" w:type="auto"/>
            <w:vAlign w:val="center"/>
          </w:tcPr>
          <w:p>
            <w:pPr>
              <w:widowControl/>
              <w:jc w:val="center"/>
              <w:rPr>
                <w:rFonts w:ascii="宋体" w:hAnsi="宋体" w:cs="宋体"/>
                <w:iCs/>
                <w:color w:val="auto"/>
                <w:kern w:val="0"/>
                <w:sz w:val="24"/>
                <w:szCs w:val="24"/>
              </w:rPr>
            </w:pPr>
            <w:r>
              <w:rPr>
                <w:rFonts w:hint="eastAsia" w:ascii="宋体" w:hAnsi="宋体" w:cs="宋体"/>
                <w:iCs/>
                <w:color w:val="auto"/>
                <w:kern w:val="0"/>
                <w:sz w:val="24"/>
                <w:szCs w:val="24"/>
              </w:rPr>
              <w:t>7</w:t>
            </w:r>
          </w:p>
        </w:tc>
        <w:tc>
          <w:tcPr>
            <w:tcW w:w="908" w:type="dxa"/>
            <w:vMerge w:val="continue"/>
            <w:vAlign w:val="center"/>
          </w:tcPr>
          <w:p>
            <w:pPr>
              <w:widowControl/>
              <w:jc w:val="center"/>
              <w:rPr>
                <w:rFonts w:ascii="宋体" w:hAnsi="宋体" w:cs="宋体"/>
                <w:iCs/>
                <w:color w:val="auto"/>
                <w:kern w:val="0"/>
                <w:sz w:val="24"/>
                <w:szCs w:val="24"/>
              </w:rPr>
            </w:pPr>
          </w:p>
        </w:tc>
        <w:tc>
          <w:tcPr>
            <w:tcW w:w="1818" w:type="dxa"/>
            <w:vAlign w:val="center"/>
          </w:tcPr>
          <w:p>
            <w:pPr>
              <w:widowControl/>
              <w:jc w:val="center"/>
              <w:rPr>
                <w:rFonts w:hint="eastAsia" w:ascii="宋体" w:hAnsi="宋体" w:eastAsia="宋体" w:cs="宋体"/>
                <w:bCs/>
                <w:color w:val="auto"/>
                <w:sz w:val="24"/>
                <w:szCs w:val="24"/>
                <w:lang w:val="en-US" w:eastAsia="zh-CN"/>
              </w:rPr>
            </w:pPr>
            <w:r>
              <w:rPr>
                <w:rFonts w:hint="eastAsia" w:ascii="宋体" w:hAnsi="宋体" w:cs="宋体"/>
                <w:color w:val="auto"/>
                <w:sz w:val="24"/>
                <w:szCs w:val="24"/>
              </w:rPr>
              <w:t>快速温度变化湿热试验箱</w:t>
            </w:r>
            <w:r>
              <w:rPr>
                <w:rFonts w:hint="eastAsia" w:ascii="宋体" w:hAnsi="宋体" w:cs="宋体"/>
                <w:color w:val="auto"/>
                <w:sz w:val="24"/>
                <w:szCs w:val="24"/>
                <w:lang w:val="en-US" w:eastAsia="zh-CN"/>
              </w:rPr>
              <w:t>2</w:t>
            </w:r>
          </w:p>
        </w:tc>
        <w:tc>
          <w:tcPr>
            <w:tcW w:w="1518" w:type="dxa"/>
            <w:vMerge w:val="continue"/>
            <w:vAlign w:val="center"/>
          </w:tcPr>
          <w:p>
            <w:pPr>
              <w:widowControl/>
              <w:jc w:val="center"/>
              <w:rPr>
                <w:rFonts w:ascii="宋体" w:hAnsi="宋体"/>
                <w:bCs/>
                <w:color w:val="auto"/>
                <w:sz w:val="24"/>
                <w:szCs w:val="24"/>
              </w:rPr>
            </w:pPr>
          </w:p>
        </w:tc>
        <w:tc>
          <w:tcPr>
            <w:tcW w:w="1857" w:type="dxa"/>
            <w:vMerge w:val="continue"/>
            <w:vAlign w:val="center"/>
          </w:tcPr>
          <w:p>
            <w:pPr>
              <w:widowControl/>
              <w:jc w:val="center"/>
              <w:rPr>
                <w:rFonts w:ascii="宋体" w:hAnsi="宋体" w:cs="宋体"/>
                <w:iCs/>
                <w:color w:val="auto"/>
                <w:kern w:val="0"/>
                <w:sz w:val="24"/>
                <w:szCs w:val="24"/>
              </w:rPr>
            </w:pPr>
          </w:p>
        </w:tc>
        <w:tc>
          <w:tcPr>
            <w:tcW w:w="1369" w:type="dxa"/>
            <w:vMerge w:val="continue"/>
            <w:vAlign w:val="center"/>
          </w:tcPr>
          <w:p>
            <w:pPr>
              <w:widowControl/>
              <w:jc w:val="center"/>
              <w:rPr>
                <w:rFonts w:ascii="宋体" w:hAnsi="宋体" w:cs="宋体"/>
                <w:bCs/>
                <w:color w:val="auto"/>
                <w:sz w:val="24"/>
                <w:szCs w:val="24"/>
              </w:rPr>
            </w:pPr>
          </w:p>
        </w:tc>
        <w:tc>
          <w:tcPr>
            <w:tcW w:w="1329" w:type="dxa"/>
            <w:vAlign w:val="center"/>
          </w:tcPr>
          <w:p>
            <w:pPr>
              <w:widowControl/>
              <w:jc w:val="center"/>
              <w:rPr>
                <w:rFonts w:ascii="宋体" w:hAnsi="宋体" w:cs="宋体"/>
                <w:bCs/>
                <w:color w:val="auto"/>
                <w:sz w:val="24"/>
                <w:szCs w:val="24"/>
              </w:rPr>
            </w:pPr>
            <w:r>
              <w:rPr>
                <w:rFonts w:hint="eastAsia" w:ascii="宋体" w:hAnsi="宋体" w:cs="宋体"/>
                <w:color w:val="auto"/>
                <w:sz w:val="24"/>
                <w:szCs w:val="24"/>
              </w:rPr>
              <w:t>1</w:t>
            </w:r>
            <w:r>
              <w:rPr>
                <w:rFonts w:ascii="宋体" w:hAnsi="宋体" w:cs="宋体"/>
                <w:color w:val="auto"/>
                <w:sz w:val="24"/>
                <w:szCs w:val="24"/>
              </w:rPr>
              <w:t>33</w:t>
            </w:r>
            <w:r>
              <w:rPr>
                <w:rFonts w:hint="eastAsia" w:ascii="宋体" w:hAnsi="宋体" w:cs="宋体"/>
                <w:color w:val="auto"/>
                <w:sz w:val="24"/>
                <w:szCs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0" w:type="auto"/>
            <w:vAlign w:val="center"/>
          </w:tcPr>
          <w:p>
            <w:pPr>
              <w:widowControl/>
              <w:jc w:val="center"/>
              <w:rPr>
                <w:rFonts w:ascii="宋体" w:hAnsi="宋体" w:cs="宋体"/>
                <w:iCs/>
                <w:color w:val="auto"/>
                <w:kern w:val="0"/>
                <w:sz w:val="24"/>
                <w:szCs w:val="24"/>
              </w:rPr>
            </w:pPr>
            <w:r>
              <w:rPr>
                <w:rFonts w:hint="eastAsia" w:ascii="宋体" w:hAnsi="宋体" w:cs="宋体"/>
                <w:iCs/>
                <w:color w:val="auto"/>
                <w:kern w:val="0"/>
                <w:sz w:val="24"/>
                <w:szCs w:val="24"/>
              </w:rPr>
              <w:t>8</w:t>
            </w:r>
          </w:p>
        </w:tc>
        <w:tc>
          <w:tcPr>
            <w:tcW w:w="908" w:type="dxa"/>
            <w:vMerge w:val="continue"/>
            <w:vAlign w:val="center"/>
          </w:tcPr>
          <w:p>
            <w:pPr>
              <w:widowControl/>
              <w:jc w:val="center"/>
              <w:rPr>
                <w:rFonts w:ascii="宋体" w:hAnsi="宋体" w:cs="宋体"/>
                <w:iCs/>
                <w:color w:val="auto"/>
                <w:kern w:val="0"/>
                <w:sz w:val="24"/>
                <w:szCs w:val="24"/>
              </w:rPr>
            </w:pPr>
          </w:p>
        </w:tc>
        <w:tc>
          <w:tcPr>
            <w:tcW w:w="1818" w:type="dxa"/>
            <w:vAlign w:val="center"/>
          </w:tcPr>
          <w:p>
            <w:pPr>
              <w:widowControl/>
              <w:jc w:val="center"/>
              <w:rPr>
                <w:rFonts w:hint="eastAsia" w:ascii="宋体" w:hAnsi="宋体" w:eastAsia="宋体" w:cs="宋体"/>
                <w:bCs/>
                <w:color w:val="auto"/>
                <w:sz w:val="24"/>
                <w:szCs w:val="24"/>
                <w:lang w:val="en-US" w:eastAsia="zh-CN"/>
              </w:rPr>
            </w:pPr>
            <w:r>
              <w:rPr>
                <w:rFonts w:ascii="宋体" w:hAnsi="宋体" w:cs="宋体"/>
                <w:color w:val="auto"/>
                <w:sz w:val="24"/>
                <w:szCs w:val="24"/>
              </w:rPr>
              <w:t>步入式高低温湿热试验箱</w:t>
            </w:r>
            <w:r>
              <w:rPr>
                <w:rFonts w:hint="eastAsia" w:ascii="宋体" w:hAnsi="宋体" w:cs="宋体"/>
                <w:color w:val="auto"/>
                <w:sz w:val="24"/>
                <w:szCs w:val="24"/>
                <w:lang w:val="en-US" w:eastAsia="zh-CN"/>
              </w:rPr>
              <w:t>1</w:t>
            </w:r>
          </w:p>
        </w:tc>
        <w:tc>
          <w:tcPr>
            <w:tcW w:w="1518" w:type="dxa"/>
            <w:vMerge w:val="continue"/>
            <w:vAlign w:val="center"/>
          </w:tcPr>
          <w:p>
            <w:pPr>
              <w:widowControl/>
              <w:jc w:val="center"/>
              <w:rPr>
                <w:rFonts w:ascii="宋体" w:hAnsi="宋体"/>
                <w:bCs/>
                <w:color w:val="auto"/>
                <w:sz w:val="24"/>
                <w:szCs w:val="24"/>
              </w:rPr>
            </w:pPr>
          </w:p>
        </w:tc>
        <w:tc>
          <w:tcPr>
            <w:tcW w:w="1857" w:type="dxa"/>
            <w:vMerge w:val="continue"/>
            <w:vAlign w:val="center"/>
          </w:tcPr>
          <w:p>
            <w:pPr>
              <w:widowControl/>
              <w:jc w:val="center"/>
              <w:rPr>
                <w:rFonts w:ascii="宋体" w:hAnsi="宋体" w:cs="宋体"/>
                <w:iCs/>
                <w:color w:val="auto"/>
                <w:kern w:val="0"/>
                <w:sz w:val="24"/>
                <w:szCs w:val="24"/>
              </w:rPr>
            </w:pPr>
          </w:p>
        </w:tc>
        <w:tc>
          <w:tcPr>
            <w:tcW w:w="1369" w:type="dxa"/>
            <w:vMerge w:val="continue"/>
            <w:vAlign w:val="center"/>
          </w:tcPr>
          <w:p>
            <w:pPr>
              <w:widowControl/>
              <w:jc w:val="center"/>
              <w:rPr>
                <w:rFonts w:ascii="宋体" w:hAnsi="宋体" w:cs="宋体"/>
                <w:bCs/>
                <w:color w:val="auto"/>
                <w:sz w:val="24"/>
                <w:szCs w:val="24"/>
              </w:rPr>
            </w:pPr>
          </w:p>
        </w:tc>
        <w:tc>
          <w:tcPr>
            <w:tcW w:w="1329" w:type="dxa"/>
            <w:vAlign w:val="center"/>
          </w:tcPr>
          <w:p>
            <w:pPr>
              <w:widowControl/>
              <w:jc w:val="center"/>
              <w:rPr>
                <w:rFonts w:ascii="宋体" w:hAnsi="宋体" w:cs="宋体"/>
                <w:bCs/>
                <w:color w:val="auto"/>
                <w:sz w:val="24"/>
                <w:szCs w:val="24"/>
              </w:rPr>
            </w:pPr>
            <w:r>
              <w:rPr>
                <w:rFonts w:hint="eastAsia" w:ascii="宋体" w:hAnsi="宋体" w:cs="宋体"/>
                <w:color w:val="auto"/>
                <w:sz w:val="24"/>
                <w:szCs w:val="24"/>
              </w:rPr>
              <w:t>1</w:t>
            </w:r>
            <w:r>
              <w:rPr>
                <w:rFonts w:ascii="宋体" w:hAnsi="宋体" w:cs="宋体"/>
                <w:color w:val="auto"/>
                <w:sz w:val="24"/>
                <w:szCs w:val="24"/>
              </w:rPr>
              <w:t>68</w:t>
            </w:r>
            <w:r>
              <w:rPr>
                <w:rFonts w:hint="eastAsia" w:ascii="宋体" w:hAnsi="宋体" w:cs="宋体"/>
                <w:color w:val="auto"/>
                <w:sz w:val="24"/>
                <w:szCs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0" w:type="auto"/>
            <w:vAlign w:val="center"/>
          </w:tcPr>
          <w:p>
            <w:pPr>
              <w:widowControl/>
              <w:jc w:val="center"/>
              <w:rPr>
                <w:rFonts w:ascii="宋体" w:hAnsi="宋体" w:cs="宋体"/>
                <w:iCs/>
                <w:color w:val="auto"/>
                <w:kern w:val="0"/>
                <w:sz w:val="24"/>
                <w:szCs w:val="24"/>
              </w:rPr>
            </w:pPr>
            <w:r>
              <w:rPr>
                <w:rFonts w:hint="eastAsia" w:ascii="宋体" w:hAnsi="宋体" w:cs="宋体"/>
                <w:iCs/>
                <w:color w:val="auto"/>
                <w:kern w:val="0"/>
                <w:sz w:val="24"/>
                <w:szCs w:val="24"/>
              </w:rPr>
              <w:t>9</w:t>
            </w:r>
          </w:p>
        </w:tc>
        <w:tc>
          <w:tcPr>
            <w:tcW w:w="908" w:type="dxa"/>
            <w:vMerge w:val="continue"/>
            <w:vAlign w:val="center"/>
          </w:tcPr>
          <w:p>
            <w:pPr>
              <w:widowControl/>
              <w:jc w:val="center"/>
              <w:rPr>
                <w:rFonts w:ascii="宋体" w:hAnsi="宋体" w:cs="宋体"/>
                <w:iCs/>
                <w:color w:val="auto"/>
                <w:kern w:val="0"/>
                <w:sz w:val="24"/>
                <w:szCs w:val="24"/>
              </w:rPr>
            </w:pPr>
          </w:p>
        </w:tc>
        <w:tc>
          <w:tcPr>
            <w:tcW w:w="1818" w:type="dxa"/>
            <w:vAlign w:val="center"/>
          </w:tcPr>
          <w:p>
            <w:pPr>
              <w:widowControl/>
              <w:jc w:val="center"/>
              <w:rPr>
                <w:rFonts w:ascii="宋体" w:hAnsi="宋体" w:cs="宋体"/>
                <w:bCs/>
                <w:color w:val="auto"/>
                <w:sz w:val="24"/>
                <w:szCs w:val="24"/>
                <w:lang w:val="zh-CN"/>
              </w:rPr>
            </w:pPr>
            <w:r>
              <w:rPr>
                <w:rFonts w:ascii="宋体" w:hAnsi="宋体" w:cs="宋体"/>
                <w:color w:val="auto"/>
                <w:sz w:val="24"/>
                <w:szCs w:val="24"/>
              </w:rPr>
              <w:t>热滥用防爆试验箱</w:t>
            </w:r>
          </w:p>
        </w:tc>
        <w:tc>
          <w:tcPr>
            <w:tcW w:w="1518" w:type="dxa"/>
            <w:vMerge w:val="continue"/>
            <w:vAlign w:val="center"/>
          </w:tcPr>
          <w:p>
            <w:pPr>
              <w:widowControl/>
              <w:jc w:val="center"/>
              <w:rPr>
                <w:rFonts w:ascii="宋体" w:hAnsi="宋体"/>
                <w:bCs/>
                <w:color w:val="auto"/>
                <w:sz w:val="24"/>
                <w:szCs w:val="24"/>
              </w:rPr>
            </w:pPr>
          </w:p>
        </w:tc>
        <w:tc>
          <w:tcPr>
            <w:tcW w:w="1857" w:type="dxa"/>
            <w:vMerge w:val="continue"/>
            <w:vAlign w:val="center"/>
          </w:tcPr>
          <w:p>
            <w:pPr>
              <w:widowControl/>
              <w:jc w:val="center"/>
              <w:rPr>
                <w:rFonts w:ascii="宋体" w:hAnsi="宋体" w:cs="宋体"/>
                <w:iCs/>
                <w:color w:val="auto"/>
                <w:kern w:val="0"/>
                <w:sz w:val="24"/>
                <w:szCs w:val="24"/>
              </w:rPr>
            </w:pPr>
          </w:p>
        </w:tc>
        <w:tc>
          <w:tcPr>
            <w:tcW w:w="1369" w:type="dxa"/>
            <w:vMerge w:val="continue"/>
            <w:vAlign w:val="center"/>
          </w:tcPr>
          <w:p>
            <w:pPr>
              <w:widowControl/>
              <w:jc w:val="center"/>
              <w:rPr>
                <w:rFonts w:ascii="宋体" w:hAnsi="宋体" w:cs="宋体"/>
                <w:bCs/>
                <w:color w:val="auto"/>
                <w:sz w:val="24"/>
                <w:szCs w:val="24"/>
              </w:rPr>
            </w:pPr>
          </w:p>
        </w:tc>
        <w:tc>
          <w:tcPr>
            <w:tcW w:w="1329" w:type="dxa"/>
            <w:vAlign w:val="center"/>
          </w:tcPr>
          <w:p>
            <w:pPr>
              <w:widowControl/>
              <w:jc w:val="center"/>
              <w:rPr>
                <w:rFonts w:ascii="宋体" w:hAnsi="宋体" w:cs="宋体"/>
                <w:bCs/>
                <w:color w:val="auto"/>
                <w:sz w:val="24"/>
                <w:szCs w:val="24"/>
              </w:rPr>
            </w:pPr>
            <w:r>
              <w:rPr>
                <w:rFonts w:hint="eastAsia" w:ascii="宋体" w:hAnsi="宋体" w:cs="宋体"/>
                <w:color w:val="auto"/>
                <w:sz w:val="24"/>
                <w:szCs w:val="24"/>
              </w:rPr>
              <w:t>1</w:t>
            </w:r>
            <w:r>
              <w:rPr>
                <w:rFonts w:ascii="宋体" w:hAnsi="宋体" w:cs="宋体"/>
                <w:color w:val="auto"/>
                <w:sz w:val="24"/>
                <w:szCs w:val="24"/>
              </w:rPr>
              <w:t>00</w:t>
            </w:r>
            <w:r>
              <w:rPr>
                <w:rFonts w:hint="eastAsia" w:ascii="宋体" w:hAnsi="宋体" w:cs="宋体"/>
                <w:color w:val="auto"/>
                <w:sz w:val="24"/>
                <w:szCs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0" w:type="auto"/>
            <w:vAlign w:val="center"/>
          </w:tcPr>
          <w:p>
            <w:pPr>
              <w:widowControl/>
              <w:jc w:val="center"/>
              <w:rPr>
                <w:rFonts w:ascii="宋体" w:hAnsi="宋体" w:cs="宋体"/>
                <w:iCs/>
                <w:color w:val="auto"/>
                <w:kern w:val="0"/>
                <w:sz w:val="24"/>
                <w:szCs w:val="24"/>
              </w:rPr>
            </w:pPr>
            <w:r>
              <w:rPr>
                <w:rFonts w:hint="eastAsia" w:ascii="宋体" w:hAnsi="宋体" w:cs="宋体"/>
                <w:iCs/>
                <w:color w:val="auto"/>
                <w:kern w:val="0"/>
                <w:sz w:val="24"/>
                <w:szCs w:val="24"/>
              </w:rPr>
              <w:t>10</w:t>
            </w:r>
          </w:p>
        </w:tc>
        <w:tc>
          <w:tcPr>
            <w:tcW w:w="908" w:type="dxa"/>
            <w:vMerge w:val="continue"/>
            <w:vAlign w:val="center"/>
          </w:tcPr>
          <w:p>
            <w:pPr>
              <w:widowControl/>
              <w:jc w:val="center"/>
              <w:rPr>
                <w:rFonts w:ascii="宋体" w:hAnsi="宋体" w:cs="宋体"/>
                <w:iCs/>
                <w:color w:val="auto"/>
                <w:kern w:val="0"/>
                <w:sz w:val="24"/>
                <w:szCs w:val="24"/>
              </w:rPr>
            </w:pPr>
          </w:p>
        </w:tc>
        <w:tc>
          <w:tcPr>
            <w:tcW w:w="1818" w:type="dxa"/>
            <w:vAlign w:val="center"/>
          </w:tcPr>
          <w:p>
            <w:pPr>
              <w:widowControl/>
              <w:jc w:val="center"/>
              <w:rPr>
                <w:rFonts w:hint="eastAsia" w:ascii="宋体" w:hAnsi="宋体" w:eastAsia="宋体" w:cs="宋体"/>
                <w:bCs/>
                <w:color w:val="auto"/>
                <w:sz w:val="24"/>
                <w:szCs w:val="24"/>
                <w:lang w:val="en-US" w:eastAsia="zh-CN"/>
              </w:rPr>
            </w:pPr>
            <w:r>
              <w:rPr>
                <w:rFonts w:ascii="宋体" w:hAnsi="宋体" w:cs="宋体"/>
                <w:color w:val="auto"/>
                <w:sz w:val="24"/>
                <w:szCs w:val="24"/>
              </w:rPr>
              <w:t>步入式高低温湿热试验箱</w:t>
            </w:r>
            <w:r>
              <w:rPr>
                <w:rFonts w:hint="eastAsia" w:ascii="宋体" w:hAnsi="宋体" w:cs="宋体"/>
                <w:color w:val="auto"/>
                <w:sz w:val="24"/>
                <w:szCs w:val="24"/>
                <w:lang w:val="en-US" w:eastAsia="zh-CN"/>
              </w:rPr>
              <w:t>2</w:t>
            </w:r>
          </w:p>
        </w:tc>
        <w:tc>
          <w:tcPr>
            <w:tcW w:w="1518" w:type="dxa"/>
            <w:vMerge w:val="continue"/>
            <w:vAlign w:val="center"/>
          </w:tcPr>
          <w:p>
            <w:pPr>
              <w:widowControl/>
              <w:jc w:val="center"/>
              <w:rPr>
                <w:rFonts w:ascii="宋体" w:hAnsi="宋体"/>
                <w:bCs/>
                <w:color w:val="auto"/>
                <w:sz w:val="24"/>
                <w:szCs w:val="24"/>
              </w:rPr>
            </w:pPr>
          </w:p>
        </w:tc>
        <w:tc>
          <w:tcPr>
            <w:tcW w:w="1857" w:type="dxa"/>
            <w:vMerge w:val="continue"/>
            <w:vAlign w:val="center"/>
          </w:tcPr>
          <w:p>
            <w:pPr>
              <w:widowControl/>
              <w:jc w:val="center"/>
              <w:rPr>
                <w:rFonts w:ascii="宋体" w:hAnsi="宋体" w:cs="宋体"/>
                <w:iCs/>
                <w:color w:val="auto"/>
                <w:kern w:val="0"/>
                <w:sz w:val="24"/>
                <w:szCs w:val="24"/>
              </w:rPr>
            </w:pPr>
          </w:p>
        </w:tc>
        <w:tc>
          <w:tcPr>
            <w:tcW w:w="1369" w:type="dxa"/>
            <w:vMerge w:val="continue"/>
            <w:vAlign w:val="center"/>
          </w:tcPr>
          <w:p>
            <w:pPr>
              <w:widowControl/>
              <w:jc w:val="center"/>
              <w:rPr>
                <w:rFonts w:ascii="宋体" w:hAnsi="宋体" w:cs="宋体"/>
                <w:bCs/>
                <w:color w:val="auto"/>
                <w:sz w:val="24"/>
                <w:szCs w:val="24"/>
              </w:rPr>
            </w:pPr>
          </w:p>
        </w:tc>
        <w:tc>
          <w:tcPr>
            <w:tcW w:w="1329" w:type="dxa"/>
            <w:vAlign w:val="center"/>
          </w:tcPr>
          <w:p>
            <w:pPr>
              <w:widowControl/>
              <w:jc w:val="center"/>
              <w:rPr>
                <w:rFonts w:ascii="宋体" w:hAnsi="宋体" w:cs="宋体"/>
                <w:bCs/>
                <w:color w:val="auto"/>
                <w:sz w:val="24"/>
                <w:szCs w:val="24"/>
              </w:rPr>
            </w:pPr>
            <w:r>
              <w:rPr>
                <w:rFonts w:hint="eastAsia" w:ascii="宋体" w:hAnsi="宋体" w:cs="宋体"/>
                <w:color w:val="auto"/>
                <w:sz w:val="24"/>
                <w:szCs w:val="24"/>
              </w:rPr>
              <w:t>1</w:t>
            </w:r>
            <w:r>
              <w:rPr>
                <w:rFonts w:ascii="宋体" w:hAnsi="宋体" w:cs="宋体"/>
                <w:color w:val="auto"/>
                <w:sz w:val="24"/>
                <w:szCs w:val="24"/>
              </w:rPr>
              <w:t>24</w:t>
            </w:r>
            <w:r>
              <w:rPr>
                <w:rFonts w:hint="eastAsia" w:ascii="宋体" w:hAnsi="宋体" w:cs="宋体"/>
                <w:color w:val="auto"/>
                <w:sz w:val="24"/>
                <w:szCs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0" w:type="auto"/>
            <w:vAlign w:val="center"/>
          </w:tcPr>
          <w:p>
            <w:pPr>
              <w:widowControl/>
              <w:jc w:val="center"/>
              <w:rPr>
                <w:rFonts w:ascii="宋体" w:hAnsi="宋体" w:cs="宋体"/>
                <w:iCs/>
                <w:color w:val="auto"/>
                <w:kern w:val="0"/>
                <w:sz w:val="24"/>
                <w:szCs w:val="24"/>
              </w:rPr>
            </w:pPr>
            <w:r>
              <w:rPr>
                <w:rFonts w:hint="eastAsia" w:ascii="宋体" w:hAnsi="宋体" w:cs="宋体"/>
                <w:iCs/>
                <w:color w:val="auto"/>
                <w:kern w:val="0"/>
                <w:sz w:val="24"/>
                <w:szCs w:val="24"/>
              </w:rPr>
              <w:t>11</w:t>
            </w:r>
          </w:p>
        </w:tc>
        <w:tc>
          <w:tcPr>
            <w:tcW w:w="908" w:type="dxa"/>
            <w:vMerge w:val="continue"/>
            <w:vAlign w:val="center"/>
          </w:tcPr>
          <w:p>
            <w:pPr>
              <w:widowControl/>
              <w:jc w:val="center"/>
              <w:rPr>
                <w:rFonts w:ascii="宋体" w:hAnsi="宋体" w:cs="宋体"/>
                <w:iCs/>
                <w:color w:val="auto"/>
                <w:kern w:val="0"/>
                <w:sz w:val="24"/>
                <w:szCs w:val="24"/>
              </w:rPr>
            </w:pPr>
          </w:p>
        </w:tc>
        <w:tc>
          <w:tcPr>
            <w:tcW w:w="1818" w:type="dxa"/>
            <w:vAlign w:val="center"/>
          </w:tcPr>
          <w:p>
            <w:pPr>
              <w:widowControl/>
              <w:jc w:val="center"/>
              <w:rPr>
                <w:rFonts w:hint="eastAsia" w:ascii="宋体" w:hAnsi="宋体" w:eastAsia="宋体" w:cs="宋体"/>
                <w:color w:val="auto"/>
                <w:sz w:val="24"/>
                <w:szCs w:val="24"/>
                <w:lang w:val="en-US" w:eastAsia="zh-CN"/>
              </w:rPr>
            </w:pPr>
            <w:r>
              <w:rPr>
                <w:rFonts w:ascii="宋体" w:hAnsi="宋体" w:cs="宋体"/>
                <w:color w:val="auto"/>
                <w:sz w:val="24"/>
                <w:szCs w:val="24"/>
              </w:rPr>
              <w:t>步入式高低温湿热试验箱</w:t>
            </w:r>
            <w:r>
              <w:rPr>
                <w:rFonts w:hint="eastAsia" w:ascii="宋体" w:hAnsi="宋体" w:cs="宋体"/>
                <w:color w:val="auto"/>
                <w:sz w:val="24"/>
                <w:szCs w:val="24"/>
                <w:lang w:val="en-US" w:eastAsia="zh-CN"/>
              </w:rPr>
              <w:t>3</w:t>
            </w:r>
          </w:p>
        </w:tc>
        <w:tc>
          <w:tcPr>
            <w:tcW w:w="1518" w:type="dxa"/>
            <w:vMerge w:val="continue"/>
            <w:vAlign w:val="center"/>
          </w:tcPr>
          <w:p>
            <w:pPr>
              <w:widowControl/>
              <w:jc w:val="center"/>
              <w:rPr>
                <w:rFonts w:ascii="宋体" w:hAnsi="宋体"/>
                <w:bCs/>
                <w:color w:val="auto"/>
                <w:sz w:val="24"/>
                <w:szCs w:val="24"/>
              </w:rPr>
            </w:pPr>
          </w:p>
        </w:tc>
        <w:tc>
          <w:tcPr>
            <w:tcW w:w="1857" w:type="dxa"/>
            <w:vMerge w:val="continue"/>
            <w:vAlign w:val="center"/>
          </w:tcPr>
          <w:p>
            <w:pPr>
              <w:widowControl/>
              <w:jc w:val="center"/>
              <w:rPr>
                <w:rFonts w:ascii="宋体" w:hAnsi="宋体" w:cs="宋体"/>
                <w:iCs/>
                <w:color w:val="auto"/>
                <w:kern w:val="0"/>
                <w:sz w:val="24"/>
                <w:szCs w:val="24"/>
              </w:rPr>
            </w:pPr>
          </w:p>
        </w:tc>
        <w:tc>
          <w:tcPr>
            <w:tcW w:w="1369" w:type="dxa"/>
            <w:vMerge w:val="continue"/>
            <w:vAlign w:val="center"/>
          </w:tcPr>
          <w:p>
            <w:pPr>
              <w:widowControl/>
              <w:jc w:val="center"/>
              <w:rPr>
                <w:rFonts w:ascii="宋体" w:hAnsi="宋体" w:cs="宋体"/>
                <w:bCs/>
                <w:color w:val="auto"/>
                <w:sz w:val="24"/>
                <w:szCs w:val="24"/>
              </w:rPr>
            </w:pPr>
          </w:p>
        </w:tc>
        <w:tc>
          <w:tcPr>
            <w:tcW w:w="1329" w:type="dxa"/>
            <w:vAlign w:val="center"/>
          </w:tcPr>
          <w:p>
            <w:pPr>
              <w:widowControl/>
              <w:jc w:val="center"/>
              <w:rPr>
                <w:rFonts w:ascii="宋体" w:hAnsi="宋体" w:cs="宋体"/>
                <w:color w:val="auto"/>
                <w:sz w:val="24"/>
                <w:szCs w:val="24"/>
              </w:rPr>
            </w:pPr>
            <w:r>
              <w:rPr>
                <w:rFonts w:hint="eastAsia" w:ascii="宋体" w:hAnsi="宋体" w:cs="宋体"/>
                <w:color w:val="auto"/>
                <w:sz w:val="24"/>
                <w:szCs w:val="24"/>
              </w:rPr>
              <w:t>1</w:t>
            </w:r>
            <w:r>
              <w:rPr>
                <w:rFonts w:ascii="宋体" w:hAnsi="宋体" w:cs="宋体"/>
                <w:color w:val="auto"/>
                <w:sz w:val="24"/>
                <w:szCs w:val="24"/>
              </w:rPr>
              <w:t>40</w:t>
            </w:r>
            <w:r>
              <w:rPr>
                <w:rFonts w:hint="eastAsia" w:ascii="宋体" w:hAnsi="宋体" w:cs="宋体"/>
                <w:color w:val="auto"/>
                <w:sz w:val="24"/>
                <w:szCs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0" w:type="auto"/>
            <w:vAlign w:val="center"/>
          </w:tcPr>
          <w:p>
            <w:pPr>
              <w:widowControl/>
              <w:jc w:val="center"/>
              <w:rPr>
                <w:rFonts w:ascii="宋体" w:hAnsi="宋体" w:cs="宋体"/>
                <w:iCs/>
                <w:color w:val="auto"/>
                <w:kern w:val="0"/>
                <w:sz w:val="24"/>
                <w:szCs w:val="24"/>
              </w:rPr>
            </w:pPr>
            <w:r>
              <w:rPr>
                <w:rFonts w:hint="eastAsia" w:ascii="宋体" w:hAnsi="宋体" w:cs="宋体"/>
                <w:iCs/>
                <w:color w:val="auto"/>
                <w:kern w:val="0"/>
                <w:sz w:val="24"/>
                <w:szCs w:val="24"/>
              </w:rPr>
              <w:t>12</w:t>
            </w:r>
          </w:p>
        </w:tc>
        <w:tc>
          <w:tcPr>
            <w:tcW w:w="908" w:type="dxa"/>
            <w:vMerge w:val="continue"/>
            <w:vAlign w:val="center"/>
          </w:tcPr>
          <w:p>
            <w:pPr>
              <w:widowControl/>
              <w:jc w:val="center"/>
              <w:rPr>
                <w:rFonts w:ascii="宋体" w:hAnsi="宋体" w:cs="宋体"/>
                <w:iCs/>
                <w:color w:val="auto"/>
                <w:kern w:val="0"/>
                <w:sz w:val="24"/>
                <w:szCs w:val="24"/>
              </w:rPr>
            </w:pPr>
          </w:p>
        </w:tc>
        <w:tc>
          <w:tcPr>
            <w:tcW w:w="1818" w:type="dxa"/>
            <w:vAlign w:val="center"/>
          </w:tcPr>
          <w:p>
            <w:pPr>
              <w:widowControl/>
              <w:jc w:val="center"/>
              <w:rPr>
                <w:rFonts w:hint="eastAsia" w:ascii="宋体" w:hAnsi="宋体" w:eastAsia="宋体" w:cs="宋体"/>
                <w:color w:val="auto"/>
                <w:sz w:val="24"/>
                <w:szCs w:val="24"/>
                <w:lang w:val="en-US" w:eastAsia="zh-CN"/>
              </w:rPr>
            </w:pPr>
            <w:r>
              <w:rPr>
                <w:rFonts w:hint="eastAsia" w:ascii="宋体" w:hAnsi="宋体" w:cs="宋体"/>
                <w:color w:val="auto"/>
                <w:sz w:val="24"/>
                <w:szCs w:val="24"/>
                <w:lang w:eastAsia="zh-CN"/>
              </w:rPr>
              <w:t>温度/湿度/振动综合环境试验箱</w:t>
            </w:r>
            <w:r>
              <w:rPr>
                <w:rFonts w:hint="eastAsia" w:ascii="宋体" w:hAnsi="宋体" w:cs="宋体"/>
                <w:color w:val="auto"/>
                <w:sz w:val="24"/>
                <w:szCs w:val="24"/>
                <w:lang w:val="en-US" w:eastAsia="zh-CN"/>
              </w:rPr>
              <w:t>1</w:t>
            </w:r>
          </w:p>
        </w:tc>
        <w:tc>
          <w:tcPr>
            <w:tcW w:w="1518" w:type="dxa"/>
            <w:vMerge w:val="continue"/>
            <w:vAlign w:val="center"/>
          </w:tcPr>
          <w:p>
            <w:pPr>
              <w:widowControl/>
              <w:jc w:val="center"/>
              <w:rPr>
                <w:rFonts w:ascii="宋体" w:hAnsi="宋体"/>
                <w:bCs/>
                <w:color w:val="auto"/>
                <w:sz w:val="24"/>
                <w:szCs w:val="24"/>
              </w:rPr>
            </w:pPr>
          </w:p>
        </w:tc>
        <w:tc>
          <w:tcPr>
            <w:tcW w:w="1857" w:type="dxa"/>
            <w:vMerge w:val="continue"/>
            <w:vAlign w:val="center"/>
          </w:tcPr>
          <w:p>
            <w:pPr>
              <w:widowControl/>
              <w:jc w:val="center"/>
              <w:rPr>
                <w:rFonts w:ascii="宋体" w:hAnsi="宋体" w:cs="宋体"/>
                <w:iCs/>
                <w:color w:val="auto"/>
                <w:kern w:val="0"/>
                <w:sz w:val="24"/>
                <w:szCs w:val="24"/>
              </w:rPr>
            </w:pPr>
          </w:p>
        </w:tc>
        <w:tc>
          <w:tcPr>
            <w:tcW w:w="1369" w:type="dxa"/>
            <w:vMerge w:val="continue"/>
            <w:vAlign w:val="center"/>
          </w:tcPr>
          <w:p>
            <w:pPr>
              <w:widowControl/>
              <w:jc w:val="center"/>
              <w:rPr>
                <w:rFonts w:ascii="宋体" w:hAnsi="宋体" w:cs="宋体"/>
                <w:bCs/>
                <w:color w:val="auto"/>
                <w:sz w:val="24"/>
                <w:szCs w:val="24"/>
              </w:rPr>
            </w:pPr>
          </w:p>
        </w:tc>
        <w:tc>
          <w:tcPr>
            <w:tcW w:w="1329" w:type="dxa"/>
            <w:vAlign w:val="center"/>
          </w:tcPr>
          <w:p>
            <w:pPr>
              <w:widowControl/>
              <w:jc w:val="center"/>
              <w:rPr>
                <w:rFonts w:ascii="宋体" w:hAnsi="宋体" w:cs="宋体"/>
                <w:color w:val="auto"/>
                <w:sz w:val="24"/>
                <w:szCs w:val="24"/>
              </w:rPr>
            </w:pPr>
            <w:r>
              <w:rPr>
                <w:rFonts w:hint="eastAsia" w:ascii="宋体" w:hAnsi="宋体" w:cs="宋体"/>
                <w:color w:val="auto"/>
                <w:sz w:val="24"/>
                <w:szCs w:val="24"/>
              </w:rPr>
              <w:t>1</w:t>
            </w:r>
            <w:r>
              <w:rPr>
                <w:rFonts w:ascii="宋体" w:hAnsi="宋体" w:cs="宋体"/>
                <w:color w:val="auto"/>
                <w:sz w:val="24"/>
                <w:szCs w:val="24"/>
              </w:rPr>
              <w:t>28</w:t>
            </w:r>
            <w:r>
              <w:rPr>
                <w:rFonts w:hint="eastAsia" w:ascii="宋体" w:hAnsi="宋体" w:cs="宋体"/>
                <w:color w:val="auto"/>
                <w:sz w:val="24"/>
                <w:szCs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0" w:type="auto"/>
            <w:vAlign w:val="center"/>
          </w:tcPr>
          <w:p>
            <w:pPr>
              <w:widowControl/>
              <w:jc w:val="center"/>
              <w:rPr>
                <w:rFonts w:ascii="宋体" w:hAnsi="宋体" w:cs="宋体"/>
                <w:iCs/>
                <w:color w:val="auto"/>
                <w:kern w:val="0"/>
                <w:sz w:val="24"/>
                <w:szCs w:val="24"/>
              </w:rPr>
            </w:pPr>
            <w:r>
              <w:rPr>
                <w:rFonts w:hint="eastAsia" w:ascii="宋体" w:hAnsi="宋体" w:cs="宋体"/>
                <w:iCs/>
                <w:color w:val="auto"/>
                <w:kern w:val="0"/>
                <w:sz w:val="24"/>
                <w:szCs w:val="24"/>
              </w:rPr>
              <w:t>13</w:t>
            </w:r>
          </w:p>
        </w:tc>
        <w:tc>
          <w:tcPr>
            <w:tcW w:w="908" w:type="dxa"/>
            <w:vMerge w:val="continue"/>
            <w:vAlign w:val="center"/>
          </w:tcPr>
          <w:p>
            <w:pPr>
              <w:widowControl/>
              <w:jc w:val="center"/>
              <w:rPr>
                <w:rFonts w:ascii="宋体" w:hAnsi="宋体" w:cs="宋体"/>
                <w:iCs/>
                <w:color w:val="auto"/>
                <w:kern w:val="0"/>
                <w:sz w:val="24"/>
                <w:szCs w:val="24"/>
              </w:rPr>
            </w:pPr>
          </w:p>
        </w:tc>
        <w:tc>
          <w:tcPr>
            <w:tcW w:w="1818" w:type="dxa"/>
            <w:vAlign w:val="center"/>
          </w:tcPr>
          <w:p>
            <w:pPr>
              <w:widowControl/>
              <w:jc w:val="center"/>
              <w:rPr>
                <w:rFonts w:hint="eastAsia" w:ascii="宋体" w:hAnsi="宋体" w:eastAsia="宋体" w:cs="宋体"/>
                <w:color w:val="auto"/>
                <w:sz w:val="24"/>
                <w:szCs w:val="24"/>
                <w:lang w:val="en-US" w:eastAsia="zh-CN"/>
              </w:rPr>
            </w:pPr>
            <w:r>
              <w:rPr>
                <w:rFonts w:hint="eastAsia" w:ascii="宋体" w:hAnsi="宋体" w:cs="宋体"/>
                <w:color w:val="auto"/>
                <w:sz w:val="24"/>
                <w:szCs w:val="24"/>
                <w:lang w:eastAsia="zh-CN"/>
              </w:rPr>
              <w:t>温度/湿度/振动综合环境试验箱</w:t>
            </w:r>
            <w:r>
              <w:rPr>
                <w:rFonts w:hint="eastAsia" w:ascii="宋体" w:hAnsi="宋体" w:cs="宋体"/>
                <w:color w:val="auto"/>
                <w:sz w:val="24"/>
                <w:szCs w:val="24"/>
                <w:lang w:val="en-US" w:eastAsia="zh-CN"/>
              </w:rPr>
              <w:t>2</w:t>
            </w:r>
          </w:p>
        </w:tc>
        <w:tc>
          <w:tcPr>
            <w:tcW w:w="1518" w:type="dxa"/>
            <w:vMerge w:val="continue"/>
            <w:vAlign w:val="center"/>
          </w:tcPr>
          <w:p>
            <w:pPr>
              <w:widowControl/>
              <w:jc w:val="center"/>
              <w:rPr>
                <w:rFonts w:ascii="宋体" w:hAnsi="宋体"/>
                <w:bCs/>
                <w:color w:val="auto"/>
                <w:sz w:val="24"/>
                <w:szCs w:val="24"/>
              </w:rPr>
            </w:pPr>
          </w:p>
        </w:tc>
        <w:tc>
          <w:tcPr>
            <w:tcW w:w="1857" w:type="dxa"/>
            <w:vMerge w:val="continue"/>
            <w:vAlign w:val="center"/>
          </w:tcPr>
          <w:p>
            <w:pPr>
              <w:widowControl/>
              <w:jc w:val="center"/>
              <w:rPr>
                <w:rFonts w:ascii="宋体" w:hAnsi="宋体" w:cs="宋体"/>
                <w:iCs/>
                <w:color w:val="auto"/>
                <w:kern w:val="0"/>
                <w:sz w:val="24"/>
                <w:szCs w:val="24"/>
              </w:rPr>
            </w:pPr>
          </w:p>
        </w:tc>
        <w:tc>
          <w:tcPr>
            <w:tcW w:w="1369" w:type="dxa"/>
            <w:vMerge w:val="continue"/>
            <w:vAlign w:val="center"/>
          </w:tcPr>
          <w:p>
            <w:pPr>
              <w:widowControl/>
              <w:jc w:val="center"/>
              <w:rPr>
                <w:rFonts w:ascii="宋体" w:hAnsi="宋体" w:cs="宋体"/>
                <w:bCs/>
                <w:color w:val="auto"/>
                <w:sz w:val="24"/>
                <w:szCs w:val="24"/>
              </w:rPr>
            </w:pPr>
          </w:p>
        </w:tc>
        <w:tc>
          <w:tcPr>
            <w:tcW w:w="1329" w:type="dxa"/>
            <w:vAlign w:val="center"/>
          </w:tcPr>
          <w:p>
            <w:pPr>
              <w:widowControl/>
              <w:jc w:val="center"/>
              <w:rPr>
                <w:rFonts w:ascii="宋体" w:hAnsi="宋体" w:cs="宋体"/>
                <w:color w:val="auto"/>
                <w:sz w:val="24"/>
                <w:szCs w:val="24"/>
              </w:rPr>
            </w:pPr>
            <w:r>
              <w:rPr>
                <w:rFonts w:ascii="宋体" w:hAnsi="宋体" w:cs="宋体"/>
                <w:color w:val="auto"/>
                <w:sz w:val="24"/>
                <w:szCs w:val="24"/>
              </w:rPr>
              <w:t>252</w:t>
            </w:r>
            <w:r>
              <w:rPr>
                <w:rFonts w:hint="eastAsia" w:ascii="宋体" w:hAnsi="宋体" w:cs="宋体"/>
                <w:color w:val="auto"/>
                <w:sz w:val="24"/>
                <w:szCs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0" w:type="auto"/>
            <w:vAlign w:val="center"/>
          </w:tcPr>
          <w:p>
            <w:pPr>
              <w:widowControl/>
              <w:jc w:val="center"/>
              <w:rPr>
                <w:rFonts w:ascii="宋体" w:hAnsi="宋体" w:cs="宋体"/>
                <w:iCs/>
                <w:color w:val="auto"/>
                <w:kern w:val="0"/>
                <w:sz w:val="24"/>
                <w:szCs w:val="24"/>
              </w:rPr>
            </w:pPr>
            <w:r>
              <w:rPr>
                <w:rFonts w:hint="eastAsia" w:ascii="宋体" w:hAnsi="宋体" w:cs="宋体"/>
                <w:iCs/>
                <w:color w:val="auto"/>
                <w:kern w:val="0"/>
                <w:sz w:val="24"/>
                <w:szCs w:val="24"/>
              </w:rPr>
              <w:t>14</w:t>
            </w:r>
          </w:p>
        </w:tc>
        <w:tc>
          <w:tcPr>
            <w:tcW w:w="908" w:type="dxa"/>
            <w:vMerge w:val="continue"/>
            <w:vAlign w:val="center"/>
          </w:tcPr>
          <w:p>
            <w:pPr>
              <w:widowControl/>
              <w:jc w:val="center"/>
              <w:rPr>
                <w:rFonts w:ascii="宋体" w:hAnsi="宋体" w:cs="宋体"/>
                <w:iCs/>
                <w:color w:val="auto"/>
                <w:kern w:val="0"/>
                <w:sz w:val="24"/>
                <w:szCs w:val="24"/>
              </w:rPr>
            </w:pPr>
          </w:p>
        </w:tc>
        <w:tc>
          <w:tcPr>
            <w:tcW w:w="1818" w:type="dxa"/>
            <w:vAlign w:val="center"/>
          </w:tcPr>
          <w:p>
            <w:pPr>
              <w:widowControl/>
              <w:jc w:val="center"/>
              <w:rPr>
                <w:rFonts w:hint="eastAsia" w:ascii="宋体" w:hAnsi="宋体" w:eastAsia="宋体" w:cs="宋体"/>
                <w:color w:val="auto"/>
                <w:sz w:val="24"/>
                <w:szCs w:val="24"/>
                <w:lang w:val="en-US" w:eastAsia="zh-CN"/>
              </w:rPr>
            </w:pPr>
            <w:r>
              <w:rPr>
                <w:rFonts w:ascii="宋体" w:hAnsi="宋体" w:cs="宋体"/>
                <w:color w:val="auto"/>
                <w:sz w:val="24"/>
                <w:szCs w:val="24"/>
              </w:rPr>
              <w:t>高低温冲击试验箱</w:t>
            </w:r>
            <w:r>
              <w:rPr>
                <w:rFonts w:hint="eastAsia" w:ascii="宋体" w:hAnsi="宋体" w:cs="宋体"/>
                <w:color w:val="auto"/>
                <w:sz w:val="24"/>
                <w:szCs w:val="24"/>
                <w:lang w:val="en-US" w:eastAsia="zh-CN"/>
              </w:rPr>
              <w:t>5</w:t>
            </w:r>
          </w:p>
        </w:tc>
        <w:tc>
          <w:tcPr>
            <w:tcW w:w="1518" w:type="dxa"/>
            <w:vMerge w:val="continue"/>
            <w:vAlign w:val="center"/>
          </w:tcPr>
          <w:p>
            <w:pPr>
              <w:widowControl/>
              <w:jc w:val="center"/>
              <w:rPr>
                <w:rFonts w:ascii="宋体" w:hAnsi="宋体"/>
                <w:bCs/>
                <w:color w:val="auto"/>
                <w:sz w:val="24"/>
                <w:szCs w:val="24"/>
              </w:rPr>
            </w:pPr>
          </w:p>
        </w:tc>
        <w:tc>
          <w:tcPr>
            <w:tcW w:w="1857" w:type="dxa"/>
            <w:vMerge w:val="continue"/>
            <w:vAlign w:val="center"/>
          </w:tcPr>
          <w:p>
            <w:pPr>
              <w:widowControl/>
              <w:jc w:val="center"/>
              <w:rPr>
                <w:rFonts w:ascii="宋体" w:hAnsi="宋体" w:cs="宋体"/>
                <w:iCs/>
                <w:color w:val="auto"/>
                <w:kern w:val="0"/>
                <w:sz w:val="24"/>
                <w:szCs w:val="24"/>
              </w:rPr>
            </w:pPr>
          </w:p>
        </w:tc>
        <w:tc>
          <w:tcPr>
            <w:tcW w:w="1369" w:type="dxa"/>
            <w:vMerge w:val="continue"/>
            <w:vAlign w:val="center"/>
          </w:tcPr>
          <w:p>
            <w:pPr>
              <w:widowControl/>
              <w:jc w:val="center"/>
              <w:rPr>
                <w:rFonts w:ascii="宋体" w:hAnsi="宋体" w:cs="宋体"/>
                <w:bCs/>
                <w:color w:val="auto"/>
                <w:sz w:val="24"/>
                <w:szCs w:val="24"/>
              </w:rPr>
            </w:pPr>
          </w:p>
        </w:tc>
        <w:tc>
          <w:tcPr>
            <w:tcW w:w="1329" w:type="dxa"/>
            <w:vAlign w:val="center"/>
          </w:tcPr>
          <w:p>
            <w:pPr>
              <w:widowControl/>
              <w:jc w:val="center"/>
              <w:rPr>
                <w:rFonts w:ascii="宋体" w:hAnsi="宋体" w:cs="宋体"/>
                <w:color w:val="auto"/>
                <w:sz w:val="24"/>
                <w:szCs w:val="24"/>
              </w:rPr>
            </w:pPr>
            <w:r>
              <w:rPr>
                <w:rFonts w:hint="eastAsia" w:ascii="宋体" w:hAnsi="宋体" w:cs="宋体"/>
                <w:color w:val="auto"/>
                <w:sz w:val="24"/>
                <w:szCs w:val="24"/>
              </w:rPr>
              <w:t>6</w:t>
            </w:r>
            <w:r>
              <w:rPr>
                <w:rFonts w:ascii="宋体" w:hAnsi="宋体" w:cs="宋体"/>
                <w:color w:val="auto"/>
                <w:sz w:val="24"/>
                <w:szCs w:val="24"/>
              </w:rPr>
              <w:t>4</w:t>
            </w:r>
            <w:r>
              <w:rPr>
                <w:rFonts w:hint="eastAsia" w:ascii="宋体" w:hAnsi="宋体" w:cs="宋体"/>
                <w:color w:val="auto"/>
                <w:sz w:val="24"/>
                <w:szCs w:val="24"/>
              </w:rPr>
              <w:t>.00</w:t>
            </w:r>
          </w:p>
        </w:tc>
      </w:tr>
    </w:tbl>
    <w:p>
      <w:pPr>
        <w:widowControl/>
        <w:spacing w:line="360" w:lineRule="auto"/>
        <w:ind w:firstLine="560"/>
        <w:jc w:val="left"/>
        <w:rPr>
          <w:rFonts w:ascii="宋体" w:hAnsi="宋体" w:cs="宋体"/>
          <w:i/>
          <w:color w:val="auto"/>
          <w:kern w:val="0"/>
          <w:sz w:val="24"/>
          <w:szCs w:val="24"/>
        </w:rPr>
      </w:pPr>
      <w:r>
        <w:rPr>
          <w:rFonts w:hint="eastAsia" w:ascii="宋体" w:hAnsi="宋体" w:cs="宋体"/>
          <w:i/>
          <w:color w:val="auto"/>
          <w:kern w:val="0"/>
          <w:sz w:val="24"/>
          <w:szCs w:val="24"/>
        </w:rPr>
        <w:t>详细要求请参阅“采购需求”。</w:t>
      </w:r>
    </w:p>
    <w:p>
      <w:pPr>
        <w:spacing w:line="360" w:lineRule="auto"/>
        <w:ind w:firstLine="218" w:firstLineChars="91"/>
        <w:rPr>
          <w:rFonts w:ascii="宋体" w:hAnsi="宋体"/>
          <w:bCs/>
          <w:i/>
          <w:color w:val="auto"/>
          <w:sz w:val="24"/>
          <w:szCs w:val="24"/>
          <w:u w:val="single"/>
        </w:rPr>
      </w:pPr>
      <w:r>
        <w:rPr>
          <w:rFonts w:hint="eastAsia" w:ascii="宋体" w:hAnsi="宋体"/>
          <w:bCs/>
          <w:color w:val="auto"/>
          <w:sz w:val="24"/>
          <w:szCs w:val="24"/>
        </w:rPr>
        <w:t>（六）合同履行期限：</w:t>
      </w:r>
      <w:r>
        <w:rPr>
          <w:rFonts w:hint="eastAsia"/>
          <w:bCs/>
          <w:color w:val="auto"/>
          <w:sz w:val="24"/>
        </w:rPr>
        <w:t>交货期为合同签订后40天内，</w:t>
      </w:r>
      <w:r>
        <w:rPr>
          <w:rFonts w:hint="eastAsia" w:ascii="宋体" w:hAnsi="宋体" w:cs="宋体"/>
          <w:color w:val="auto"/>
          <w:sz w:val="24"/>
        </w:rPr>
        <w:t>保修期为</w:t>
      </w:r>
      <w:r>
        <w:rPr>
          <w:rFonts w:ascii="宋体" w:hAnsi="宋体" w:cs="宋体"/>
          <w:color w:val="auto"/>
          <w:sz w:val="24"/>
        </w:rPr>
        <w:t>3</w:t>
      </w:r>
      <w:r>
        <w:rPr>
          <w:rFonts w:hint="eastAsia" w:ascii="宋体" w:hAnsi="宋体" w:cs="宋体"/>
          <w:color w:val="auto"/>
          <w:sz w:val="24"/>
        </w:rPr>
        <w:t>年。</w:t>
      </w:r>
    </w:p>
    <w:p>
      <w:pPr>
        <w:pStyle w:val="4"/>
        <w:spacing w:before="0" w:after="0" w:line="360" w:lineRule="auto"/>
        <w:rPr>
          <w:rFonts w:ascii="宋体" w:hAnsi="宋体" w:cs="宋体"/>
          <w:color w:val="auto"/>
          <w:sz w:val="24"/>
          <w:szCs w:val="24"/>
        </w:rPr>
      </w:pPr>
      <w:bookmarkStart w:id="11" w:name="_Toc54335349"/>
      <w:bookmarkStart w:id="12" w:name="_Toc35393622"/>
      <w:bookmarkStart w:id="13" w:name="_Toc35393791"/>
      <w:bookmarkStart w:id="14" w:name="_Toc27044"/>
      <w:bookmarkStart w:id="15" w:name="_Toc28359080"/>
      <w:bookmarkStart w:id="16" w:name="_Toc28359003"/>
      <w:r>
        <w:rPr>
          <w:rFonts w:hint="eastAsia" w:ascii="宋体" w:hAnsi="宋体" w:cs="宋体"/>
          <w:color w:val="auto"/>
          <w:sz w:val="24"/>
          <w:szCs w:val="24"/>
        </w:rPr>
        <w:t>二、申请人的资格要求</w:t>
      </w:r>
      <w:bookmarkEnd w:id="11"/>
      <w:bookmarkEnd w:id="12"/>
      <w:bookmarkEnd w:id="13"/>
      <w:bookmarkEnd w:id="14"/>
      <w:bookmarkEnd w:id="15"/>
      <w:bookmarkEnd w:id="16"/>
    </w:p>
    <w:p>
      <w:pPr>
        <w:spacing w:line="360" w:lineRule="auto"/>
        <w:ind w:firstLine="218" w:firstLineChars="91"/>
        <w:rPr>
          <w:rFonts w:ascii="宋体" w:hAnsi="宋体"/>
          <w:b/>
          <w:color w:val="auto"/>
          <w:sz w:val="24"/>
          <w:szCs w:val="24"/>
        </w:rPr>
      </w:pPr>
      <w:bookmarkStart w:id="17" w:name="_Toc28359004"/>
      <w:bookmarkStart w:id="18" w:name="_Toc28359081"/>
      <w:r>
        <w:rPr>
          <w:rFonts w:hint="eastAsia" w:ascii="宋体" w:hAnsi="宋体" w:cs="宋体"/>
          <w:b/>
          <w:color w:val="auto"/>
          <w:sz w:val="24"/>
          <w:szCs w:val="24"/>
        </w:rPr>
        <w:t>（一）</w:t>
      </w:r>
      <w:r>
        <w:rPr>
          <w:rFonts w:hint="eastAsia" w:ascii="宋体" w:hAnsi="宋体"/>
          <w:b/>
          <w:color w:val="auto"/>
          <w:sz w:val="24"/>
          <w:szCs w:val="24"/>
        </w:rPr>
        <w:t>投标供应商应具备《中华人民共和国政府采购法》第二十二条规定的条件，提供下列材料：</w:t>
      </w:r>
    </w:p>
    <w:p>
      <w:pPr>
        <w:widowControl/>
        <w:numPr>
          <w:ilvl w:val="0"/>
          <w:numId w:val="5"/>
        </w:numPr>
        <w:shd w:val="clear" w:color="auto" w:fill="FFFFFF"/>
        <w:spacing w:line="360" w:lineRule="auto"/>
        <w:ind w:left="5" w:firstLine="415"/>
        <w:textAlignment w:val="baseline"/>
        <w:rPr>
          <w:rFonts w:ascii="宋体" w:hAnsi="宋体" w:cs="宋体"/>
          <w:color w:val="auto"/>
          <w:kern w:val="0"/>
          <w:sz w:val="24"/>
          <w:szCs w:val="24"/>
        </w:rPr>
      </w:pPr>
      <w:r>
        <w:rPr>
          <w:rFonts w:hint="eastAsia" w:ascii="宋体" w:hAnsi="宋体" w:cs="宋体"/>
          <w:color w:val="auto"/>
          <w:kern w:val="0"/>
          <w:sz w:val="24"/>
          <w:szCs w:val="24"/>
        </w:rPr>
        <w:t>具有独立承担民事责任的能力：是在中华人民共和国境内注册的法人或其他组织或自然人，投标时提交有效的营业执照（或事业法人登记证或社会团体登记证或民办非企业单位登记证或身份证等相关证明）副本复印件。（</w:t>
      </w:r>
      <w:r>
        <w:rPr>
          <w:rFonts w:hint="eastAsia" w:ascii="宋体" w:hAnsi="宋体"/>
          <w:color w:val="auto"/>
          <w:sz w:val="24"/>
          <w:szCs w:val="24"/>
        </w:rPr>
        <w:t>如国家另有规定的，则从其规定。如供应商为分支机构，须取得具有法人资格的总公司（总所）出具给分支机构的授权书，并提供总公司（总所）和分支机构的营业执照（执业许可证）复印件；已由总公司（总所）授权的，总公司（总所）取得的相关资质证书对分支机构有效，法律法规或者行业另有规定的除外</w:t>
      </w:r>
      <w:r>
        <w:rPr>
          <w:rFonts w:hint="eastAsia" w:ascii="宋体" w:hAnsi="宋体"/>
          <w:color w:val="auto"/>
          <w:sz w:val="24"/>
        </w:rPr>
        <w:t>）</w:t>
      </w:r>
    </w:p>
    <w:p>
      <w:pPr>
        <w:widowControl/>
        <w:numPr>
          <w:ilvl w:val="0"/>
          <w:numId w:val="5"/>
        </w:numPr>
        <w:shd w:val="clear" w:color="auto" w:fill="FFFFFF"/>
        <w:spacing w:line="360" w:lineRule="auto"/>
        <w:ind w:left="5" w:firstLine="415"/>
        <w:textAlignment w:val="baseline"/>
        <w:rPr>
          <w:rFonts w:ascii="宋体" w:hAnsi="宋体" w:cs="宋体"/>
          <w:color w:val="auto"/>
          <w:kern w:val="0"/>
          <w:sz w:val="24"/>
          <w:szCs w:val="24"/>
        </w:rPr>
      </w:pPr>
      <w:r>
        <w:rPr>
          <w:rFonts w:hint="eastAsia" w:ascii="宋体" w:hAnsi="宋体" w:cs="宋体"/>
          <w:color w:val="auto"/>
          <w:kern w:val="0"/>
          <w:sz w:val="24"/>
          <w:szCs w:val="24"/>
        </w:rPr>
        <w:t>具有良好的商业信誉和健全的财务会计制度：提供2020年度或2021年度财务状况报告或基本开户行出具的资信证明，或</w:t>
      </w:r>
      <w:r>
        <w:rPr>
          <w:rFonts w:hint="eastAsia" w:ascii="宋体" w:hAnsi="宋体" w:cs="宋体"/>
          <w:color w:val="auto"/>
          <w:sz w:val="24"/>
          <w:szCs w:val="24"/>
        </w:rPr>
        <w:t>最近一期财务报表（适用在上一年度或本财务年度成立的法人或其他组织）</w:t>
      </w:r>
      <w:r>
        <w:rPr>
          <w:rFonts w:hint="eastAsia" w:ascii="宋体" w:hAnsi="宋体" w:cs="宋体"/>
          <w:color w:val="auto"/>
          <w:kern w:val="0"/>
          <w:sz w:val="24"/>
          <w:szCs w:val="24"/>
        </w:rPr>
        <w:t>，或</w:t>
      </w:r>
      <w:r>
        <w:rPr>
          <w:rFonts w:hint="eastAsia" w:ascii="宋体" w:hAnsi="宋体"/>
          <w:color w:val="auto"/>
          <w:sz w:val="24"/>
          <w:szCs w:val="24"/>
        </w:rPr>
        <w:t>人民银行出具的个人信用报告（适用于自然人）</w:t>
      </w:r>
      <w:r>
        <w:rPr>
          <w:rFonts w:hint="eastAsia" w:ascii="宋体" w:hAnsi="宋体" w:cs="宋体"/>
          <w:color w:val="auto"/>
          <w:kern w:val="0"/>
          <w:sz w:val="24"/>
          <w:szCs w:val="24"/>
        </w:rPr>
        <w:t>。</w:t>
      </w:r>
    </w:p>
    <w:p>
      <w:pPr>
        <w:widowControl/>
        <w:numPr>
          <w:ilvl w:val="0"/>
          <w:numId w:val="5"/>
        </w:numPr>
        <w:shd w:val="clear" w:color="auto" w:fill="FFFFFF"/>
        <w:spacing w:line="360" w:lineRule="auto"/>
        <w:ind w:left="5" w:firstLine="415"/>
        <w:textAlignment w:val="baseline"/>
        <w:rPr>
          <w:rFonts w:ascii="宋体" w:hAnsi="宋体" w:cs="宋体"/>
          <w:color w:val="auto"/>
          <w:kern w:val="0"/>
          <w:sz w:val="24"/>
          <w:szCs w:val="24"/>
        </w:rPr>
      </w:pPr>
      <w:r>
        <w:rPr>
          <w:rFonts w:hint="eastAsia" w:ascii="宋体" w:hAnsi="宋体" w:cs="宋体"/>
          <w:color w:val="auto"/>
          <w:kern w:val="0"/>
          <w:sz w:val="24"/>
          <w:szCs w:val="24"/>
        </w:rPr>
        <w:t>有依法缴纳税收和社会保障资金的良好记录：提供投标截止日前6个月内任意1个月依法缴纳税收和社会保障资金的相关材料。如依法免税或不需要缴纳社会保障资金的，提供相应证明材料。</w:t>
      </w:r>
    </w:p>
    <w:p>
      <w:pPr>
        <w:widowControl/>
        <w:numPr>
          <w:ilvl w:val="0"/>
          <w:numId w:val="5"/>
        </w:numPr>
        <w:shd w:val="clear" w:color="auto" w:fill="FFFFFF"/>
        <w:spacing w:line="360" w:lineRule="auto"/>
        <w:ind w:left="5" w:firstLine="415"/>
        <w:textAlignment w:val="baseline"/>
        <w:rPr>
          <w:rFonts w:ascii="宋体" w:hAnsi="宋体" w:cs="宋体"/>
          <w:color w:val="auto"/>
          <w:kern w:val="0"/>
          <w:sz w:val="24"/>
          <w:szCs w:val="24"/>
        </w:rPr>
      </w:pPr>
      <w:r>
        <w:rPr>
          <w:rFonts w:hint="eastAsia" w:ascii="宋体" w:hAnsi="宋体" w:cs="宋体"/>
          <w:color w:val="auto"/>
          <w:kern w:val="0"/>
          <w:sz w:val="24"/>
          <w:szCs w:val="24"/>
        </w:rPr>
        <w:t>具有履行合同所必须的设备和专业技术能力：按投标文件格式填报设备及专业技术能力情况或提供《供应商资格声明函》。</w:t>
      </w:r>
    </w:p>
    <w:p>
      <w:pPr>
        <w:widowControl/>
        <w:numPr>
          <w:ilvl w:val="0"/>
          <w:numId w:val="5"/>
        </w:numPr>
        <w:shd w:val="clear" w:color="auto" w:fill="FFFFFF"/>
        <w:spacing w:line="360" w:lineRule="auto"/>
        <w:ind w:left="5" w:firstLine="415"/>
        <w:textAlignment w:val="baseline"/>
        <w:rPr>
          <w:rFonts w:ascii="宋体" w:hAnsi="宋体" w:cs="宋体"/>
          <w:color w:val="auto"/>
          <w:kern w:val="0"/>
          <w:sz w:val="24"/>
          <w:szCs w:val="24"/>
        </w:rPr>
      </w:pPr>
      <w:r>
        <w:rPr>
          <w:rFonts w:hint="eastAsia" w:ascii="宋体" w:hAnsi="宋体" w:cs="宋体"/>
          <w:color w:val="auto"/>
          <w:kern w:val="0"/>
          <w:sz w:val="24"/>
          <w:szCs w:val="24"/>
        </w:rPr>
        <w:t>参加采购活动前三年内，在经营活动中没有重大违法记录：提供《供应商资格声明函》。重大违法记录，是指供应商因违法经营受到刑事处罚或者责令停产停业、吊销许可证或者执照、较大数额罚款等行政处罚。（较大数额罚款按照《财政部关于&lt;中华人民共和国政府采购法实施条例&gt;第十九条第一款 “较大数额罚款”具体适用问题的意见 》（财库〔2022〕3 号）执行）</w:t>
      </w:r>
    </w:p>
    <w:p>
      <w:pPr>
        <w:widowControl/>
        <w:numPr>
          <w:ilvl w:val="0"/>
          <w:numId w:val="5"/>
        </w:numPr>
        <w:shd w:val="clear" w:color="auto" w:fill="FFFFFF"/>
        <w:spacing w:line="360" w:lineRule="auto"/>
        <w:ind w:left="5" w:firstLine="415"/>
        <w:textAlignment w:val="baseline"/>
        <w:rPr>
          <w:rFonts w:ascii="宋体" w:hAnsi="宋体" w:cs="宋体"/>
          <w:color w:val="auto"/>
          <w:kern w:val="0"/>
          <w:sz w:val="24"/>
          <w:szCs w:val="24"/>
        </w:rPr>
      </w:pPr>
      <w:r>
        <w:rPr>
          <w:rFonts w:hint="eastAsia" w:ascii="宋体" w:hAnsi="宋体" w:cs="宋体"/>
          <w:color w:val="auto"/>
          <w:kern w:val="0"/>
          <w:sz w:val="24"/>
          <w:szCs w:val="24"/>
        </w:rPr>
        <w:t>信用记录：供应商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以采购代理机构于投标截止时间当天在“信用中国”网站（www.creditchina.gov.cn）及中国政府采购网（http://www.ccgp.gov.cn/）查询结果为准，如相关失信记录已失效，供应商需提供相关证明资料）。</w:t>
      </w:r>
    </w:p>
    <w:p>
      <w:pPr>
        <w:widowControl/>
        <w:numPr>
          <w:ilvl w:val="0"/>
          <w:numId w:val="5"/>
        </w:numPr>
        <w:shd w:val="clear" w:color="auto" w:fill="FFFFFF"/>
        <w:spacing w:line="360" w:lineRule="auto"/>
        <w:ind w:left="5" w:firstLine="415"/>
        <w:textAlignment w:val="baseline"/>
        <w:rPr>
          <w:rFonts w:ascii="宋体" w:hAnsi="宋体" w:cs="宋体"/>
          <w:color w:val="auto"/>
          <w:kern w:val="0"/>
          <w:sz w:val="24"/>
          <w:szCs w:val="24"/>
        </w:rPr>
      </w:pPr>
      <w:r>
        <w:rPr>
          <w:rFonts w:hint="eastAsia" w:ascii="宋体" w:hAnsi="宋体" w:cs="宋体"/>
          <w:color w:val="auto"/>
          <w:kern w:val="0"/>
          <w:sz w:val="24"/>
          <w:szCs w:val="24"/>
        </w:rPr>
        <w:t>供应商必须符合法律、行政法规规定的其他条件：单位负责人为同一人或者存在直接控股、管理关系的不同供应商，不得同时参加本采购项目（包组）投标。为本项目提供整体设计、规范编制或者项目管理、监理、检测等服务的供应商，不得再参与本项目投标。</w:t>
      </w:r>
      <w:r>
        <w:rPr>
          <w:rFonts w:hint="eastAsia" w:ascii="宋体" w:hAnsi="宋体"/>
          <w:color w:val="auto"/>
          <w:sz w:val="24"/>
          <w:szCs w:val="24"/>
        </w:rPr>
        <w:t>（提供《供应商资格声明函》</w:t>
      </w:r>
      <w:r>
        <w:rPr>
          <w:rFonts w:hint="eastAsia" w:ascii="宋体" w:hAnsi="宋体" w:cs="宋体"/>
          <w:color w:val="auto"/>
          <w:kern w:val="0"/>
          <w:sz w:val="24"/>
          <w:szCs w:val="24"/>
        </w:rPr>
        <w:t>。</w:t>
      </w:r>
    </w:p>
    <w:p>
      <w:pPr>
        <w:spacing w:line="360" w:lineRule="auto"/>
        <w:ind w:firstLine="480" w:firstLineChars="200"/>
        <w:rPr>
          <w:rFonts w:ascii="宋体" w:hAnsi="宋体"/>
          <w:b/>
          <w:color w:val="auto"/>
          <w:sz w:val="24"/>
          <w:szCs w:val="24"/>
          <w:u w:val="single"/>
        </w:rPr>
      </w:pPr>
      <w:r>
        <w:rPr>
          <w:rFonts w:hint="eastAsia" w:ascii="宋体" w:hAnsi="宋体"/>
          <w:b/>
          <w:color w:val="auto"/>
          <w:sz w:val="24"/>
          <w:szCs w:val="24"/>
        </w:rPr>
        <w:t>（二）.落实政府采购政策需满足的资格要求：</w:t>
      </w:r>
    </w:p>
    <w:p>
      <w:pPr>
        <w:spacing w:line="360" w:lineRule="auto"/>
        <w:ind w:firstLine="480" w:firstLineChars="200"/>
        <w:rPr>
          <w:rFonts w:ascii="宋体" w:hAnsi="宋体"/>
          <w:color w:val="auto"/>
          <w:sz w:val="24"/>
          <w:szCs w:val="24"/>
        </w:rPr>
      </w:pPr>
      <w:r>
        <w:rPr>
          <w:rFonts w:hint="eastAsia" w:ascii="宋体" w:hAnsi="宋体"/>
          <w:color w:val="auto"/>
          <w:sz w:val="24"/>
          <w:szCs w:val="24"/>
        </w:rPr>
        <w:t>无。本项目不属于专门面向中小企业采购的项目,</w:t>
      </w:r>
      <w:r>
        <w:rPr>
          <w:rFonts w:hint="eastAsia" w:hAnsi="宋体"/>
          <w:color w:val="auto"/>
          <w:sz w:val="24"/>
          <w:szCs w:val="24"/>
        </w:rPr>
        <w:t>本项目采购标的对应的中小企业划分标准所属行业为：</w:t>
      </w:r>
      <w:r>
        <w:rPr>
          <w:rFonts w:hint="eastAsia" w:hAnsi="宋体"/>
          <w:i/>
          <w:color w:val="auto"/>
          <w:sz w:val="24"/>
          <w:szCs w:val="24"/>
          <w:u w:val="single"/>
        </w:rPr>
        <w:t xml:space="preserve"> </w:t>
      </w:r>
      <w:r>
        <w:rPr>
          <w:rFonts w:hint="eastAsia" w:hAnsi="宋体"/>
          <w:iCs/>
          <w:color w:val="auto"/>
          <w:sz w:val="24"/>
          <w:szCs w:val="24"/>
          <w:u w:val="single"/>
        </w:rPr>
        <w:t xml:space="preserve">工业 </w:t>
      </w:r>
      <w:r>
        <w:rPr>
          <w:rFonts w:hint="eastAsia" w:hAnsi="宋体"/>
          <w:iCs/>
          <w:color w:val="auto"/>
          <w:sz w:val="24"/>
          <w:szCs w:val="24"/>
        </w:rPr>
        <w:t>。</w:t>
      </w:r>
      <w:r>
        <w:rPr>
          <w:rFonts w:hint="eastAsia" w:ascii="宋体" w:hAnsi="宋体"/>
          <w:color w:val="auto"/>
          <w:sz w:val="24"/>
          <w:szCs w:val="24"/>
        </w:rPr>
        <w:t>（提供《中小企业声明函》</w:t>
      </w:r>
      <w:r>
        <w:rPr>
          <w:rFonts w:hint="eastAsia" w:ascii="宋体" w:hAnsi="宋体" w:cs="宋体"/>
          <w:color w:val="auto"/>
          <w:kern w:val="0"/>
          <w:sz w:val="24"/>
          <w:szCs w:val="24"/>
        </w:rPr>
        <w:t>。</w:t>
      </w:r>
    </w:p>
    <w:p>
      <w:pPr>
        <w:spacing w:line="360" w:lineRule="auto"/>
        <w:ind w:firstLine="480" w:firstLineChars="200"/>
        <w:rPr>
          <w:rFonts w:ascii="宋体" w:hAnsi="宋体"/>
          <w:b/>
          <w:i/>
          <w:iCs/>
          <w:color w:val="auto"/>
          <w:sz w:val="24"/>
          <w:szCs w:val="24"/>
          <w:u w:val="single"/>
        </w:rPr>
      </w:pPr>
      <w:r>
        <w:rPr>
          <w:rFonts w:hint="eastAsia" w:ascii="宋体" w:hAnsi="宋体"/>
          <w:b/>
          <w:color w:val="auto"/>
          <w:sz w:val="24"/>
          <w:szCs w:val="24"/>
        </w:rPr>
        <w:t>（三）.本项目的特定资格要求：</w:t>
      </w:r>
    </w:p>
    <w:p>
      <w:pPr>
        <w:spacing w:line="360" w:lineRule="auto"/>
        <w:ind w:firstLine="480" w:firstLineChars="200"/>
        <w:rPr>
          <w:rFonts w:ascii="宋体" w:hAnsi="宋体"/>
          <w:color w:val="auto"/>
          <w:sz w:val="24"/>
          <w:szCs w:val="24"/>
        </w:rPr>
      </w:pPr>
      <w:r>
        <w:rPr>
          <w:rFonts w:hint="eastAsia" w:ascii="宋体" w:hAnsi="宋体"/>
          <w:color w:val="auto"/>
          <w:sz w:val="24"/>
          <w:szCs w:val="24"/>
        </w:rPr>
        <w:t>1.供应商</w:t>
      </w:r>
      <w:r>
        <w:rPr>
          <w:rFonts w:hint="eastAsia" w:ascii="宋体" w:hAnsi="宋体"/>
          <w:color w:val="auto"/>
          <w:sz w:val="24"/>
          <w:szCs w:val="24"/>
        </w:rPr>
        <w:tab/>
      </w:r>
      <w:r>
        <w:rPr>
          <w:rFonts w:hint="eastAsia" w:ascii="宋体" w:hAnsi="宋体"/>
          <w:color w:val="auto"/>
          <w:sz w:val="24"/>
          <w:szCs w:val="24"/>
        </w:rPr>
        <w:t>已按招标公告及招标文件的规定获取了招标文件。（提供《供应商资格声明函》）</w:t>
      </w:r>
    </w:p>
    <w:p>
      <w:pPr>
        <w:spacing w:line="360" w:lineRule="auto"/>
        <w:ind w:firstLine="480" w:firstLineChars="200"/>
        <w:rPr>
          <w:rFonts w:ascii="宋体" w:hAnsi="宋体"/>
          <w:color w:val="auto"/>
          <w:sz w:val="24"/>
          <w:szCs w:val="24"/>
        </w:rPr>
      </w:pPr>
      <w:r>
        <w:rPr>
          <w:rFonts w:hint="eastAsia" w:ascii="宋体" w:hAnsi="宋体"/>
          <w:color w:val="auto"/>
          <w:sz w:val="24"/>
          <w:szCs w:val="24"/>
        </w:rPr>
        <w:t>2.本项目不接受联合体投标。</w:t>
      </w:r>
    </w:p>
    <w:p>
      <w:pPr>
        <w:pStyle w:val="58"/>
        <w:spacing w:line="360" w:lineRule="auto"/>
        <w:ind w:firstLine="482"/>
        <w:rPr>
          <w:rFonts w:ascii="宋体" w:hAnsi="宋体"/>
          <w:b/>
          <w:color w:val="auto"/>
          <w:sz w:val="24"/>
          <w:szCs w:val="24"/>
        </w:rPr>
      </w:pPr>
      <w:r>
        <w:rPr>
          <w:rFonts w:hint="eastAsia" w:ascii="宋体" w:hAnsi="宋体"/>
          <w:b/>
          <w:color w:val="auto"/>
          <w:sz w:val="24"/>
          <w:szCs w:val="24"/>
        </w:rPr>
        <w:t>注：以上时间的起始计算点均为本项目投标截止时间。</w:t>
      </w:r>
    </w:p>
    <w:p>
      <w:pPr>
        <w:pStyle w:val="4"/>
        <w:spacing w:before="0" w:after="0" w:line="360" w:lineRule="auto"/>
        <w:rPr>
          <w:rFonts w:ascii="宋体" w:hAnsi="宋体" w:cs="宋体"/>
          <w:color w:val="auto"/>
          <w:sz w:val="24"/>
          <w:szCs w:val="24"/>
        </w:rPr>
      </w:pPr>
      <w:bookmarkStart w:id="19" w:name="_Toc20523"/>
      <w:bookmarkStart w:id="20" w:name="_Toc35393792"/>
      <w:bookmarkStart w:id="21" w:name="_Toc54335350"/>
      <w:bookmarkStart w:id="22" w:name="_Toc35393623"/>
      <w:r>
        <w:rPr>
          <w:rFonts w:hint="eastAsia" w:ascii="宋体" w:hAnsi="宋体" w:cs="宋体"/>
          <w:color w:val="auto"/>
          <w:sz w:val="24"/>
          <w:szCs w:val="24"/>
        </w:rPr>
        <w:t>三、获取招标文件</w:t>
      </w:r>
      <w:bookmarkEnd w:id="17"/>
      <w:bookmarkEnd w:id="18"/>
      <w:bookmarkEnd w:id="19"/>
      <w:bookmarkEnd w:id="20"/>
      <w:bookmarkEnd w:id="21"/>
      <w:bookmarkEnd w:id="22"/>
    </w:p>
    <w:p>
      <w:pPr>
        <w:numPr>
          <w:ilvl w:val="0"/>
          <w:numId w:val="6"/>
        </w:numPr>
        <w:spacing w:line="360" w:lineRule="auto"/>
        <w:ind w:firstLine="220"/>
        <w:rPr>
          <w:rFonts w:ascii="宋体" w:hAnsi="宋体" w:cs="宋体"/>
          <w:color w:val="auto"/>
          <w:sz w:val="24"/>
          <w:szCs w:val="24"/>
        </w:rPr>
      </w:pPr>
      <w:r>
        <w:rPr>
          <w:rFonts w:hint="eastAsia" w:ascii="宋体" w:hAnsi="宋体" w:cs="宋体"/>
          <w:color w:val="auto"/>
          <w:sz w:val="24"/>
          <w:szCs w:val="24"/>
        </w:rPr>
        <w:t>时间：2022年</w:t>
      </w:r>
      <w:r>
        <w:rPr>
          <w:rFonts w:hint="eastAsia" w:ascii="宋体" w:hAnsi="宋体" w:cs="宋体"/>
          <w:color w:val="auto"/>
          <w:sz w:val="24"/>
          <w:szCs w:val="24"/>
          <w:lang w:val="en-US" w:eastAsia="zh-CN"/>
        </w:rPr>
        <w:t>04</w:t>
      </w:r>
      <w:r>
        <w:rPr>
          <w:rFonts w:hint="eastAsia" w:ascii="宋体" w:hAnsi="宋体" w:cs="宋体"/>
          <w:color w:val="auto"/>
          <w:sz w:val="24"/>
          <w:szCs w:val="24"/>
        </w:rPr>
        <w:t>月</w:t>
      </w:r>
      <w:r>
        <w:rPr>
          <w:rFonts w:hint="eastAsia" w:ascii="宋体" w:hAnsi="宋体" w:cs="宋体"/>
          <w:color w:val="auto"/>
          <w:sz w:val="24"/>
          <w:szCs w:val="24"/>
          <w:lang w:val="en-US" w:eastAsia="zh-CN"/>
        </w:rPr>
        <w:t>25</w:t>
      </w:r>
      <w:r>
        <w:rPr>
          <w:rFonts w:hint="eastAsia" w:ascii="宋体" w:hAnsi="宋体" w:cs="宋体"/>
          <w:color w:val="auto"/>
          <w:sz w:val="24"/>
          <w:szCs w:val="24"/>
        </w:rPr>
        <w:t>日至2022年</w:t>
      </w:r>
      <w:r>
        <w:rPr>
          <w:rFonts w:hint="eastAsia" w:ascii="宋体" w:hAnsi="宋体" w:cs="宋体"/>
          <w:color w:val="auto"/>
          <w:sz w:val="24"/>
          <w:szCs w:val="24"/>
          <w:lang w:val="en-US" w:eastAsia="zh-CN"/>
        </w:rPr>
        <w:t>04</w:t>
      </w:r>
      <w:r>
        <w:rPr>
          <w:rFonts w:hint="eastAsia" w:ascii="宋体" w:hAnsi="宋体" w:cs="宋体"/>
          <w:color w:val="auto"/>
          <w:sz w:val="24"/>
          <w:szCs w:val="24"/>
        </w:rPr>
        <w:t>月</w:t>
      </w:r>
      <w:r>
        <w:rPr>
          <w:rFonts w:hint="eastAsia" w:ascii="宋体" w:hAnsi="宋体" w:cs="宋体"/>
          <w:color w:val="auto"/>
          <w:sz w:val="24"/>
          <w:szCs w:val="24"/>
          <w:lang w:val="en-US" w:eastAsia="zh-CN"/>
        </w:rPr>
        <w:t>29</w:t>
      </w:r>
      <w:r>
        <w:rPr>
          <w:rFonts w:hint="eastAsia" w:ascii="宋体" w:hAnsi="宋体" w:cs="宋体"/>
          <w:color w:val="auto"/>
          <w:sz w:val="24"/>
          <w:szCs w:val="24"/>
        </w:rPr>
        <w:t>日，每天上午9:00至12:00，下午14:30至17:30（北京时间，法定节假日除外）</w:t>
      </w:r>
    </w:p>
    <w:p>
      <w:pPr>
        <w:numPr>
          <w:ilvl w:val="0"/>
          <w:numId w:val="6"/>
        </w:numPr>
        <w:spacing w:line="360" w:lineRule="auto"/>
        <w:ind w:firstLine="220"/>
        <w:rPr>
          <w:rFonts w:ascii="宋体" w:hAnsi="宋体" w:cs="宋体"/>
          <w:color w:val="auto"/>
          <w:sz w:val="24"/>
          <w:szCs w:val="24"/>
        </w:rPr>
      </w:pPr>
      <w:r>
        <w:rPr>
          <w:rFonts w:hint="eastAsia" w:ascii="宋体" w:hAnsi="宋体" w:cs="宋体"/>
          <w:color w:val="auto"/>
          <w:sz w:val="24"/>
          <w:szCs w:val="24"/>
        </w:rPr>
        <w:t>地点：广东华伦招标有限公司网站“供应商在线服务”。</w:t>
      </w:r>
    </w:p>
    <w:p>
      <w:pPr>
        <w:numPr>
          <w:ilvl w:val="0"/>
          <w:numId w:val="6"/>
        </w:numPr>
        <w:spacing w:line="360" w:lineRule="auto"/>
        <w:ind w:firstLine="220"/>
        <w:rPr>
          <w:rFonts w:hAnsi="宋体"/>
          <w:color w:val="auto"/>
          <w:sz w:val="24"/>
          <w:szCs w:val="24"/>
        </w:rPr>
      </w:pPr>
      <w:r>
        <w:rPr>
          <w:rFonts w:hint="eastAsia" w:ascii="宋体" w:hAnsi="宋体" w:cs="宋体"/>
          <w:color w:val="auto"/>
          <w:sz w:val="24"/>
          <w:szCs w:val="24"/>
        </w:rPr>
        <w:t>方式：</w:t>
      </w:r>
      <w:r>
        <w:rPr>
          <w:rFonts w:hAnsi="宋体"/>
          <w:color w:val="auto"/>
          <w:sz w:val="24"/>
          <w:szCs w:val="24"/>
        </w:rPr>
        <w:t>网上获取方式（只接受网上支付）。</w:t>
      </w:r>
      <w:r>
        <w:rPr>
          <w:rFonts w:hint="eastAsia" w:hAnsi="宋体"/>
          <w:color w:val="auto"/>
          <w:sz w:val="24"/>
          <w:szCs w:val="24"/>
        </w:rPr>
        <w:t>供应商可在上述日期内登录我公司网站“供应商在线服务”（http://120.25.193.109/）购买招标文件。平台操作相关问题请查询网站“通知公告”栏目（http://120.25.193.109/announce/）中《供应商操作指南》或咨询我公司”（或咨询我公司020-83172166转834/862、020-83527049； QQ：2127233298）。本公司只接受通过以上方式正式获取招标文件的供应商参加投标</w:t>
      </w:r>
      <w:r>
        <w:rPr>
          <w:rFonts w:hint="eastAsia" w:hAnsi="宋体"/>
          <w:b/>
          <w:bCs/>
          <w:i/>
          <w:iCs/>
          <w:color w:val="auto"/>
          <w:sz w:val="24"/>
          <w:szCs w:val="24"/>
        </w:rPr>
        <w:t>（多个采购包的项目，供应商如参与多个采购包投标的，须分别对相应采购包进行登记）</w:t>
      </w:r>
      <w:r>
        <w:rPr>
          <w:rFonts w:hint="eastAsia" w:hAnsi="宋体"/>
          <w:color w:val="auto"/>
          <w:sz w:val="24"/>
          <w:szCs w:val="24"/>
        </w:rPr>
        <w:t>。</w:t>
      </w:r>
    </w:p>
    <w:p>
      <w:pPr>
        <w:numPr>
          <w:ilvl w:val="0"/>
          <w:numId w:val="6"/>
        </w:numPr>
        <w:spacing w:line="360" w:lineRule="auto"/>
        <w:ind w:firstLine="220"/>
        <w:rPr>
          <w:rFonts w:ascii="宋体" w:hAnsi="宋体" w:cs="宋体"/>
          <w:color w:val="auto"/>
          <w:sz w:val="24"/>
          <w:szCs w:val="24"/>
        </w:rPr>
      </w:pPr>
      <w:bookmarkStart w:id="23" w:name="_Toc28359005"/>
      <w:bookmarkStart w:id="24" w:name="_Toc28359082"/>
      <w:bookmarkStart w:id="25" w:name="_Toc35393624"/>
      <w:bookmarkStart w:id="26" w:name="_Toc35393793"/>
      <w:bookmarkStart w:id="27" w:name="_Toc54335351"/>
      <w:r>
        <w:rPr>
          <w:rFonts w:hint="eastAsia" w:ascii="宋体" w:hAnsi="宋体" w:cs="宋体"/>
          <w:color w:val="auto"/>
          <w:sz w:val="24"/>
          <w:szCs w:val="24"/>
        </w:rPr>
        <w:t>售价：</w:t>
      </w:r>
      <w:r>
        <w:rPr>
          <w:rFonts w:hint="eastAsia" w:ascii="宋体" w:hAnsi="宋体" w:cs="宋体"/>
          <w:iCs/>
          <w:color w:val="auto"/>
          <w:sz w:val="24"/>
          <w:szCs w:val="24"/>
        </w:rPr>
        <w:t>200.00元/套，招标文件一经售出，概不退还。</w:t>
      </w:r>
    </w:p>
    <w:p>
      <w:pPr>
        <w:pStyle w:val="4"/>
        <w:spacing w:before="0" w:after="0" w:line="360" w:lineRule="auto"/>
        <w:rPr>
          <w:rFonts w:ascii="宋体" w:hAnsi="宋体" w:cs="宋体"/>
          <w:color w:val="auto"/>
          <w:sz w:val="24"/>
          <w:szCs w:val="24"/>
        </w:rPr>
      </w:pPr>
      <w:bookmarkStart w:id="28" w:name="_Toc4241"/>
      <w:r>
        <w:rPr>
          <w:rFonts w:hint="eastAsia" w:ascii="宋体" w:hAnsi="宋体" w:cs="宋体"/>
          <w:color w:val="auto"/>
          <w:sz w:val="24"/>
          <w:szCs w:val="24"/>
        </w:rPr>
        <w:t>四、提交投标文件</w:t>
      </w:r>
      <w:bookmarkEnd w:id="23"/>
      <w:bookmarkEnd w:id="24"/>
      <w:r>
        <w:rPr>
          <w:rFonts w:hint="eastAsia" w:ascii="宋体" w:hAnsi="宋体" w:cs="宋体"/>
          <w:color w:val="auto"/>
          <w:sz w:val="24"/>
          <w:szCs w:val="24"/>
        </w:rPr>
        <w:t>截止时间、开标时间和地点</w:t>
      </w:r>
      <w:bookmarkEnd w:id="25"/>
      <w:bookmarkEnd w:id="26"/>
      <w:bookmarkEnd w:id="27"/>
      <w:bookmarkEnd w:id="28"/>
    </w:p>
    <w:p>
      <w:pPr>
        <w:numPr>
          <w:ilvl w:val="0"/>
          <w:numId w:val="7"/>
        </w:numPr>
        <w:spacing w:line="360" w:lineRule="auto"/>
        <w:ind w:firstLine="0" w:firstLineChars="0"/>
        <w:rPr>
          <w:rFonts w:ascii="宋体" w:hAnsi="宋体" w:cs="宋体"/>
          <w:bCs/>
          <w:color w:val="auto"/>
          <w:sz w:val="24"/>
          <w:szCs w:val="24"/>
        </w:rPr>
      </w:pPr>
      <w:bookmarkStart w:id="29" w:name="_Toc54335352"/>
      <w:bookmarkStart w:id="30" w:name="_Toc28359084"/>
      <w:bookmarkStart w:id="31" w:name="_Toc35393625"/>
      <w:bookmarkStart w:id="32" w:name="_Toc35393794"/>
      <w:bookmarkStart w:id="33" w:name="_Toc28359007"/>
      <w:r>
        <w:rPr>
          <w:rFonts w:hint="eastAsia" w:ascii="宋体" w:hAnsi="宋体" w:cs="宋体"/>
          <w:color w:val="auto"/>
          <w:sz w:val="24"/>
          <w:szCs w:val="24"/>
        </w:rPr>
        <w:t>提交投标文件截止时间、开标时间</w:t>
      </w:r>
      <w:r>
        <w:rPr>
          <w:rFonts w:hint="eastAsia" w:ascii="宋体" w:hAnsi="宋体" w:cs="宋体"/>
          <w:bCs/>
          <w:color w:val="auto"/>
          <w:sz w:val="24"/>
          <w:szCs w:val="24"/>
        </w:rPr>
        <w:t>：</w:t>
      </w:r>
      <w:r>
        <w:rPr>
          <w:rFonts w:hint="eastAsia" w:ascii="宋体" w:hAnsi="宋体" w:cs="宋体"/>
          <w:color w:val="auto"/>
          <w:sz w:val="24"/>
          <w:szCs w:val="24"/>
        </w:rPr>
        <w:t>2022年</w:t>
      </w:r>
      <w:r>
        <w:rPr>
          <w:rFonts w:hint="eastAsia" w:ascii="宋体" w:hAnsi="宋体" w:cs="宋体"/>
          <w:color w:val="auto"/>
          <w:sz w:val="24"/>
          <w:szCs w:val="24"/>
          <w:lang w:val="en-US" w:eastAsia="zh-CN"/>
        </w:rPr>
        <w:t>05</w:t>
      </w:r>
      <w:r>
        <w:rPr>
          <w:rFonts w:hint="eastAsia" w:ascii="宋体" w:hAnsi="宋体" w:cs="宋体"/>
          <w:color w:val="auto"/>
          <w:sz w:val="24"/>
          <w:szCs w:val="24"/>
        </w:rPr>
        <w:t>月</w:t>
      </w:r>
      <w:r>
        <w:rPr>
          <w:rFonts w:hint="eastAsia" w:ascii="宋体" w:hAnsi="宋体" w:cs="宋体"/>
          <w:color w:val="auto"/>
          <w:sz w:val="24"/>
          <w:szCs w:val="24"/>
          <w:lang w:val="en-US" w:eastAsia="zh-CN"/>
        </w:rPr>
        <w:t>26</w:t>
      </w:r>
      <w:r>
        <w:rPr>
          <w:rFonts w:hint="eastAsia" w:ascii="宋体" w:hAnsi="宋体" w:cs="宋体"/>
          <w:color w:val="auto"/>
          <w:sz w:val="24"/>
          <w:szCs w:val="24"/>
        </w:rPr>
        <w:t>日</w:t>
      </w:r>
      <w:r>
        <w:rPr>
          <w:rFonts w:hint="eastAsia" w:ascii="宋体" w:hAnsi="宋体" w:cs="宋体"/>
          <w:bCs/>
          <w:color w:val="auto"/>
          <w:sz w:val="24"/>
          <w:szCs w:val="24"/>
          <w:u w:val="none"/>
        </w:rPr>
        <w:t>09点30分</w:t>
      </w:r>
      <w:r>
        <w:rPr>
          <w:rFonts w:hint="eastAsia" w:ascii="宋体" w:hAnsi="宋体" w:cs="宋体"/>
          <w:bCs/>
          <w:color w:val="auto"/>
          <w:sz w:val="24"/>
          <w:szCs w:val="24"/>
        </w:rPr>
        <w:t>（北京时间）</w:t>
      </w:r>
    </w:p>
    <w:p>
      <w:pPr>
        <w:numPr>
          <w:ilvl w:val="0"/>
          <w:numId w:val="7"/>
        </w:numPr>
        <w:spacing w:line="360" w:lineRule="auto"/>
        <w:ind w:firstLine="0"/>
        <w:rPr>
          <w:rFonts w:ascii="宋体" w:hAnsi="宋体" w:cs="宋体"/>
          <w:bCs/>
          <w:color w:val="auto"/>
          <w:sz w:val="24"/>
          <w:szCs w:val="24"/>
        </w:rPr>
      </w:pPr>
      <w:r>
        <w:rPr>
          <w:rFonts w:hint="eastAsia" w:ascii="宋体" w:hAnsi="宋体" w:cs="宋体"/>
          <w:color w:val="auto"/>
          <w:sz w:val="24"/>
          <w:szCs w:val="24"/>
        </w:rPr>
        <w:t>地点：广州市越秀区广仁路1号广仁大厦6楼（广东华伦招标有限公司开标室）</w:t>
      </w:r>
    </w:p>
    <w:p>
      <w:pPr>
        <w:pStyle w:val="4"/>
        <w:spacing w:before="0" w:after="0" w:line="360" w:lineRule="auto"/>
        <w:rPr>
          <w:rFonts w:ascii="宋体" w:hAnsi="宋体" w:cs="宋体"/>
          <w:color w:val="auto"/>
          <w:sz w:val="24"/>
          <w:szCs w:val="24"/>
        </w:rPr>
      </w:pPr>
      <w:bookmarkStart w:id="34" w:name="_Toc30810"/>
      <w:r>
        <w:rPr>
          <w:rFonts w:hint="eastAsia" w:ascii="宋体" w:hAnsi="宋体" w:cs="宋体"/>
          <w:color w:val="auto"/>
          <w:sz w:val="24"/>
          <w:szCs w:val="24"/>
        </w:rPr>
        <w:t>五、公告期限</w:t>
      </w:r>
      <w:bookmarkEnd w:id="29"/>
      <w:bookmarkEnd w:id="30"/>
      <w:bookmarkEnd w:id="31"/>
      <w:bookmarkEnd w:id="32"/>
      <w:bookmarkEnd w:id="33"/>
      <w:bookmarkEnd w:id="34"/>
    </w:p>
    <w:p>
      <w:pPr>
        <w:spacing w:line="360" w:lineRule="auto"/>
        <w:ind w:firstLine="480" w:firstLineChars="200"/>
        <w:rPr>
          <w:rFonts w:ascii="宋体" w:hAnsi="宋体" w:cs="宋体"/>
          <w:color w:val="auto"/>
          <w:kern w:val="0"/>
          <w:sz w:val="24"/>
          <w:szCs w:val="24"/>
        </w:rPr>
      </w:pPr>
      <w:r>
        <w:rPr>
          <w:rFonts w:hint="eastAsia" w:ascii="宋体" w:hAnsi="宋体" w:cs="宋体"/>
          <w:color w:val="auto"/>
          <w:kern w:val="0"/>
          <w:sz w:val="24"/>
          <w:szCs w:val="24"/>
        </w:rPr>
        <w:t>自本公告发布之日起5个工作日。</w:t>
      </w:r>
    </w:p>
    <w:p>
      <w:pPr>
        <w:pStyle w:val="4"/>
        <w:spacing w:before="0" w:after="0" w:line="360" w:lineRule="auto"/>
        <w:rPr>
          <w:rFonts w:ascii="宋体" w:hAnsi="宋体" w:cs="宋体"/>
          <w:color w:val="auto"/>
          <w:sz w:val="24"/>
          <w:szCs w:val="24"/>
        </w:rPr>
      </w:pPr>
      <w:bookmarkStart w:id="35" w:name="_Toc35393795"/>
      <w:bookmarkStart w:id="36" w:name="_Toc30529"/>
      <w:bookmarkStart w:id="37" w:name="_Toc35393626"/>
      <w:bookmarkStart w:id="38" w:name="_Toc54335353"/>
      <w:r>
        <w:rPr>
          <w:rFonts w:hint="eastAsia" w:ascii="宋体" w:hAnsi="宋体" w:cs="宋体"/>
          <w:color w:val="auto"/>
          <w:sz w:val="24"/>
          <w:szCs w:val="24"/>
        </w:rPr>
        <w:t>六、其他补充事宜</w:t>
      </w:r>
      <w:bookmarkEnd w:id="35"/>
      <w:bookmarkEnd w:id="36"/>
      <w:bookmarkEnd w:id="37"/>
      <w:bookmarkEnd w:id="38"/>
    </w:p>
    <w:p>
      <w:pPr>
        <w:pStyle w:val="10"/>
        <w:tabs>
          <w:tab w:val="left" w:pos="7238"/>
          <w:tab w:val="left" w:pos="8393"/>
        </w:tabs>
        <w:ind w:firstLine="600" w:firstLineChars="250"/>
        <w:rPr>
          <w:rFonts w:hAnsi="宋体"/>
          <w:color w:val="auto"/>
          <w:sz w:val="24"/>
          <w:szCs w:val="24"/>
        </w:rPr>
      </w:pPr>
      <w:r>
        <w:rPr>
          <w:rFonts w:hint="eastAsia" w:hAnsi="宋体"/>
          <w:color w:val="auto"/>
          <w:sz w:val="24"/>
          <w:szCs w:val="24"/>
        </w:rPr>
        <w:t>我公司可提供纸质招标文件和购买招标文件的电子发票。有需要的供应商成功获取网上招标文件后，可在规定的</w:t>
      </w:r>
      <w:r>
        <w:rPr>
          <w:rFonts w:hAnsi="宋体"/>
          <w:color w:val="auto"/>
          <w:sz w:val="24"/>
          <w:szCs w:val="24"/>
        </w:rPr>
        <w:t>获取</w:t>
      </w:r>
      <w:r>
        <w:rPr>
          <w:rFonts w:hint="eastAsia" w:hAnsi="宋体"/>
          <w:color w:val="auto"/>
          <w:sz w:val="24"/>
          <w:szCs w:val="24"/>
        </w:rPr>
        <w:t>招标文件时间段内到我公司现场（广州市广仁路1号广仁大厦7楼）领取纸质招标文件。购买招标文件的电子发票将以短信方式发送到供应商在我公司平台的预留手机号码。联系人：尹小姐，联系电话：020-83172166转0。招标文件一经售出，概不退还。</w:t>
      </w:r>
    </w:p>
    <w:p>
      <w:pPr>
        <w:pStyle w:val="4"/>
        <w:spacing w:before="0" w:after="0" w:line="360" w:lineRule="auto"/>
        <w:rPr>
          <w:rFonts w:ascii="宋体" w:hAnsi="宋体" w:cs="宋体"/>
          <w:color w:val="auto"/>
          <w:sz w:val="24"/>
          <w:szCs w:val="24"/>
        </w:rPr>
      </w:pPr>
      <w:bookmarkStart w:id="39" w:name="_Toc28359085"/>
      <w:bookmarkStart w:id="40" w:name="_Toc35393796"/>
      <w:bookmarkStart w:id="41" w:name="_Toc54335354"/>
      <w:bookmarkStart w:id="42" w:name="_Toc1083"/>
      <w:bookmarkStart w:id="43" w:name="_Toc35393627"/>
      <w:bookmarkStart w:id="44" w:name="_Toc28359008"/>
      <w:r>
        <w:rPr>
          <w:rFonts w:hint="eastAsia" w:ascii="宋体" w:hAnsi="宋体" w:cs="宋体"/>
          <w:color w:val="auto"/>
          <w:sz w:val="24"/>
          <w:szCs w:val="24"/>
        </w:rPr>
        <w:t>七、对本次招标提出询问，请按</w:t>
      </w:r>
      <w:r>
        <w:rPr>
          <w:rFonts w:ascii="宋体" w:hAnsi="宋体" w:cs="宋体"/>
          <w:color w:val="auto"/>
          <w:sz w:val="24"/>
          <w:szCs w:val="24"/>
        </w:rPr>
        <w:t>以下方式</w:t>
      </w:r>
      <w:r>
        <w:rPr>
          <w:rFonts w:hint="eastAsia" w:ascii="宋体" w:hAnsi="宋体" w:cs="宋体"/>
          <w:color w:val="auto"/>
          <w:sz w:val="24"/>
          <w:szCs w:val="24"/>
        </w:rPr>
        <w:t>联系。</w:t>
      </w:r>
      <w:bookmarkEnd w:id="39"/>
      <w:bookmarkEnd w:id="40"/>
      <w:bookmarkEnd w:id="41"/>
      <w:bookmarkEnd w:id="42"/>
      <w:bookmarkEnd w:id="43"/>
      <w:bookmarkEnd w:id="44"/>
    </w:p>
    <w:p>
      <w:pPr>
        <w:widowControl/>
        <w:spacing w:line="360" w:lineRule="auto"/>
        <w:ind w:firstLine="420" w:firstLineChars="175"/>
        <w:jc w:val="left"/>
        <w:rPr>
          <w:rFonts w:ascii="宋体" w:hAnsi="宋体" w:cs="宋体"/>
          <w:color w:val="auto"/>
          <w:sz w:val="24"/>
          <w:szCs w:val="24"/>
        </w:rPr>
      </w:pPr>
      <w:r>
        <w:rPr>
          <w:rFonts w:hint="eastAsia" w:ascii="宋体" w:hAnsi="宋体" w:cs="宋体"/>
          <w:color w:val="auto"/>
          <w:sz w:val="24"/>
          <w:szCs w:val="24"/>
        </w:rPr>
        <w:t>（一）采购人信息</w:t>
      </w:r>
    </w:p>
    <w:p>
      <w:pPr>
        <w:widowControl/>
        <w:spacing w:line="360" w:lineRule="auto"/>
        <w:ind w:firstLine="1058" w:firstLineChars="441"/>
        <w:jc w:val="left"/>
        <w:rPr>
          <w:rFonts w:ascii="宋体" w:hAnsi="宋体" w:cs="宋体"/>
          <w:color w:val="auto"/>
          <w:sz w:val="24"/>
          <w:szCs w:val="24"/>
        </w:rPr>
      </w:pPr>
      <w:r>
        <w:rPr>
          <w:rFonts w:hint="eastAsia" w:ascii="宋体" w:hAnsi="宋体" w:cs="宋体"/>
          <w:color w:val="auto"/>
          <w:sz w:val="24"/>
          <w:szCs w:val="24"/>
        </w:rPr>
        <w:t>名 称：工业和信息化部电子第五研究所</w:t>
      </w:r>
    </w:p>
    <w:p>
      <w:pPr>
        <w:widowControl/>
        <w:spacing w:line="360" w:lineRule="auto"/>
        <w:ind w:firstLine="1058" w:firstLineChars="441"/>
        <w:jc w:val="left"/>
        <w:rPr>
          <w:rFonts w:ascii="宋体" w:hAnsi="宋体" w:cs="宋体"/>
          <w:color w:val="auto"/>
          <w:sz w:val="24"/>
          <w:szCs w:val="24"/>
        </w:rPr>
      </w:pPr>
      <w:r>
        <w:rPr>
          <w:rFonts w:hint="eastAsia" w:ascii="宋体" w:hAnsi="宋体" w:cs="宋体"/>
          <w:color w:val="auto"/>
          <w:sz w:val="24"/>
          <w:szCs w:val="24"/>
        </w:rPr>
        <w:t>地址：广州市增城区朱村街朱村大道西78号</w:t>
      </w:r>
    </w:p>
    <w:p>
      <w:pPr>
        <w:widowControl/>
        <w:spacing w:line="360" w:lineRule="auto"/>
        <w:ind w:firstLine="1058" w:firstLineChars="441"/>
        <w:jc w:val="left"/>
        <w:rPr>
          <w:rFonts w:ascii="宋体" w:hAnsi="宋体" w:cs="宋体"/>
          <w:color w:val="auto"/>
          <w:sz w:val="24"/>
          <w:szCs w:val="24"/>
        </w:rPr>
      </w:pPr>
      <w:r>
        <w:rPr>
          <w:rFonts w:hint="eastAsia" w:ascii="宋体" w:hAnsi="宋体" w:cs="宋体"/>
          <w:color w:val="auto"/>
          <w:sz w:val="24"/>
          <w:szCs w:val="24"/>
        </w:rPr>
        <w:t>联系人：杨小姐</w:t>
      </w:r>
    </w:p>
    <w:p>
      <w:pPr>
        <w:widowControl/>
        <w:spacing w:line="360" w:lineRule="auto"/>
        <w:ind w:firstLine="1058" w:firstLineChars="441"/>
        <w:jc w:val="left"/>
        <w:rPr>
          <w:rFonts w:ascii="宋体" w:hAnsi="宋体" w:cs="宋体"/>
          <w:color w:val="auto"/>
          <w:sz w:val="24"/>
          <w:szCs w:val="24"/>
        </w:rPr>
      </w:pPr>
      <w:r>
        <w:rPr>
          <w:rFonts w:hint="eastAsia" w:ascii="宋体" w:hAnsi="宋体" w:cs="宋体"/>
          <w:color w:val="auto"/>
          <w:sz w:val="24"/>
          <w:szCs w:val="24"/>
        </w:rPr>
        <w:t>联系方式：020-85131422</w:t>
      </w:r>
      <w:r>
        <w:rPr>
          <w:rFonts w:ascii="宋体" w:hAnsi="宋体" w:cs="宋体"/>
          <w:color w:val="auto"/>
          <w:sz w:val="24"/>
          <w:szCs w:val="24"/>
        </w:rPr>
        <w:t xml:space="preserve"> </w:t>
      </w:r>
    </w:p>
    <w:p>
      <w:pPr>
        <w:widowControl/>
        <w:spacing w:line="360" w:lineRule="auto"/>
        <w:ind w:firstLine="420" w:firstLineChars="175"/>
        <w:jc w:val="left"/>
        <w:rPr>
          <w:rFonts w:ascii="宋体" w:hAnsi="宋体" w:cs="宋体"/>
          <w:color w:val="auto"/>
          <w:sz w:val="24"/>
          <w:szCs w:val="24"/>
        </w:rPr>
      </w:pPr>
      <w:r>
        <w:rPr>
          <w:rFonts w:hint="eastAsia" w:ascii="宋体" w:hAnsi="宋体" w:cs="宋体"/>
          <w:color w:val="auto"/>
          <w:sz w:val="24"/>
          <w:szCs w:val="24"/>
        </w:rPr>
        <w:t>（二）采购代理机构信息</w:t>
      </w:r>
    </w:p>
    <w:p>
      <w:pPr>
        <w:widowControl/>
        <w:spacing w:line="360" w:lineRule="auto"/>
        <w:ind w:firstLine="1058" w:firstLineChars="441"/>
        <w:jc w:val="left"/>
        <w:rPr>
          <w:rFonts w:ascii="宋体" w:hAnsi="宋体" w:cs="宋体"/>
          <w:color w:val="auto"/>
          <w:sz w:val="24"/>
          <w:szCs w:val="24"/>
        </w:rPr>
      </w:pPr>
      <w:r>
        <w:rPr>
          <w:rFonts w:hint="eastAsia" w:ascii="宋体" w:hAnsi="宋体" w:cs="宋体"/>
          <w:color w:val="auto"/>
          <w:sz w:val="24"/>
          <w:szCs w:val="24"/>
        </w:rPr>
        <w:t>名 称：广东华伦招标有限公司</w:t>
      </w:r>
      <w:r>
        <w:rPr>
          <w:rFonts w:hint="eastAsia" w:ascii="宋体" w:hAnsi="宋体" w:cs="宋体"/>
          <w:color w:val="auto"/>
          <w:sz w:val="24"/>
          <w:szCs w:val="24"/>
        </w:rPr>
        <w:tab/>
      </w:r>
    </w:p>
    <w:p>
      <w:pPr>
        <w:widowControl/>
        <w:spacing w:line="360" w:lineRule="auto"/>
        <w:ind w:firstLine="1058" w:firstLineChars="441"/>
        <w:jc w:val="left"/>
        <w:rPr>
          <w:rFonts w:ascii="宋体" w:hAnsi="宋体" w:cs="宋体"/>
          <w:color w:val="auto"/>
          <w:sz w:val="24"/>
          <w:szCs w:val="24"/>
        </w:rPr>
      </w:pPr>
      <w:r>
        <w:rPr>
          <w:rFonts w:hint="eastAsia" w:ascii="宋体" w:hAnsi="宋体" w:cs="宋体"/>
          <w:color w:val="auto"/>
          <w:sz w:val="24"/>
          <w:szCs w:val="24"/>
        </w:rPr>
        <w:t>地　址：广州市广仁路1号广仁大厦7楼</w:t>
      </w:r>
      <w:r>
        <w:rPr>
          <w:rFonts w:hint="eastAsia" w:ascii="宋体" w:hAnsi="宋体" w:cs="宋体"/>
          <w:color w:val="auto"/>
          <w:sz w:val="24"/>
          <w:szCs w:val="24"/>
        </w:rPr>
        <w:tab/>
      </w:r>
    </w:p>
    <w:p>
      <w:pPr>
        <w:widowControl/>
        <w:spacing w:line="360" w:lineRule="auto"/>
        <w:ind w:firstLine="1058" w:firstLineChars="441"/>
        <w:jc w:val="left"/>
        <w:rPr>
          <w:rFonts w:ascii="宋体" w:hAnsi="宋体" w:cs="宋体"/>
          <w:color w:val="auto"/>
        </w:rPr>
      </w:pPr>
      <w:r>
        <w:rPr>
          <w:rFonts w:hint="eastAsia" w:ascii="宋体" w:hAnsi="宋体" w:cs="宋体"/>
          <w:color w:val="auto"/>
          <w:sz w:val="24"/>
          <w:szCs w:val="24"/>
        </w:rPr>
        <w:t>联系人：田工</w:t>
      </w:r>
    </w:p>
    <w:p>
      <w:pPr>
        <w:widowControl/>
        <w:spacing w:line="360" w:lineRule="auto"/>
        <w:ind w:firstLine="1058" w:firstLineChars="441"/>
        <w:jc w:val="left"/>
        <w:rPr>
          <w:rFonts w:ascii="宋体" w:hAnsi="宋体" w:cs="宋体"/>
          <w:color w:val="auto"/>
          <w:sz w:val="24"/>
          <w:szCs w:val="24"/>
        </w:rPr>
      </w:pPr>
      <w:r>
        <w:rPr>
          <w:rFonts w:hint="eastAsia" w:ascii="宋体" w:hAnsi="宋体" w:cs="宋体"/>
          <w:color w:val="auto"/>
          <w:sz w:val="24"/>
          <w:szCs w:val="24"/>
        </w:rPr>
        <w:t>联系方式：020-83172166转844</w:t>
      </w:r>
    </w:p>
    <w:p>
      <w:pPr>
        <w:pStyle w:val="74"/>
        <w:ind w:firstLine="1058" w:firstLineChars="441"/>
        <w:rPr>
          <w:rFonts w:ascii="宋体" w:hAnsi="宋体" w:cs="宋体"/>
          <w:color w:val="auto"/>
        </w:rPr>
      </w:pPr>
      <w:r>
        <w:rPr>
          <w:rFonts w:hint="eastAsia" w:ascii="宋体" w:hAnsi="宋体" w:cs="宋体"/>
          <w:color w:val="auto"/>
          <w:sz w:val="24"/>
          <w:szCs w:val="24"/>
        </w:rPr>
        <w:t>联系邮箱：hualunsibu@163.com</w:t>
      </w:r>
    </w:p>
    <w:p>
      <w:pPr>
        <w:spacing w:line="360" w:lineRule="auto"/>
        <w:rPr>
          <w:rFonts w:ascii="宋体" w:hAnsi="宋体"/>
          <w:color w:val="auto"/>
          <w:sz w:val="24"/>
          <w:szCs w:val="24"/>
        </w:rPr>
      </w:pPr>
      <w:r>
        <w:rPr>
          <w:rFonts w:ascii="宋体" w:hAnsi="宋体"/>
          <w:color w:val="auto"/>
          <w:sz w:val="24"/>
          <w:szCs w:val="24"/>
        </w:rPr>
        <w:br w:type="page"/>
      </w:r>
    </w:p>
    <w:p>
      <w:pPr>
        <w:spacing w:line="360" w:lineRule="auto"/>
        <w:rPr>
          <w:rFonts w:ascii="宋体" w:hAnsi="宋体"/>
          <w:color w:val="auto"/>
          <w:sz w:val="24"/>
          <w:szCs w:val="24"/>
        </w:rPr>
      </w:pPr>
    </w:p>
    <w:p>
      <w:pPr>
        <w:spacing w:line="360" w:lineRule="auto"/>
        <w:rPr>
          <w:rFonts w:ascii="宋体" w:hAnsi="宋体"/>
          <w:color w:val="auto"/>
          <w:sz w:val="24"/>
          <w:szCs w:val="24"/>
        </w:rPr>
      </w:pPr>
    </w:p>
    <w:p>
      <w:pPr>
        <w:spacing w:line="360" w:lineRule="auto"/>
        <w:rPr>
          <w:rFonts w:ascii="宋体" w:hAnsi="宋体"/>
          <w:color w:val="auto"/>
          <w:sz w:val="24"/>
          <w:szCs w:val="24"/>
        </w:rPr>
      </w:pPr>
    </w:p>
    <w:p>
      <w:pPr>
        <w:spacing w:line="360" w:lineRule="auto"/>
        <w:rPr>
          <w:rFonts w:ascii="宋体" w:hAnsi="宋体"/>
          <w:color w:val="auto"/>
          <w:sz w:val="24"/>
          <w:szCs w:val="24"/>
        </w:rPr>
      </w:pPr>
    </w:p>
    <w:p>
      <w:pPr>
        <w:spacing w:line="360" w:lineRule="auto"/>
        <w:rPr>
          <w:rFonts w:ascii="宋体" w:hAnsi="宋体"/>
          <w:color w:val="auto"/>
          <w:sz w:val="24"/>
          <w:szCs w:val="24"/>
        </w:rPr>
      </w:pPr>
    </w:p>
    <w:p>
      <w:pPr>
        <w:spacing w:line="360" w:lineRule="auto"/>
        <w:rPr>
          <w:rFonts w:ascii="宋体" w:hAnsi="宋体"/>
          <w:color w:val="auto"/>
          <w:sz w:val="24"/>
          <w:szCs w:val="24"/>
        </w:rPr>
      </w:pPr>
    </w:p>
    <w:p>
      <w:pPr>
        <w:spacing w:line="360" w:lineRule="auto"/>
        <w:rPr>
          <w:rFonts w:ascii="宋体" w:hAnsi="宋体"/>
          <w:color w:val="auto"/>
          <w:sz w:val="24"/>
          <w:szCs w:val="24"/>
        </w:rPr>
      </w:pPr>
    </w:p>
    <w:p>
      <w:pPr>
        <w:spacing w:line="360" w:lineRule="auto"/>
        <w:rPr>
          <w:rFonts w:ascii="宋体" w:hAnsi="宋体"/>
          <w:color w:val="auto"/>
          <w:sz w:val="24"/>
          <w:szCs w:val="24"/>
        </w:rPr>
      </w:pPr>
    </w:p>
    <w:p>
      <w:pPr>
        <w:spacing w:line="360" w:lineRule="auto"/>
        <w:rPr>
          <w:rFonts w:ascii="宋体" w:hAnsi="宋体"/>
          <w:color w:val="auto"/>
          <w:sz w:val="24"/>
          <w:szCs w:val="24"/>
        </w:rPr>
      </w:pPr>
    </w:p>
    <w:p>
      <w:pPr>
        <w:pStyle w:val="3"/>
        <w:numPr>
          <w:ilvl w:val="0"/>
          <w:numId w:val="3"/>
        </w:numPr>
        <w:spacing w:before="0" w:after="0" w:line="360" w:lineRule="auto"/>
        <w:ind w:left="0" w:firstLine="0"/>
        <w:jc w:val="center"/>
        <w:rPr>
          <w:rFonts w:ascii="宋体" w:hAnsi="宋体"/>
          <w:color w:val="auto"/>
          <w:kern w:val="0"/>
          <w:sz w:val="36"/>
          <w:szCs w:val="36"/>
        </w:rPr>
      </w:pPr>
      <w:bookmarkStart w:id="45" w:name="_Toc22806091"/>
      <w:r>
        <w:rPr>
          <w:rFonts w:hint="eastAsia" w:ascii="宋体" w:hAnsi="宋体"/>
          <w:color w:val="auto"/>
          <w:kern w:val="0"/>
          <w:sz w:val="36"/>
          <w:szCs w:val="36"/>
        </w:rPr>
        <w:t xml:space="preserve">  </w:t>
      </w:r>
      <w:bookmarkStart w:id="46" w:name="_Toc31471"/>
      <w:r>
        <w:rPr>
          <w:rFonts w:hint="eastAsia" w:ascii="宋体" w:hAnsi="宋体"/>
          <w:color w:val="auto"/>
          <w:kern w:val="0"/>
          <w:sz w:val="36"/>
          <w:szCs w:val="36"/>
        </w:rPr>
        <w:t>采购需求</w:t>
      </w:r>
      <w:bookmarkEnd w:id="45"/>
      <w:bookmarkEnd w:id="46"/>
    </w:p>
    <w:p>
      <w:pPr>
        <w:spacing w:line="360" w:lineRule="auto"/>
        <w:jc w:val="center"/>
        <w:rPr>
          <w:rFonts w:ascii="宋体" w:hAnsi="宋体"/>
          <w:b/>
          <w:color w:val="auto"/>
          <w:sz w:val="32"/>
          <w:szCs w:val="32"/>
        </w:rPr>
      </w:pPr>
      <w:r>
        <w:rPr>
          <w:rFonts w:ascii="宋体" w:hAnsi="宋体"/>
          <w:color w:val="auto"/>
          <w:sz w:val="24"/>
          <w:szCs w:val="24"/>
        </w:rPr>
        <w:br w:type="page"/>
      </w:r>
      <w:r>
        <w:rPr>
          <w:rFonts w:hint="eastAsia" w:ascii="宋体" w:hAnsi="宋体"/>
          <w:b/>
          <w:color w:val="auto"/>
          <w:sz w:val="32"/>
          <w:szCs w:val="32"/>
        </w:rPr>
        <w:t>采购需求</w:t>
      </w:r>
    </w:p>
    <w:p>
      <w:pPr>
        <w:pStyle w:val="4"/>
        <w:numPr>
          <w:ilvl w:val="0"/>
          <w:numId w:val="8"/>
        </w:numPr>
        <w:spacing w:before="0" w:after="0" w:line="415" w:lineRule="auto"/>
        <w:ind w:left="0" w:firstLine="0"/>
        <w:rPr>
          <w:rFonts w:ascii="宋体" w:hAnsi="宋体" w:cs="宋体"/>
          <w:color w:val="auto"/>
          <w:sz w:val="24"/>
          <w:szCs w:val="24"/>
        </w:rPr>
      </w:pPr>
      <w:bookmarkStart w:id="47" w:name="_Toc19928"/>
      <w:bookmarkStart w:id="48" w:name="_Toc48206243"/>
      <w:bookmarkStart w:id="49" w:name="_Toc22806092"/>
      <w:bookmarkStart w:id="50" w:name="_Toc13513"/>
      <w:r>
        <w:rPr>
          <w:rFonts w:hint="eastAsia" w:ascii="宋体" w:hAnsi="宋体" w:cs="宋体"/>
          <w:color w:val="auto"/>
          <w:sz w:val="24"/>
          <w:szCs w:val="24"/>
        </w:rPr>
        <w:t>本采购需求中标注符号的说明</w:t>
      </w:r>
      <w:bookmarkEnd w:id="47"/>
      <w:bookmarkEnd w:id="48"/>
      <w:bookmarkEnd w:id="49"/>
      <w:bookmarkEnd w:id="50"/>
    </w:p>
    <w:p>
      <w:pPr>
        <w:pStyle w:val="5"/>
        <w:numPr>
          <w:ilvl w:val="1"/>
          <w:numId w:val="9"/>
        </w:numPr>
        <w:spacing w:before="0" w:after="0" w:line="360" w:lineRule="auto"/>
        <w:rPr>
          <w:rFonts w:ascii="宋体" w:hAnsi="宋体" w:cs="宋体"/>
          <w:color w:val="auto"/>
          <w:sz w:val="24"/>
          <w:szCs w:val="24"/>
          <w:lang w:val="zh-CN"/>
        </w:rPr>
      </w:pPr>
      <w:bookmarkStart w:id="51" w:name="_Toc22806093"/>
      <w:bookmarkStart w:id="52" w:name="_Toc9658"/>
      <w:bookmarkStart w:id="53" w:name="_Toc16444"/>
      <w:bookmarkStart w:id="54" w:name="_Toc48206244"/>
      <w:r>
        <w:rPr>
          <w:rFonts w:hint="eastAsia" w:ascii="宋体" w:hAnsi="宋体" w:cs="宋体"/>
          <w:color w:val="auto"/>
          <w:sz w:val="24"/>
          <w:szCs w:val="24"/>
          <w:lang w:val="zh-CN"/>
        </w:rPr>
        <w:t>标注“★”号的条款</w:t>
      </w:r>
      <w:bookmarkEnd w:id="51"/>
      <w:bookmarkEnd w:id="52"/>
      <w:bookmarkEnd w:id="53"/>
      <w:bookmarkEnd w:id="54"/>
    </w:p>
    <w:p>
      <w:pPr>
        <w:autoSpaceDE w:val="0"/>
        <w:autoSpaceDN w:val="0"/>
        <w:spacing w:line="360" w:lineRule="auto"/>
        <w:ind w:firstLine="480" w:firstLineChars="200"/>
        <w:rPr>
          <w:rFonts w:ascii="宋体" w:hAnsi="宋体" w:cs="宋体"/>
          <w:color w:val="auto"/>
          <w:sz w:val="24"/>
          <w:szCs w:val="24"/>
        </w:rPr>
      </w:pPr>
      <w:r>
        <w:rPr>
          <w:rFonts w:hint="eastAsia" w:ascii="宋体" w:hAnsi="宋体" w:cs="宋体"/>
          <w:color w:val="auto"/>
          <w:sz w:val="24"/>
          <w:szCs w:val="24"/>
          <w:lang w:val="zh-CN"/>
        </w:rPr>
        <w:t>凡标记“</w:t>
      </w:r>
      <w:r>
        <w:rPr>
          <w:rFonts w:hint="eastAsia" w:ascii="宋体" w:hAnsi="宋体" w:cs="宋体"/>
          <w:color w:val="auto"/>
          <w:sz w:val="24"/>
          <w:szCs w:val="24"/>
        </w:rPr>
        <w:t>★”号的条款（如有）为必须实质性响应的要求，投标人任何负偏离（不满足要求）或不响应均导致其投标无效。</w:t>
      </w:r>
    </w:p>
    <w:p>
      <w:pPr>
        <w:pStyle w:val="5"/>
        <w:numPr>
          <w:ilvl w:val="1"/>
          <w:numId w:val="9"/>
        </w:numPr>
        <w:spacing w:before="0" w:after="0" w:line="360" w:lineRule="auto"/>
        <w:rPr>
          <w:rFonts w:ascii="宋体" w:hAnsi="宋体" w:cs="宋体"/>
          <w:color w:val="auto"/>
          <w:sz w:val="24"/>
          <w:szCs w:val="24"/>
          <w:lang w:val="zh-CN"/>
        </w:rPr>
      </w:pPr>
      <w:bookmarkStart w:id="55" w:name="_Toc18634"/>
      <w:bookmarkStart w:id="56" w:name="_Toc22806094"/>
      <w:bookmarkStart w:id="57" w:name="_Toc48206245"/>
      <w:bookmarkStart w:id="58" w:name="_Toc14122"/>
      <w:r>
        <w:rPr>
          <w:rFonts w:hint="eastAsia" w:ascii="宋体" w:hAnsi="宋体" w:cs="宋体"/>
          <w:color w:val="auto"/>
          <w:sz w:val="24"/>
          <w:szCs w:val="24"/>
          <w:lang w:val="zh-CN"/>
        </w:rPr>
        <w:t>标记“▲”号的条款</w:t>
      </w:r>
      <w:bookmarkEnd w:id="55"/>
      <w:bookmarkEnd w:id="56"/>
      <w:bookmarkEnd w:id="57"/>
      <w:bookmarkEnd w:id="58"/>
    </w:p>
    <w:p>
      <w:pPr>
        <w:autoSpaceDE w:val="0"/>
        <w:autoSpaceDN w:val="0"/>
        <w:spacing w:line="360" w:lineRule="auto"/>
        <w:ind w:firstLine="480" w:firstLineChars="200"/>
        <w:rPr>
          <w:rFonts w:ascii="宋体" w:hAnsi="宋体" w:cs="宋体"/>
          <w:i/>
          <w:color w:val="auto"/>
          <w:sz w:val="24"/>
          <w:szCs w:val="24"/>
          <w:lang w:val="zh-CN"/>
        </w:rPr>
      </w:pPr>
      <w:r>
        <w:rPr>
          <w:rFonts w:hint="eastAsia" w:ascii="宋体" w:hAnsi="宋体" w:cs="宋体"/>
          <w:color w:val="auto"/>
          <w:sz w:val="24"/>
          <w:szCs w:val="24"/>
          <w:lang w:val="zh-CN"/>
        </w:rPr>
        <w:t>凡标记“</w:t>
      </w:r>
      <w:bookmarkStart w:id="59" w:name="_Hlk88028392"/>
      <w:r>
        <w:rPr>
          <w:rFonts w:hint="eastAsia" w:ascii="宋体" w:hAnsi="宋体" w:cs="宋体"/>
          <w:color w:val="auto"/>
          <w:sz w:val="24"/>
          <w:szCs w:val="24"/>
        </w:rPr>
        <w:t>▲</w:t>
      </w:r>
      <w:bookmarkEnd w:id="59"/>
      <w:r>
        <w:rPr>
          <w:rFonts w:hint="eastAsia" w:ascii="宋体" w:hAnsi="宋体" w:cs="宋体"/>
          <w:color w:val="auto"/>
          <w:sz w:val="24"/>
          <w:szCs w:val="24"/>
        </w:rPr>
        <w:t>”号的条款（如有）为重要的要求，投标人任何负偏离（不满足要求）或不响应不导致其投标无效，但可能对其评审产生重大的影响，具体见项目评审标准。</w:t>
      </w:r>
      <w:bookmarkStart w:id="60" w:name="_Toc46305848"/>
      <w:bookmarkEnd w:id="60"/>
      <w:bookmarkStart w:id="61" w:name="_Toc44687510"/>
      <w:bookmarkEnd w:id="61"/>
      <w:bookmarkStart w:id="62" w:name="_Toc44688102"/>
      <w:bookmarkEnd w:id="62"/>
      <w:bookmarkStart w:id="63" w:name="_Toc44687876"/>
      <w:bookmarkEnd w:id="63"/>
      <w:bookmarkStart w:id="64" w:name="_Toc47459019"/>
      <w:bookmarkEnd w:id="64"/>
    </w:p>
    <w:p>
      <w:pPr>
        <w:snapToGrid w:val="0"/>
        <w:spacing w:line="360" w:lineRule="auto"/>
        <w:ind w:left="422"/>
        <w:rPr>
          <w:rFonts w:ascii="宋体" w:hAnsi="宋体" w:cs="宋体"/>
          <w:b/>
          <w:color w:val="auto"/>
          <w:sz w:val="24"/>
          <w:szCs w:val="24"/>
        </w:rPr>
      </w:pPr>
    </w:p>
    <w:p>
      <w:pPr>
        <w:pStyle w:val="4"/>
        <w:numPr>
          <w:ilvl w:val="0"/>
          <w:numId w:val="8"/>
        </w:numPr>
        <w:spacing w:before="0" w:after="0" w:line="360" w:lineRule="auto"/>
        <w:ind w:left="0" w:firstLine="0"/>
        <w:rPr>
          <w:rFonts w:ascii="宋体" w:hAnsi="宋体" w:cs="宋体"/>
          <w:color w:val="auto"/>
          <w:sz w:val="24"/>
          <w:szCs w:val="24"/>
        </w:rPr>
      </w:pPr>
      <w:bookmarkStart w:id="65" w:name="_Toc2909"/>
      <w:bookmarkStart w:id="66" w:name="_Toc48206249"/>
      <w:bookmarkStart w:id="67" w:name="_Toc22806098"/>
      <w:bookmarkStart w:id="68" w:name="_Toc31173"/>
      <w:r>
        <w:rPr>
          <w:rFonts w:hint="eastAsia" w:ascii="宋体" w:hAnsi="宋体" w:cs="宋体"/>
          <w:color w:val="auto"/>
          <w:sz w:val="24"/>
          <w:szCs w:val="24"/>
        </w:rPr>
        <w:t>采购项目技术要求</w:t>
      </w:r>
      <w:bookmarkEnd w:id="65"/>
      <w:bookmarkEnd w:id="66"/>
      <w:bookmarkEnd w:id="67"/>
      <w:bookmarkEnd w:id="68"/>
    </w:p>
    <w:p>
      <w:pPr>
        <w:pStyle w:val="5"/>
        <w:numPr>
          <w:ilvl w:val="0"/>
          <w:numId w:val="10"/>
        </w:numPr>
        <w:spacing w:before="0" w:after="0" w:line="360" w:lineRule="auto"/>
        <w:ind w:firstLine="0"/>
        <w:rPr>
          <w:rFonts w:ascii="宋体" w:hAnsi="宋体" w:cs="宋体"/>
          <w:color w:val="auto"/>
          <w:sz w:val="24"/>
          <w:szCs w:val="24"/>
        </w:rPr>
      </w:pPr>
      <w:bookmarkStart w:id="69" w:name="_Toc18098"/>
      <w:bookmarkStart w:id="70" w:name="_Toc463948216"/>
      <w:r>
        <w:rPr>
          <w:rFonts w:hint="eastAsia" w:ascii="宋体" w:hAnsi="宋体" w:cs="宋体"/>
          <w:color w:val="auto"/>
          <w:sz w:val="24"/>
          <w:szCs w:val="24"/>
        </w:rPr>
        <w:t>供货范围</w:t>
      </w:r>
      <w:bookmarkEnd w:id="69"/>
      <w:bookmarkEnd w:id="70"/>
    </w:p>
    <w:p>
      <w:pPr>
        <w:pStyle w:val="5"/>
        <w:numPr>
          <w:ilvl w:val="0"/>
          <w:numId w:val="0"/>
        </w:numPr>
        <w:spacing w:before="0" w:after="0" w:line="360" w:lineRule="auto"/>
        <w:ind w:left="420"/>
        <w:rPr>
          <w:rFonts w:ascii="宋体" w:hAnsi="宋体" w:cs="宋体"/>
          <w:b w:val="0"/>
          <w:bCs w:val="0"/>
          <w:color w:val="auto"/>
          <w:sz w:val="24"/>
          <w:szCs w:val="24"/>
        </w:rPr>
      </w:pPr>
      <w:bookmarkStart w:id="71" w:name="_Toc16609"/>
      <w:r>
        <w:rPr>
          <w:rFonts w:hint="eastAsia" w:ascii="宋体" w:hAnsi="宋体" w:cs="宋体"/>
          <w:b w:val="0"/>
          <w:bCs w:val="0"/>
          <w:color w:val="auto"/>
          <w:sz w:val="24"/>
          <w:szCs w:val="24"/>
        </w:rPr>
        <w:t>1、概述</w:t>
      </w:r>
      <w:bookmarkEnd w:id="71"/>
    </w:p>
    <w:p>
      <w:pPr>
        <w:widowControl/>
        <w:autoSpaceDE w:val="0"/>
        <w:autoSpaceDN w:val="0"/>
        <w:spacing w:line="360" w:lineRule="auto"/>
        <w:ind w:firstLine="420" w:firstLineChars="175"/>
        <w:textAlignment w:val="bottom"/>
        <w:rPr>
          <w:rFonts w:ascii="宋体" w:hAnsi="宋体" w:cs="宋体"/>
          <w:color w:val="auto"/>
          <w:sz w:val="24"/>
          <w:szCs w:val="24"/>
        </w:rPr>
      </w:pPr>
      <w:r>
        <w:rPr>
          <w:rFonts w:hint="eastAsia" w:ascii="宋体" w:hAnsi="宋体" w:cs="宋体"/>
          <w:color w:val="auto"/>
          <w:sz w:val="24"/>
          <w:szCs w:val="24"/>
        </w:rPr>
        <w:t>本次设备采购主要针对动力电池电芯配套使用的环境试验箱，详细见下表：</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3"/>
        <w:gridCol w:w="4296"/>
        <w:gridCol w:w="2093"/>
        <w:gridCol w:w="2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486"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序号</w:t>
            </w:r>
          </w:p>
        </w:tc>
        <w:tc>
          <w:tcPr>
            <w:tcW w:w="2286"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hint="eastAsia" w:ascii="宋体" w:hAnsi="宋体" w:cs="宋体"/>
                <w:color w:val="auto"/>
                <w:sz w:val="24"/>
                <w:szCs w:val="24"/>
              </w:rPr>
              <w:t>设备名称</w:t>
            </w:r>
          </w:p>
        </w:tc>
        <w:tc>
          <w:tcPr>
            <w:tcW w:w="1114"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hint="eastAsia" w:ascii="宋体" w:hAnsi="宋体" w:cs="宋体"/>
                <w:color w:val="auto"/>
                <w:sz w:val="24"/>
                <w:szCs w:val="24"/>
              </w:rPr>
              <w:t>数量</w:t>
            </w:r>
          </w:p>
        </w:tc>
        <w:tc>
          <w:tcPr>
            <w:tcW w:w="1114"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hint="eastAsia" w:ascii="宋体" w:hAnsi="宋体" w:cs="宋体"/>
                <w:color w:val="auto"/>
                <w:sz w:val="24"/>
                <w:szCs w:val="24"/>
              </w:rPr>
              <w:t>是否核心产品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60" w:hRule="atLeast"/>
        </w:trPr>
        <w:tc>
          <w:tcPr>
            <w:tcW w:w="486"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hint="eastAsia" w:ascii="宋体" w:hAnsi="宋体" w:cs="宋体"/>
                <w:color w:val="auto"/>
                <w:sz w:val="24"/>
                <w:szCs w:val="24"/>
              </w:rPr>
              <w:t>1</w:t>
            </w:r>
          </w:p>
        </w:tc>
        <w:tc>
          <w:tcPr>
            <w:tcW w:w="42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hint="eastAsia" w:ascii="宋体" w:hAnsi="宋体" w:cs="宋体"/>
                <w:color w:val="auto"/>
                <w:sz w:val="24"/>
                <w:szCs w:val="24"/>
              </w:rPr>
              <w:t>高低温湿热试验箱</w:t>
            </w:r>
            <w:r>
              <w:rPr>
                <w:rFonts w:hint="eastAsia" w:ascii="宋体" w:hAnsi="宋体" w:cs="宋体"/>
                <w:color w:val="auto"/>
                <w:sz w:val="24"/>
                <w:szCs w:val="24"/>
                <w:lang w:val="en-US" w:eastAsia="zh-CN"/>
              </w:rPr>
              <w:t>1</w:t>
            </w:r>
          </w:p>
        </w:tc>
        <w:tc>
          <w:tcPr>
            <w:tcW w:w="1114"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hint="eastAsia" w:ascii="宋体" w:hAnsi="宋体" w:cs="宋体"/>
                <w:color w:val="auto"/>
                <w:sz w:val="24"/>
                <w:szCs w:val="24"/>
              </w:rPr>
              <w:t>15台</w:t>
            </w:r>
          </w:p>
        </w:tc>
        <w:tc>
          <w:tcPr>
            <w:tcW w:w="1114"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hint="eastAsia" w:ascii="宋体" w:hAnsi="宋体" w:cs="宋体"/>
                <w:color w:val="auto"/>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486"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hint="eastAsia" w:ascii="宋体" w:hAnsi="宋体" w:cs="宋体"/>
                <w:color w:val="auto"/>
                <w:sz w:val="24"/>
                <w:szCs w:val="24"/>
              </w:rPr>
              <w:t>2</w:t>
            </w:r>
          </w:p>
        </w:tc>
        <w:tc>
          <w:tcPr>
            <w:tcW w:w="42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hint="eastAsia" w:ascii="宋体" w:hAnsi="宋体" w:cs="宋体"/>
                <w:color w:val="auto"/>
                <w:sz w:val="24"/>
                <w:szCs w:val="24"/>
              </w:rPr>
              <w:t>高低温湿热试验箱</w:t>
            </w:r>
            <w:r>
              <w:rPr>
                <w:rFonts w:hint="eastAsia" w:ascii="宋体" w:hAnsi="宋体" w:cs="宋体"/>
                <w:color w:val="auto"/>
                <w:sz w:val="24"/>
                <w:szCs w:val="24"/>
                <w:lang w:val="en-US" w:eastAsia="zh-CN"/>
              </w:rPr>
              <w:t>2</w:t>
            </w:r>
          </w:p>
        </w:tc>
        <w:tc>
          <w:tcPr>
            <w:tcW w:w="1114"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hint="eastAsia" w:ascii="宋体" w:hAnsi="宋体" w:cs="宋体"/>
                <w:color w:val="auto"/>
                <w:sz w:val="24"/>
                <w:szCs w:val="24"/>
              </w:rPr>
              <w:t>10台</w:t>
            </w:r>
          </w:p>
        </w:tc>
        <w:tc>
          <w:tcPr>
            <w:tcW w:w="1114"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hint="eastAsia" w:ascii="宋体" w:hAnsi="宋体" w:cs="宋体"/>
                <w:color w:val="auto"/>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60" w:hRule="atLeast"/>
        </w:trPr>
        <w:tc>
          <w:tcPr>
            <w:tcW w:w="486"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hint="eastAsia" w:ascii="宋体" w:hAnsi="宋体" w:cs="宋体"/>
                <w:color w:val="auto"/>
                <w:sz w:val="24"/>
                <w:szCs w:val="24"/>
              </w:rPr>
              <w:t>3</w:t>
            </w:r>
          </w:p>
        </w:tc>
        <w:tc>
          <w:tcPr>
            <w:tcW w:w="42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hint="eastAsia" w:ascii="宋体" w:hAnsi="宋体" w:cs="宋体"/>
                <w:color w:val="auto"/>
                <w:sz w:val="24"/>
                <w:szCs w:val="24"/>
              </w:rPr>
              <w:t>快速温度变化湿热试验箱</w:t>
            </w:r>
            <w:r>
              <w:rPr>
                <w:rFonts w:hint="eastAsia" w:ascii="宋体" w:hAnsi="宋体" w:cs="宋体"/>
                <w:color w:val="auto"/>
                <w:sz w:val="24"/>
                <w:szCs w:val="24"/>
                <w:lang w:val="en-US" w:eastAsia="zh-CN"/>
              </w:rPr>
              <w:t>1</w:t>
            </w:r>
          </w:p>
        </w:tc>
        <w:tc>
          <w:tcPr>
            <w:tcW w:w="1114"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hint="eastAsia" w:ascii="宋体" w:hAnsi="宋体" w:cs="宋体"/>
                <w:color w:val="auto"/>
                <w:sz w:val="24"/>
                <w:szCs w:val="24"/>
              </w:rPr>
              <w:t>2台</w:t>
            </w:r>
          </w:p>
        </w:tc>
        <w:tc>
          <w:tcPr>
            <w:tcW w:w="1114" w:type="pct"/>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color w:val="auto"/>
                <w:sz w:val="24"/>
                <w:szCs w:val="24"/>
              </w:rPr>
            </w:pPr>
            <w:r>
              <w:rPr>
                <w:rFonts w:hint="eastAsia" w:ascii="宋体" w:hAnsi="宋体" w:cs="宋体"/>
                <w:color w:val="auto"/>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486"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hint="eastAsia" w:ascii="宋体" w:hAnsi="宋体" w:cs="宋体"/>
                <w:color w:val="auto"/>
                <w:sz w:val="24"/>
                <w:szCs w:val="24"/>
              </w:rPr>
              <w:t>4</w:t>
            </w:r>
          </w:p>
        </w:tc>
        <w:tc>
          <w:tcPr>
            <w:tcW w:w="42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hint="eastAsia" w:ascii="宋体" w:hAnsi="宋体" w:cs="宋体"/>
                <w:color w:val="auto"/>
                <w:sz w:val="24"/>
                <w:szCs w:val="24"/>
              </w:rPr>
              <w:t>高低温湿热试验箱</w:t>
            </w:r>
            <w:r>
              <w:rPr>
                <w:rFonts w:hint="eastAsia" w:ascii="宋体" w:hAnsi="宋体" w:cs="宋体"/>
                <w:color w:val="auto"/>
                <w:sz w:val="24"/>
                <w:szCs w:val="24"/>
                <w:lang w:val="en-US" w:eastAsia="zh-CN"/>
              </w:rPr>
              <w:t>3</w:t>
            </w:r>
          </w:p>
        </w:tc>
        <w:tc>
          <w:tcPr>
            <w:tcW w:w="1114"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hint="eastAsia" w:ascii="宋体" w:hAnsi="宋体" w:cs="宋体"/>
                <w:color w:val="auto"/>
                <w:sz w:val="24"/>
                <w:szCs w:val="24"/>
              </w:rPr>
              <w:t>8台</w:t>
            </w:r>
          </w:p>
        </w:tc>
        <w:tc>
          <w:tcPr>
            <w:tcW w:w="1114" w:type="pct"/>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color w:val="auto"/>
                <w:sz w:val="24"/>
                <w:szCs w:val="24"/>
              </w:rPr>
            </w:pPr>
            <w:r>
              <w:rPr>
                <w:rFonts w:hint="eastAsia" w:ascii="宋体" w:hAnsi="宋体" w:cs="宋体"/>
                <w:color w:val="auto"/>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486"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hint="eastAsia" w:ascii="宋体" w:hAnsi="宋体" w:cs="宋体"/>
                <w:color w:val="auto"/>
                <w:sz w:val="24"/>
                <w:szCs w:val="24"/>
              </w:rPr>
              <w:t>5</w:t>
            </w:r>
          </w:p>
        </w:tc>
        <w:tc>
          <w:tcPr>
            <w:tcW w:w="4296"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auto"/>
                <w:sz w:val="24"/>
                <w:szCs w:val="24"/>
                <w:lang w:eastAsia="zh-CN"/>
              </w:rPr>
            </w:pPr>
            <w:r>
              <w:rPr>
                <w:rFonts w:hint="eastAsia" w:ascii="宋体" w:hAnsi="宋体" w:cs="宋体"/>
                <w:color w:val="auto"/>
                <w:sz w:val="24"/>
                <w:szCs w:val="24"/>
                <w:lang w:eastAsia="zh-CN"/>
              </w:rPr>
              <w:t>低气压湿热试验箱</w:t>
            </w:r>
          </w:p>
        </w:tc>
        <w:tc>
          <w:tcPr>
            <w:tcW w:w="1114"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hint="eastAsia" w:ascii="宋体" w:hAnsi="宋体" w:cs="宋体"/>
                <w:color w:val="auto"/>
                <w:sz w:val="24"/>
                <w:szCs w:val="24"/>
              </w:rPr>
              <w:t>1台</w:t>
            </w:r>
          </w:p>
        </w:tc>
        <w:tc>
          <w:tcPr>
            <w:tcW w:w="1114" w:type="pct"/>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color w:val="auto"/>
                <w:sz w:val="24"/>
                <w:szCs w:val="24"/>
              </w:rPr>
            </w:pPr>
            <w:r>
              <w:rPr>
                <w:rFonts w:hint="eastAsia" w:ascii="宋体" w:hAnsi="宋体" w:cs="宋体"/>
                <w:color w:val="auto"/>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60" w:hRule="atLeast"/>
        </w:trPr>
        <w:tc>
          <w:tcPr>
            <w:tcW w:w="486"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hint="eastAsia" w:ascii="宋体" w:hAnsi="宋体" w:cs="宋体"/>
                <w:color w:val="auto"/>
                <w:sz w:val="24"/>
                <w:szCs w:val="24"/>
              </w:rPr>
              <w:t>6</w:t>
            </w:r>
          </w:p>
        </w:tc>
        <w:tc>
          <w:tcPr>
            <w:tcW w:w="42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ascii="宋体" w:hAnsi="宋体" w:cs="宋体"/>
                <w:color w:val="auto"/>
                <w:sz w:val="24"/>
                <w:szCs w:val="24"/>
              </w:rPr>
              <w:t>高低温湿热试验箱</w:t>
            </w:r>
            <w:r>
              <w:rPr>
                <w:rFonts w:hint="eastAsia" w:ascii="宋体" w:hAnsi="宋体" w:cs="宋体"/>
                <w:color w:val="auto"/>
                <w:sz w:val="24"/>
                <w:szCs w:val="24"/>
                <w:lang w:val="en-US" w:eastAsia="zh-CN"/>
              </w:rPr>
              <w:t>4</w:t>
            </w:r>
          </w:p>
        </w:tc>
        <w:tc>
          <w:tcPr>
            <w:tcW w:w="1114"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hint="eastAsia" w:ascii="宋体" w:hAnsi="宋体" w:cs="宋体"/>
                <w:color w:val="auto"/>
                <w:sz w:val="24"/>
                <w:szCs w:val="24"/>
              </w:rPr>
              <w:t>5台</w:t>
            </w:r>
          </w:p>
        </w:tc>
        <w:tc>
          <w:tcPr>
            <w:tcW w:w="1114" w:type="pct"/>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color w:val="auto"/>
                <w:sz w:val="24"/>
                <w:szCs w:val="24"/>
              </w:rPr>
            </w:pPr>
            <w:r>
              <w:rPr>
                <w:rFonts w:hint="eastAsia" w:ascii="宋体" w:hAnsi="宋体" w:cs="宋体"/>
                <w:color w:val="auto"/>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486"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hint="eastAsia" w:ascii="宋体" w:hAnsi="宋体" w:cs="宋体"/>
                <w:color w:val="auto"/>
                <w:sz w:val="24"/>
                <w:szCs w:val="24"/>
              </w:rPr>
              <w:t>7</w:t>
            </w:r>
          </w:p>
        </w:tc>
        <w:tc>
          <w:tcPr>
            <w:tcW w:w="42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hint="eastAsia" w:ascii="宋体" w:hAnsi="宋体" w:cs="宋体"/>
                <w:color w:val="auto"/>
                <w:sz w:val="24"/>
                <w:szCs w:val="24"/>
              </w:rPr>
              <w:t>快速温度变化湿热试验箱</w:t>
            </w:r>
            <w:r>
              <w:rPr>
                <w:rFonts w:hint="eastAsia" w:ascii="宋体" w:hAnsi="宋体" w:cs="宋体"/>
                <w:color w:val="auto"/>
                <w:sz w:val="24"/>
                <w:szCs w:val="24"/>
                <w:lang w:val="en-US" w:eastAsia="zh-CN"/>
              </w:rPr>
              <w:t>2</w:t>
            </w:r>
          </w:p>
        </w:tc>
        <w:tc>
          <w:tcPr>
            <w:tcW w:w="1114"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hint="eastAsia" w:ascii="宋体" w:hAnsi="宋体" w:cs="宋体"/>
                <w:color w:val="auto"/>
                <w:sz w:val="24"/>
                <w:szCs w:val="24"/>
              </w:rPr>
              <w:t>2台</w:t>
            </w:r>
          </w:p>
        </w:tc>
        <w:tc>
          <w:tcPr>
            <w:tcW w:w="1114" w:type="pct"/>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color w:val="auto"/>
                <w:sz w:val="24"/>
                <w:szCs w:val="24"/>
              </w:rPr>
            </w:pPr>
            <w:r>
              <w:rPr>
                <w:rFonts w:hint="eastAsia" w:ascii="宋体" w:hAnsi="宋体" w:cs="宋体"/>
                <w:color w:val="auto"/>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486"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hint="eastAsia" w:ascii="宋体" w:hAnsi="宋体" w:cs="宋体"/>
                <w:color w:val="auto"/>
                <w:sz w:val="24"/>
                <w:szCs w:val="24"/>
              </w:rPr>
              <w:t>8</w:t>
            </w:r>
          </w:p>
        </w:tc>
        <w:tc>
          <w:tcPr>
            <w:tcW w:w="42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ascii="宋体" w:hAnsi="宋体" w:cs="宋体"/>
                <w:color w:val="auto"/>
                <w:sz w:val="24"/>
                <w:szCs w:val="24"/>
              </w:rPr>
              <w:t>步入式高低温湿热试验箱</w:t>
            </w:r>
            <w:r>
              <w:rPr>
                <w:rFonts w:hint="eastAsia" w:ascii="宋体" w:hAnsi="宋体" w:cs="宋体"/>
                <w:color w:val="auto"/>
                <w:sz w:val="24"/>
                <w:szCs w:val="24"/>
                <w:lang w:val="en-US" w:eastAsia="zh-CN"/>
              </w:rPr>
              <w:t>1</w:t>
            </w:r>
          </w:p>
        </w:tc>
        <w:tc>
          <w:tcPr>
            <w:tcW w:w="1114"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hint="eastAsia" w:ascii="宋体" w:hAnsi="宋体" w:cs="宋体"/>
                <w:color w:val="auto"/>
                <w:sz w:val="24"/>
                <w:szCs w:val="24"/>
              </w:rPr>
              <w:t>2台</w:t>
            </w:r>
          </w:p>
        </w:tc>
        <w:tc>
          <w:tcPr>
            <w:tcW w:w="1114" w:type="pct"/>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color w:val="auto"/>
                <w:sz w:val="24"/>
                <w:szCs w:val="24"/>
              </w:rPr>
            </w:pPr>
            <w:r>
              <w:rPr>
                <w:rFonts w:hint="eastAsia" w:ascii="宋体" w:hAnsi="宋体" w:cs="宋体"/>
                <w:color w:val="auto"/>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486"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hint="eastAsia" w:ascii="宋体" w:hAnsi="宋体" w:cs="宋体"/>
                <w:color w:val="auto"/>
                <w:sz w:val="24"/>
                <w:szCs w:val="24"/>
              </w:rPr>
              <w:t>9</w:t>
            </w:r>
          </w:p>
        </w:tc>
        <w:tc>
          <w:tcPr>
            <w:tcW w:w="42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ascii="宋体" w:hAnsi="宋体" w:cs="宋体"/>
                <w:color w:val="auto"/>
                <w:sz w:val="24"/>
                <w:szCs w:val="24"/>
              </w:rPr>
              <w:t>热滥用防爆试验箱</w:t>
            </w:r>
          </w:p>
        </w:tc>
        <w:tc>
          <w:tcPr>
            <w:tcW w:w="1114"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hint="eastAsia" w:ascii="宋体" w:hAnsi="宋体" w:cs="宋体"/>
                <w:color w:val="auto"/>
                <w:sz w:val="24"/>
                <w:szCs w:val="24"/>
              </w:rPr>
              <w:t>1台</w:t>
            </w:r>
          </w:p>
        </w:tc>
        <w:tc>
          <w:tcPr>
            <w:tcW w:w="1114" w:type="pct"/>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color w:val="auto"/>
                <w:sz w:val="24"/>
                <w:szCs w:val="24"/>
              </w:rPr>
            </w:pPr>
            <w:r>
              <w:rPr>
                <w:rFonts w:hint="eastAsia" w:ascii="宋体" w:hAnsi="宋体" w:cs="宋体"/>
                <w:color w:val="auto"/>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486"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hint="eastAsia" w:ascii="宋体" w:hAnsi="宋体" w:cs="宋体"/>
                <w:color w:val="auto"/>
                <w:sz w:val="24"/>
                <w:szCs w:val="24"/>
              </w:rPr>
              <w:t>10</w:t>
            </w:r>
          </w:p>
        </w:tc>
        <w:tc>
          <w:tcPr>
            <w:tcW w:w="42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ascii="宋体" w:hAnsi="宋体" w:cs="宋体"/>
                <w:color w:val="auto"/>
                <w:sz w:val="24"/>
                <w:szCs w:val="24"/>
              </w:rPr>
              <w:t>步入式高低温湿热试验箱</w:t>
            </w:r>
            <w:r>
              <w:rPr>
                <w:rFonts w:hint="eastAsia" w:ascii="宋体" w:hAnsi="宋体" w:cs="宋体"/>
                <w:color w:val="auto"/>
                <w:sz w:val="24"/>
                <w:szCs w:val="24"/>
                <w:lang w:val="en-US" w:eastAsia="zh-CN"/>
              </w:rPr>
              <w:t>2</w:t>
            </w:r>
          </w:p>
        </w:tc>
        <w:tc>
          <w:tcPr>
            <w:tcW w:w="1114"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hint="eastAsia" w:ascii="宋体" w:hAnsi="宋体" w:cs="宋体"/>
                <w:color w:val="auto"/>
                <w:sz w:val="24"/>
                <w:szCs w:val="24"/>
              </w:rPr>
              <w:t>1台</w:t>
            </w:r>
          </w:p>
        </w:tc>
        <w:tc>
          <w:tcPr>
            <w:tcW w:w="1114" w:type="pct"/>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color w:val="auto"/>
                <w:sz w:val="24"/>
                <w:szCs w:val="24"/>
              </w:rPr>
            </w:pPr>
            <w:r>
              <w:rPr>
                <w:rFonts w:hint="eastAsia" w:ascii="宋体" w:hAnsi="宋体" w:cs="宋体"/>
                <w:color w:val="auto"/>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486"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hint="eastAsia" w:ascii="宋体" w:hAnsi="宋体" w:cs="宋体"/>
                <w:color w:val="auto"/>
                <w:sz w:val="24"/>
                <w:szCs w:val="24"/>
              </w:rPr>
              <w:t>11</w:t>
            </w:r>
          </w:p>
        </w:tc>
        <w:tc>
          <w:tcPr>
            <w:tcW w:w="42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ascii="宋体" w:hAnsi="宋体" w:cs="宋体"/>
                <w:color w:val="auto"/>
                <w:sz w:val="24"/>
                <w:szCs w:val="24"/>
              </w:rPr>
              <w:t>步入式高低温湿热试验箱</w:t>
            </w:r>
            <w:r>
              <w:rPr>
                <w:rFonts w:hint="eastAsia" w:ascii="宋体" w:hAnsi="宋体" w:cs="宋体"/>
                <w:color w:val="auto"/>
                <w:sz w:val="24"/>
                <w:szCs w:val="24"/>
                <w:lang w:val="en-US" w:eastAsia="zh-CN"/>
              </w:rPr>
              <w:t>3</w:t>
            </w:r>
          </w:p>
        </w:tc>
        <w:tc>
          <w:tcPr>
            <w:tcW w:w="1114"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hint="eastAsia" w:ascii="宋体" w:hAnsi="宋体" w:cs="宋体"/>
                <w:color w:val="auto"/>
                <w:sz w:val="24"/>
                <w:szCs w:val="24"/>
              </w:rPr>
              <w:t>1台</w:t>
            </w:r>
          </w:p>
        </w:tc>
        <w:tc>
          <w:tcPr>
            <w:tcW w:w="1114" w:type="pct"/>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color w:val="auto"/>
                <w:sz w:val="24"/>
                <w:szCs w:val="24"/>
              </w:rPr>
            </w:pPr>
            <w:r>
              <w:rPr>
                <w:rFonts w:hint="eastAsia" w:ascii="宋体" w:hAnsi="宋体" w:cs="宋体"/>
                <w:color w:val="auto"/>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486"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hint="eastAsia" w:ascii="宋体" w:hAnsi="宋体" w:cs="宋体"/>
                <w:color w:val="auto"/>
                <w:sz w:val="24"/>
                <w:szCs w:val="24"/>
              </w:rPr>
              <w:t>12</w:t>
            </w:r>
          </w:p>
        </w:tc>
        <w:tc>
          <w:tcPr>
            <w:tcW w:w="42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hint="eastAsia" w:ascii="宋体" w:hAnsi="宋体" w:cs="宋体"/>
                <w:color w:val="auto"/>
                <w:sz w:val="24"/>
                <w:szCs w:val="24"/>
                <w:lang w:eastAsia="zh-CN"/>
              </w:rPr>
              <w:t>温度/湿度/振动综合环境试验箱</w:t>
            </w:r>
            <w:r>
              <w:rPr>
                <w:rFonts w:hint="eastAsia" w:ascii="宋体" w:hAnsi="宋体" w:cs="宋体"/>
                <w:color w:val="auto"/>
                <w:sz w:val="24"/>
                <w:szCs w:val="24"/>
                <w:lang w:val="en-US" w:eastAsia="zh-CN"/>
              </w:rPr>
              <w:t>1</w:t>
            </w:r>
          </w:p>
        </w:tc>
        <w:tc>
          <w:tcPr>
            <w:tcW w:w="1114"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hint="eastAsia" w:ascii="宋体" w:hAnsi="宋体" w:cs="宋体"/>
                <w:color w:val="auto"/>
                <w:sz w:val="24"/>
                <w:szCs w:val="24"/>
              </w:rPr>
              <w:t>1台</w:t>
            </w:r>
          </w:p>
        </w:tc>
        <w:tc>
          <w:tcPr>
            <w:tcW w:w="1114" w:type="pct"/>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color w:val="auto"/>
                <w:sz w:val="24"/>
                <w:szCs w:val="24"/>
              </w:rPr>
            </w:pPr>
            <w:r>
              <w:rPr>
                <w:rFonts w:hint="eastAsia" w:ascii="宋体" w:hAnsi="宋体" w:cs="宋体"/>
                <w:color w:val="auto"/>
                <w:sz w:val="24"/>
                <w:szCs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486"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hint="eastAsia" w:ascii="宋体" w:hAnsi="宋体" w:cs="宋体"/>
                <w:color w:val="auto"/>
                <w:sz w:val="24"/>
                <w:szCs w:val="24"/>
              </w:rPr>
              <w:t>13</w:t>
            </w:r>
          </w:p>
        </w:tc>
        <w:tc>
          <w:tcPr>
            <w:tcW w:w="42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hint="eastAsia" w:ascii="宋体" w:hAnsi="宋体" w:cs="宋体"/>
                <w:color w:val="auto"/>
                <w:sz w:val="24"/>
                <w:szCs w:val="24"/>
                <w:lang w:eastAsia="zh-CN"/>
              </w:rPr>
              <w:t>温度/湿度/振动综合环境试验箱</w:t>
            </w:r>
            <w:r>
              <w:rPr>
                <w:rFonts w:hint="eastAsia" w:ascii="宋体" w:hAnsi="宋体" w:cs="宋体"/>
                <w:color w:val="auto"/>
                <w:sz w:val="24"/>
                <w:szCs w:val="24"/>
                <w:lang w:val="en-US" w:eastAsia="zh-CN"/>
              </w:rPr>
              <w:t>2</w:t>
            </w:r>
          </w:p>
        </w:tc>
        <w:tc>
          <w:tcPr>
            <w:tcW w:w="1114"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hint="eastAsia" w:ascii="宋体" w:hAnsi="宋体" w:cs="宋体"/>
                <w:color w:val="auto"/>
                <w:sz w:val="24"/>
                <w:szCs w:val="24"/>
              </w:rPr>
              <w:t>1台</w:t>
            </w:r>
          </w:p>
        </w:tc>
        <w:tc>
          <w:tcPr>
            <w:tcW w:w="1114" w:type="pct"/>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color w:val="auto"/>
                <w:sz w:val="24"/>
                <w:szCs w:val="24"/>
              </w:rPr>
            </w:pPr>
            <w:r>
              <w:rPr>
                <w:rFonts w:hint="eastAsia" w:ascii="宋体" w:hAnsi="宋体" w:cs="宋体"/>
                <w:color w:val="auto"/>
                <w:sz w:val="24"/>
                <w:szCs w:val="24"/>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486"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hint="eastAsia" w:ascii="宋体" w:hAnsi="宋体" w:cs="宋体"/>
                <w:color w:val="auto"/>
                <w:sz w:val="24"/>
                <w:szCs w:val="24"/>
              </w:rPr>
              <w:t>14</w:t>
            </w:r>
          </w:p>
        </w:tc>
        <w:tc>
          <w:tcPr>
            <w:tcW w:w="429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ascii="宋体" w:hAnsi="宋体" w:cs="宋体"/>
                <w:color w:val="auto"/>
                <w:sz w:val="24"/>
                <w:szCs w:val="24"/>
              </w:rPr>
              <w:t>高低温冲击试验箱</w:t>
            </w:r>
            <w:r>
              <w:rPr>
                <w:rFonts w:hint="eastAsia" w:ascii="宋体" w:hAnsi="宋体" w:cs="宋体"/>
                <w:color w:val="auto"/>
                <w:sz w:val="24"/>
                <w:szCs w:val="24"/>
                <w:lang w:val="en-US" w:eastAsia="zh-CN"/>
              </w:rPr>
              <w:t>5</w:t>
            </w:r>
          </w:p>
        </w:tc>
        <w:tc>
          <w:tcPr>
            <w:tcW w:w="1114"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sz w:val="24"/>
                <w:szCs w:val="24"/>
              </w:rPr>
            </w:pPr>
            <w:r>
              <w:rPr>
                <w:rFonts w:hint="eastAsia" w:ascii="宋体" w:hAnsi="宋体" w:cs="宋体"/>
                <w:color w:val="auto"/>
                <w:sz w:val="24"/>
                <w:szCs w:val="24"/>
              </w:rPr>
              <w:t>2台</w:t>
            </w:r>
          </w:p>
        </w:tc>
        <w:tc>
          <w:tcPr>
            <w:tcW w:w="1114" w:type="pct"/>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color w:val="auto"/>
                <w:sz w:val="24"/>
                <w:szCs w:val="24"/>
              </w:rPr>
            </w:pPr>
            <w:r>
              <w:rPr>
                <w:rFonts w:hint="eastAsia" w:ascii="宋体" w:hAnsi="宋体" w:cs="宋体"/>
                <w:color w:val="auto"/>
                <w:sz w:val="24"/>
                <w:szCs w:val="24"/>
              </w:rPr>
              <w:t>否</w:t>
            </w:r>
          </w:p>
        </w:tc>
      </w:tr>
    </w:tbl>
    <w:p>
      <w:pPr>
        <w:spacing w:line="360" w:lineRule="exact"/>
        <w:ind w:firstLine="480" w:firstLineChars="200"/>
        <w:jc w:val="left"/>
        <w:rPr>
          <w:rFonts w:ascii="宋体" w:hAnsi="宋体" w:cs="宋体"/>
          <w:bCs/>
          <w:color w:val="auto"/>
          <w:sz w:val="24"/>
          <w:szCs w:val="24"/>
          <w:u w:val="single"/>
        </w:rPr>
      </w:pPr>
      <w:r>
        <w:rPr>
          <w:rFonts w:hint="eastAsia" w:ascii="宋体" w:hAnsi="宋体" w:cs="宋体"/>
          <w:bCs/>
          <w:color w:val="auto"/>
          <w:sz w:val="24"/>
          <w:szCs w:val="24"/>
          <w:u w:val="single"/>
        </w:rPr>
        <w:t>注：所有的技术参数指标是最低要求，供应商应保证投标产品实质上优于或相当于采购需求。</w:t>
      </w:r>
    </w:p>
    <w:p>
      <w:pPr>
        <w:pStyle w:val="74"/>
        <w:rPr>
          <w:rFonts w:ascii="宋体" w:hAnsi="宋体" w:cs="宋体"/>
          <w:color w:val="auto"/>
          <w:sz w:val="24"/>
          <w:szCs w:val="24"/>
        </w:rPr>
      </w:pPr>
    </w:p>
    <w:p>
      <w:pPr>
        <w:pStyle w:val="5"/>
        <w:numPr>
          <w:ilvl w:val="0"/>
          <w:numId w:val="0"/>
        </w:numPr>
        <w:spacing w:before="0" w:after="0" w:line="360" w:lineRule="auto"/>
        <w:ind w:left="420"/>
        <w:rPr>
          <w:rFonts w:ascii="宋体" w:hAnsi="宋体" w:cs="宋体"/>
          <w:b w:val="0"/>
          <w:bCs w:val="0"/>
          <w:color w:val="auto"/>
          <w:sz w:val="24"/>
          <w:szCs w:val="24"/>
        </w:rPr>
      </w:pPr>
      <w:bookmarkStart w:id="72" w:name="_Toc4576"/>
      <w:bookmarkStart w:id="73" w:name="_Hlk85112637"/>
      <w:r>
        <w:rPr>
          <w:rFonts w:hint="eastAsia" w:ascii="宋体" w:hAnsi="宋体" w:cs="宋体"/>
          <w:b w:val="0"/>
          <w:bCs w:val="0"/>
          <w:color w:val="auto"/>
          <w:sz w:val="24"/>
          <w:szCs w:val="24"/>
        </w:rPr>
        <w:t>2.1、高低温湿热试验箱</w:t>
      </w:r>
      <w:r>
        <w:rPr>
          <w:rFonts w:hint="eastAsia" w:ascii="宋体" w:hAnsi="宋体" w:cs="宋体"/>
          <w:b w:val="0"/>
          <w:bCs w:val="0"/>
          <w:color w:val="auto"/>
          <w:sz w:val="24"/>
          <w:szCs w:val="24"/>
          <w:lang w:val="en-US" w:eastAsia="zh-CN"/>
        </w:rPr>
        <w:t>1</w:t>
      </w:r>
      <w:r>
        <w:rPr>
          <w:rFonts w:hint="eastAsia" w:ascii="宋体" w:hAnsi="宋体" w:cs="宋体"/>
          <w:b w:val="0"/>
          <w:bCs w:val="0"/>
          <w:color w:val="auto"/>
          <w:sz w:val="24"/>
          <w:szCs w:val="24"/>
        </w:rPr>
        <w:t>（15台）：</w:t>
      </w:r>
      <w:bookmarkEnd w:id="72"/>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xml:space="preserve">★ </w:t>
      </w:r>
      <w:bookmarkEnd w:id="73"/>
      <w:r>
        <w:rPr>
          <w:rFonts w:hint="eastAsia" w:ascii="宋体" w:hAnsi="宋体" w:cs="宋体"/>
          <w:color w:val="auto"/>
          <w:sz w:val="24"/>
          <w:szCs w:val="24"/>
        </w:rPr>
        <w:t>2.1.1标称内容积：不小于</w:t>
      </w:r>
      <w:r>
        <w:rPr>
          <w:rFonts w:ascii="宋体" w:hAnsi="宋体" w:cs="宋体"/>
          <w:color w:val="auto"/>
          <w:sz w:val="24"/>
          <w:szCs w:val="24"/>
        </w:rPr>
        <w:t>0.8</w:t>
      </w:r>
      <w:r>
        <w:rPr>
          <w:rFonts w:hint="eastAsia" w:ascii="宋体" w:hAnsi="宋体" w:cs="宋体"/>
          <w:color w:val="auto"/>
          <w:sz w:val="24"/>
          <w:szCs w:val="24"/>
        </w:rPr>
        <w:t>立方；</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2.1.2标称内容积：</w:t>
      </w:r>
      <w:bookmarkStart w:id="74" w:name="_Hlk88115662"/>
      <w:r>
        <w:rPr>
          <w:rFonts w:hint="eastAsia" w:ascii="宋体" w:hAnsi="宋体" w:cs="宋体"/>
          <w:color w:val="auto"/>
          <w:sz w:val="24"/>
          <w:szCs w:val="24"/>
        </w:rPr>
        <w:t>不小于</w:t>
      </w:r>
      <w:bookmarkEnd w:id="74"/>
      <w:r>
        <w:rPr>
          <w:rFonts w:hint="eastAsia" w:ascii="宋体" w:hAnsi="宋体" w:cs="宋体"/>
          <w:color w:val="auto"/>
          <w:sz w:val="24"/>
          <w:szCs w:val="24"/>
        </w:rPr>
        <w:t>W1000mm×H</w:t>
      </w:r>
      <w:r>
        <w:rPr>
          <w:rFonts w:ascii="宋体" w:hAnsi="宋体" w:cs="宋体"/>
          <w:color w:val="auto"/>
          <w:sz w:val="24"/>
          <w:szCs w:val="24"/>
        </w:rPr>
        <w:t>8</w:t>
      </w:r>
      <w:r>
        <w:rPr>
          <w:rFonts w:hint="eastAsia" w:ascii="宋体" w:hAnsi="宋体" w:cs="宋体"/>
          <w:color w:val="auto"/>
          <w:sz w:val="24"/>
          <w:szCs w:val="24"/>
        </w:rPr>
        <w:t>00mm×D1000mm；</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2.1.3温度范围：-70℃～+150℃；</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2.1.4温度波动度：0.5℃；</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2.1.5温度偏差：±1.5℃；</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2.1.6温度均匀度：2.0℃</w:t>
      </w:r>
    </w:p>
    <w:p>
      <w:pPr>
        <w:spacing w:line="360" w:lineRule="auto"/>
        <w:ind w:firstLine="2738" w:firstLineChars="1141"/>
        <w:rPr>
          <w:rFonts w:ascii="宋体" w:hAnsi="宋体" w:cs="宋体"/>
          <w:color w:val="auto"/>
          <w:sz w:val="24"/>
          <w:szCs w:val="24"/>
        </w:rPr>
      </w:pPr>
      <w:r>
        <w:rPr>
          <w:rFonts w:hint="eastAsia" w:ascii="宋体" w:hAnsi="宋体" w:cs="宋体"/>
          <w:color w:val="auto"/>
          <w:sz w:val="24"/>
          <w:szCs w:val="24"/>
        </w:rPr>
        <w:t>1.0℃（温度≤70℃，湿度≥90%RH时）</w:t>
      </w:r>
    </w:p>
    <w:p>
      <w:pPr>
        <w:spacing w:line="360" w:lineRule="auto"/>
        <w:ind w:firstLine="2738" w:firstLineChars="1141"/>
        <w:rPr>
          <w:rFonts w:ascii="宋体" w:hAnsi="宋体" w:cs="宋体"/>
          <w:color w:val="auto"/>
          <w:sz w:val="24"/>
          <w:szCs w:val="24"/>
        </w:rPr>
      </w:pPr>
      <w:r>
        <w:rPr>
          <w:rFonts w:hint="eastAsia" w:ascii="宋体" w:hAnsi="宋体" w:cs="宋体"/>
          <w:color w:val="auto"/>
          <w:sz w:val="24"/>
          <w:szCs w:val="24"/>
        </w:rPr>
        <w:t>1.0℃（温度＞70℃，湿度≥80%RH时）；</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2.1.7温度最大变化速率：≥2℃/min（标准负载50kg铝锭，700W发热量，-40～+85℃，全程平均，入风区控制点测量）；</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2.1.8湿度范围：（20～98）%RH；</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2.1.9相对湿度偏差：±3.0%RH（湿度＞75%RH时），±5.0%RH（湿度≤75%RH时）；</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2.1.10结构方式：一体式结构，前上部为试验区，前下部及后部为制冷机组，箱体顶部安装防爆泄压装置；</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2.1.11外壁：双面镀锌钢板δ1.0mm，表面喷塑处理；外部结构加强件：双面镀锌钢板δ2.0mm，表面喷塑处理，或Q235型钢表面喷塑处理；</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2.1.12内壁：SUS304不锈钢板δ1.2mm；内部结构框架式加强件：SUS304不锈钢δ1.5mm；绝热材料：硬质聚氨酯泡沫+超细玻璃纤维，壁厚100mm</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2.1.13箱内最大总承重量：150kg；</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2.1.14门上配备：观察窗（内外均安装防护网）、照明灯；</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2.1.15门锁：门锁采用密闭联动把手；</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2.1.16门框：门框备防凝露电热装置；</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2.1.17安全链条：大门铰链侧和把手侧均安装安全链条2条，限制大门打开的角度；</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2.1.18引线孔：4个φ150mm引线孔，配软胶塞，箱体左、右侧各2个，上下排列，位于内箱侧壁的中心；各配引线孔胶塞卡箍1个，将胶塞压紧，防止弹出；</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2.1.19样品架：2层可调节式不锈钢样品架，承重（均布）：50kg/层；</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2.1.20二次电源：设备安全防护系统采用二次电源供电，设备报警停机时将切断风机、加热器、压缩机等一次电源，配有灭火系统、强排系统等消防系统的，消防系统电源不受影响；</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2.1.21泄压口：1套，箱体顶部开泄压口</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泄压板是非重闭式压力泄放装置，当泄压板两侧压力达到3kPa时，泄压板即刻动作，并释放出箱内气体</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泄压板为不锈钢材料，泄压板和内箱之间进行可靠的密封，保证在高温、湿热、低温等各种工况下箱体密封性</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泄压口外板设有外网罩，阻挡泄压时内部保温板等飞溅出，保护人员和设备安全；</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2.1.22节流装置：电子膨胀阀；</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2.1.23加湿器：水盆加热加湿（表面蒸发）方式；</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2.1.24显示器：7.0英寸，800×480点阵，TFT 64K 彩色LCD显示器；</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★2.1.25运行方式：程序方式、定值方式；</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★2.1.26通讯接口：RJ-45以太网接口（IEEE802.3i/3u/3ab，100Mbps）</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RS-485接口；</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★2.1.27测量传感器：</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温度：T型热电偶</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湿度：干、湿球温度计法（仅在有湿度控制的试验时工作）</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★2.1.28四色报警灯：1只；</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★2.1.29急停开关：1个；</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2.1.30试样电源控制端子：继电器触点控制，AC240V、2A以内（当正常运行时，触点闭合；当设备停机或故障时，触点断开）；</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2.1.31灭火联动控制器：在用户控制室内安装灭火联动控制器，控制器面板上设置手动紧急灭火按钮，用户控制室现场设置声光报警器</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灭火联动控制器接收各试验箱的报警信号。当灭火联动控制器收到报警信号，声光报警器动作，试验箱灭火系统自动启动。用户可根据现场情况操作手动紧急灭火按钮，启动试验箱灭火系统。灭火联动控制器采用独立供电模式，设备报警停机时也可正常运行。用户需在灭火联动控制器附近提供外接电源；</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2.1.32用户电池控制系统联动：试验箱配置信号控制端子，指令通讯方式为无源开关通断信号。用户可通过信号控制端子连接试验箱和用户电池控制系统。当电池试验出现异常时，试验箱可接收用户电池控制系统发送的报警或停机指令，并根据指令进行相应的动作（报警或停机）；</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2.1.33用户检测柜联动：试验箱配置RJ-45以太网接口，提供STEN通讯协议。用户可自行开发软件连接试验箱和用户检测柜，可以实现在检测柜电脑界面设置温湿度等参数、读取当前的温湿度数据、监控试验箱运行状态等功能；</w:t>
      </w:r>
    </w:p>
    <w:p>
      <w:pPr>
        <w:widowControl/>
        <w:autoSpaceDE/>
        <w:autoSpaceDN/>
        <w:spacing w:line="360" w:lineRule="auto"/>
        <w:ind w:firstLine="420" w:firstLineChars="175"/>
        <w:textAlignment w:val="auto"/>
        <w:rPr>
          <w:rFonts w:ascii="宋体" w:hAnsi="宋体" w:cs="宋体"/>
          <w:color w:val="auto"/>
          <w:sz w:val="24"/>
          <w:szCs w:val="24"/>
        </w:rPr>
      </w:pPr>
      <w:r>
        <w:rPr>
          <w:rFonts w:hint="eastAsia" w:ascii="宋体" w:hAnsi="宋体" w:cs="宋体"/>
          <w:color w:val="auto"/>
          <w:sz w:val="24"/>
          <w:szCs w:val="24"/>
        </w:rPr>
        <w:t>★ 2.1.34安全策略：电池发生爆燃时，泄压口打开，行程开关报警，设备停机。</w:t>
      </w:r>
    </w:p>
    <w:p>
      <w:pPr>
        <w:pStyle w:val="5"/>
        <w:numPr>
          <w:ilvl w:val="0"/>
          <w:numId w:val="0"/>
        </w:numPr>
        <w:spacing w:before="0" w:after="0" w:line="360" w:lineRule="auto"/>
        <w:ind w:left="420"/>
        <w:rPr>
          <w:rFonts w:ascii="宋体" w:hAnsi="宋体" w:cs="宋体"/>
          <w:b w:val="0"/>
          <w:bCs w:val="0"/>
          <w:color w:val="auto"/>
          <w:sz w:val="24"/>
          <w:szCs w:val="24"/>
        </w:rPr>
      </w:pPr>
      <w:bookmarkStart w:id="75" w:name="_Toc30952"/>
      <w:r>
        <w:rPr>
          <w:rFonts w:hint="eastAsia" w:ascii="宋体" w:hAnsi="宋体" w:cs="宋体"/>
          <w:b w:val="0"/>
          <w:bCs w:val="0"/>
          <w:color w:val="auto"/>
          <w:sz w:val="24"/>
          <w:szCs w:val="24"/>
        </w:rPr>
        <w:t>2.2、高低温湿热试验箱</w:t>
      </w:r>
      <w:r>
        <w:rPr>
          <w:rFonts w:hint="eastAsia" w:ascii="宋体" w:hAnsi="宋体" w:cs="宋体"/>
          <w:b w:val="0"/>
          <w:bCs w:val="0"/>
          <w:color w:val="auto"/>
          <w:sz w:val="24"/>
          <w:szCs w:val="24"/>
          <w:lang w:val="en-US" w:eastAsia="zh-CN"/>
        </w:rPr>
        <w:t>2</w:t>
      </w:r>
      <w:r>
        <w:rPr>
          <w:rFonts w:hint="eastAsia" w:ascii="宋体" w:hAnsi="宋体" w:cs="宋体"/>
          <w:b w:val="0"/>
          <w:bCs w:val="0"/>
          <w:color w:val="auto"/>
          <w:sz w:val="24"/>
          <w:szCs w:val="24"/>
        </w:rPr>
        <w:t>（10台）：</w:t>
      </w:r>
      <w:bookmarkEnd w:id="75"/>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2.2.1标称内容积：不小于</w:t>
      </w:r>
      <w:r>
        <w:rPr>
          <w:rFonts w:ascii="宋体" w:hAnsi="宋体" w:cs="宋体"/>
          <w:color w:val="auto"/>
          <w:sz w:val="24"/>
          <w:szCs w:val="24"/>
        </w:rPr>
        <w:t>0.8</w:t>
      </w:r>
      <w:r>
        <w:rPr>
          <w:rFonts w:hint="eastAsia" w:ascii="宋体" w:hAnsi="宋体" w:cs="宋体"/>
          <w:color w:val="auto"/>
          <w:sz w:val="24"/>
          <w:szCs w:val="24"/>
        </w:rPr>
        <w:t>立方；</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2.2.2标称内容积：不小于W1000mm×H</w:t>
      </w:r>
      <w:r>
        <w:rPr>
          <w:rFonts w:ascii="宋体" w:hAnsi="宋体" w:cs="宋体"/>
          <w:color w:val="auto"/>
          <w:sz w:val="24"/>
          <w:szCs w:val="24"/>
        </w:rPr>
        <w:t>8</w:t>
      </w:r>
      <w:r>
        <w:rPr>
          <w:rFonts w:hint="eastAsia" w:ascii="宋体" w:hAnsi="宋体" w:cs="宋体"/>
          <w:color w:val="auto"/>
          <w:sz w:val="24"/>
          <w:szCs w:val="24"/>
        </w:rPr>
        <w:t>00mm×D1000mm；</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2.2.3温度范围：-70℃～+150℃；</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2.2.4温度波动度：0.5℃；</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2.2.5温度偏差：±1.5℃；</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2.2.6温度均匀度：2.0℃</w:t>
      </w:r>
    </w:p>
    <w:p>
      <w:pPr>
        <w:spacing w:line="360" w:lineRule="auto"/>
        <w:ind w:firstLine="2738" w:firstLineChars="1141"/>
        <w:rPr>
          <w:rFonts w:ascii="宋体" w:hAnsi="宋体" w:cs="宋体"/>
          <w:color w:val="auto"/>
          <w:sz w:val="24"/>
          <w:szCs w:val="24"/>
        </w:rPr>
      </w:pPr>
      <w:r>
        <w:rPr>
          <w:rFonts w:hint="eastAsia" w:ascii="宋体" w:hAnsi="宋体" w:cs="宋体"/>
          <w:color w:val="auto"/>
          <w:sz w:val="24"/>
          <w:szCs w:val="24"/>
        </w:rPr>
        <w:t>1.0℃（温度≤70℃，湿度≥90%RH时）</w:t>
      </w:r>
    </w:p>
    <w:p>
      <w:pPr>
        <w:spacing w:line="360" w:lineRule="auto"/>
        <w:ind w:firstLine="2738" w:firstLineChars="1141"/>
        <w:rPr>
          <w:rFonts w:ascii="宋体" w:hAnsi="宋体" w:cs="宋体"/>
          <w:color w:val="auto"/>
          <w:sz w:val="24"/>
          <w:szCs w:val="24"/>
        </w:rPr>
      </w:pPr>
      <w:r>
        <w:rPr>
          <w:rFonts w:hint="eastAsia" w:ascii="宋体" w:hAnsi="宋体" w:cs="宋体"/>
          <w:color w:val="auto"/>
          <w:sz w:val="24"/>
          <w:szCs w:val="24"/>
        </w:rPr>
        <w:t>1.0℃（温度＞70℃，湿度≥80%RH时）；</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2.2.7温度最大变化速率：≥5℃/min（标准负载50kg铝锭，700W发热量，-40～+85℃，全程平均，入风区控制点测量）；</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2.2.8湿度范围：（20～98）%RH；</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2.2.9相对湿度偏差：±3.0%RH（湿度＞75%RH时），±5.0%RH（湿度≤75%RH时）；</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2.2.10结构方式：分体式结构，箱体顶部安装防爆泄压装置；</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2.2.11外壁：双面镀锌钢板δ1.0mm，表面喷塑处理；外部结构加强件：双面镀锌钢板δ2.0mm，表面喷塑处理，或Q235型钢表面喷塑处理；</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2.2.12内壁：SUS304不锈钢板δ1.2mm；内部结构框架式加强件：SUS304不锈钢δ1.5mm；绝热材料：硬质聚氨酯泡沫+超细玻璃纤维，壁厚100mm</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2.2.13箱内最大总承重量：150kg；</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2.2.14门上配备：观察窗（内外均安装防护网）、照明灯；</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2.2.15门锁：门锁采用密闭联动把手；</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2.2.16门框：门框备防凝露电热装置；</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2.2.17安全链条：大门铰链侧和把手侧均安装安全链条2条，限制大门打开的角度；</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2.2.18引线孔：4个φ150mm引线孔，配软胶塞，箱体左、右侧各2个，上下排列，位于内箱侧壁的中心；各配引线孔胶塞卡箍1个，将胶塞压紧，防止弹出；</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2.2.19样品架：2层可调节式不锈钢样品架，承重（均布）：50kg/层；</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2.2.20二次电源：设备安全防护系统采用二次电源供电，设备报警停机时将切断风机、加热器、压缩机等一次电源，配有灭火系统、强排系统等消防系统的，消防系统电源不受影响；</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2.2.21泄压口：1套，箱体顶部开泄压口</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泄压板是非重闭式压力泄放装置，当泄压板两侧压力达到3kPa时，泄压板即刻动作，并释放出箱内气体</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泄压板为不锈钢材料，泄压板和内箱之间进行可靠的密封，保证在高温、湿热、低温等各种工况下箱体密封性</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泄压口外板设有外网罩，阻挡泄压时内部保温板等飞溅出，保护人员和设备安全；</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2.2.22节流装置：电子膨胀阀；</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2.2.23加湿器：水盆加热加湿（表面蒸发）方式；</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2.2.24显示器：7.0英寸，800×480点阵，TFT 64K 彩色LCD显示器；</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★2.2.25运行方式：程序方式、定值方式；</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★2.2.26通讯接口：RJ-45以太网接口（IEEE802.3i/3u/3ab，100Mbps）RS-485接口；</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★2.2.27测量传感器：温度：T型热电偶；湿度：干、湿球温度计法（仅在有湿度控制的试验时工作）；</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★2.2.28四色报警灯：1只；</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★2.2.29急停开关：1个；</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2.2.30试样电源控制端子：继电器触点控制，AC240V、2A以内（当正常运行时，触点闭合；当设备停机或故障时，触点断开）；</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2.2.31灭火联动控制器：在用户控制室内安装灭火联动控制器，控制器面板上设置手动紧急灭火按钮，用户控制室现场设置声光报警器</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灭火联动控制器接收各试验箱的报警信号。当灭火联动控制器收到报警信号，声光报警器动作，试验箱灭火系统自动启动。用户可根据现场情况操作手动紧急灭火按钮，启动试验箱灭火系统。灭火联动控制器采用独立供电模式，设备报警停机时也可正常运行。用户需在灭火联动控制器附近提供外接电源；</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2.2.32用户电池控制系统联动：试验箱配置信号控制端子，指令通讯方式为无源开关通断信号。用户可通过信号控制端子连接试验箱和用户电池控制系统。当电池试验出现异常时，试验箱可接收用户电池控制系统发送的报警或停机指令，并根据指令进行相应的动作（报警或停机）；</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2.2.33用户检测柜联动：试验箱配置RJ-45以太网接口，提供STEN通讯协议。用户可自行开发软件连接试验箱和用户检测柜，可以实现在检测柜电脑界面设置温湿度等参数、读取当前的温湿度数据、监控试验箱运行状态等功能；</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2.2.34安全策略：电池发生爆燃时，泄压口打开，行程开关报警，设备停机。</w:t>
      </w:r>
    </w:p>
    <w:p>
      <w:pPr>
        <w:widowControl/>
        <w:autoSpaceDE w:val="0"/>
        <w:autoSpaceDN w:val="0"/>
        <w:spacing w:line="360" w:lineRule="auto"/>
        <w:textAlignment w:val="bottom"/>
        <w:rPr>
          <w:rFonts w:ascii="宋体" w:hAnsi="宋体" w:cs="宋体"/>
          <w:color w:val="auto"/>
          <w:sz w:val="24"/>
          <w:szCs w:val="24"/>
        </w:rPr>
      </w:pPr>
    </w:p>
    <w:p>
      <w:pPr>
        <w:pStyle w:val="5"/>
        <w:widowControl/>
        <w:numPr>
          <w:ilvl w:val="0"/>
          <w:numId w:val="0"/>
        </w:numPr>
        <w:autoSpaceDE w:val="0"/>
        <w:autoSpaceDN w:val="0"/>
        <w:spacing w:before="0" w:after="0" w:line="360" w:lineRule="auto"/>
        <w:ind w:left="420"/>
        <w:textAlignment w:val="bottom"/>
        <w:rPr>
          <w:rFonts w:ascii="宋体" w:hAnsi="宋体" w:cs="宋体"/>
          <w:b w:val="0"/>
          <w:bCs w:val="0"/>
          <w:color w:val="auto"/>
          <w:sz w:val="24"/>
          <w:szCs w:val="24"/>
        </w:rPr>
      </w:pPr>
      <w:bookmarkStart w:id="76" w:name="_Toc11186"/>
      <w:r>
        <w:rPr>
          <w:rFonts w:hint="eastAsia" w:ascii="宋体" w:hAnsi="宋体" w:cs="宋体"/>
          <w:b w:val="0"/>
          <w:bCs w:val="0"/>
          <w:color w:val="auto"/>
          <w:sz w:val="24"/>
          <w:szCs w:val="24"/>
        </w:rPr>
        <w:t>2.3、快速温度变化湿热试验箱</w:t>
      </w:r>
      <w:r>
        <w:rPr>
          <w:rFonts w:hint="eastAsia" w:ascii="宋体" w:hAnsi="宋体" w:cs="宋体"/>
          <w:b w:val="0"/>
          <w:bCs w:val="0"/>
          <w:color w:val="auto"/>
          <w:sz w:val="24"/>
          <w:szCs w:val="24"/>
          <w:lang w:val="en-US" w:eastAsia="zh-CN"/>
        </w:rPr>
        <w:t>1</w:t>
      </w:r>
      <w:r>
        <w:rPr>
          <w:rFonts w:hint="eastAsia" w:ascii="宋体" w:hAnsi="宋体" w:cs="宋体"/>
          <w:b w:val="0"/>
          <w:bCs w:val="0"/>
          <w:color w:val="auto"/>
          <w:sz w:val="24"/>
          <w:szCs w:val="24"/>
        </w:rPr>
        <w:t>（2台）：</w:t>
      </w:r>
      <w:bookmarkEnd w:id="76"/>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2.3.1标称内容积：不小于</w:t>
      </w:r>
      <w:r>
        <w:rPr>
          <w:rFonts w:ascii="宋体" w:hAnsi="宋体" w:cs="宋体"/>
          <w:color w:val="auto"/>
          <w:sz w:val="24"/>
          <w:szCs w:val="24"/>
        </w:rPr>
        <w:t>0.8</w:t>
      </w:r>
      <w:r>
        <w:rPr>
          <w:rFonts w:hint="eastAsia" w:ascii="宋体" w:hAnsi="宋体" w:cs="宋体"/>
          <w:color w:val="auto"/>
          <w:sz w:val="24"/>
          <w:szCs w:val="24"/>
        </w:rPr>
        <w:t>立方；</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2.3.2标称内容积：不小于W1000mm×H</w:t>
      </w:r>
      <w:r>
        <w:rPr>
          <w:rFonts w:ascii="宋体" w:hAnsi="宋体" w:cs="宋体"/>
          <w:color w:val="auto"/>
          <w:sz w:val="24"/>
          <w:szCs w:val="24"/>
        </w:rPr>
        <w:t>8</w:t>
      </w:r>
      <w:r>
        <w:rPr>
          <w:rFonts w:hint="eastAsia" w:ascii="宋体" w:hAnsi="宋体" w:cs="宋体"/>
          <w:color w:val="auto"/>
          <w:sz w:val="24"/>
          <w:szCs w:val="24"/>
        </w:rPr>
        <w:t>00mm×D1000mm；</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2.3.3温度范围：-70℃～+150℃；</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2.3.4温度波动度：0.5℃；</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2.3.5温度偏差：±1.5℃；</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2.3.6温度均匀度：2.0℃</w:t>
      </w:r>
    </w:p>
    <w:p>
      <w:pPr>
        <w:spacing w:line="360" w:lineRule="auto"/>
        <w:ind w:firstLine="2738" w:firstLineChars="1141"/>
        <w:rPr>
          <w:rFonts w:ascii="宋体" w:hAnsi="宋体" w:cs="宋体"/>
          <w:color w:val="auto"/>
          <w:sz w:val="24"/>
          <w:szCs w:val="24"/>
        </w:rPr>
      </w:pPr>
      <w:r>
        <w:rPr>
          <w:rFonts w:hint="eastAsia" w:ascii="宋体" w:hAnsi="宋体" w:cs="宋体"/>
          <w:color w:val="auto"/>
          <w:sz w:val="24"/>
          <w:szCs w:val="24"/>
        </w:rPr>
        <w:t>1.0℃（温度≤70℃，湿度≥90%RH时）</w:t>
      </w:r>
    </w:p>
    <w:p>
      <w:pPr>
        <w:spacing w:line="360" w:lineRule="auto"/>
        <w:ind w:firstLine="2738" w:firstLineChars="1141"/>
        <w:rPr>
          <w:rFonts w:ascii="宋体" w:hAnsi="宋体" w:cs="宋体"/>
          <w:color w:val="auto"/>
          <w:sz w:val="24"/>
          <w:szCs w:val="24"/>
        </w:rPr>
      </w:pPr>
      <w:r>
        <w:rPr>
          <w:rFonts w:hint="eastAsia" w:ascii="宋体" w:hAnsi="宋体" w:cs="宋体"/>
          <w:color w:val="auto"/>
          <w:sz w:val="24"/>
          <w:szCs w:val="24"/>
        </w:rPr>
        <w:t>1.0℃（温度＞70℃，湿度≥80%RH时）；</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2.3.7温度最大变化速率：≥15℃/min（标准负载50kg铝锭，700W发热量，-40～+85℃，全程平均，入风区控制点测量）；</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2.3.8湿度范围：（20～98）%RH；</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2.3.9相对湿度偏差：±3.0%RH（湿度＞75%RH时），±5.0%RH（湿度≤75%RH时）；</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2.3.10结构方式：分体式结构，箱体顶部安装防爆泄压装置；</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2.3.11外壁：双面镀锌钢板δ1.0mm，表面喷塑处理；外部结构加强件：双面镀锌钢板δ2.0mm，表面喷塑处理，或Q235型钢表面喷塑处理；</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2.3.12内壁：SUS304不锈钢板δ1.2mm；内部结构框架式加强件：SUS304不锈钢δ1.5mm；绝热材料：硬质聚氨酯泡沫+超细玻璃纤维，壁厚100mm</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2.3.13箱内最大总承重量：150kg；</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2.3.14门上配备：观察窗（内外均安装防护网）、照明灯；</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2.3.15门锁：门锁采用密闭联动把手；</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2.3.16门框：门框备防凝露电热装置；</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2.3.17安全链条：大门铰链侧和把手侧均安装安全链条2条，限制大门打开的角度；</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2.3.18引线孔：4个φ150mm引线孔，配软胶塞，箱体左、右侧各2个，上下排列，位于内箱侧壁的中心；各配引线孔胶塞卡箍1个，将胶塞压紧，防止弹出；</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2.3.19样品架：2层可调节式不锈钢样品架，承重（均布）：50kg/层；</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2.3.20二次电源：设备安全防护系统采用二次电源供电，设备报警停机时将切断风机、加热器、压缩机等一次电源，配有灭火系统、强排系统等消防系统的，消防系统电源不受影响；</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2.3.21泄压口：1套，箱体顶部开泄压口</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泄压板是非重闭式压力泄放装置，当泄压板两侧压力达到3kPa时，泄压板即刻动作，并释放出箱内气体</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泄压板为不锈钢材料，泄压板和内箱之间进行可靠的密封，保证在高温、湿热、低温等各种工况下箱体密封性</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泄压口外板设有外网罩，阻挡泄压时内部保温板等飞溅出，保护人员和设备安全；</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2.3.22节流装置：电子膨胀阀；</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2.3.23加湿器：水盆加热加湿（表面蒸发）方式；</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2.3.24显示器：7.0英寸，800×480点阵，TFT 64K 彩色LCD显示器；</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2.3.25运行方式：程序方式、定值方式；</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2.3.26通讯接口：RJ-45以太网接口（IEEE802.3i/3u/3ab，100Mbps）</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RS-485接口；</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★2.3.27测量传感器：温度：T型热电偶；湿度：干、湿球温度计法（仅在有湿度控制的试验时工作）</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★2.3.28四色报警灯：1只；</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★2.3.29急停开关：1个；</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2.3.30试样电源控制端子：继电器触点控制，AC240V、2A以内（当正常运行时，触点闭合；当设备停机或故障时，触点断开）；</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2.3.31灭火联动控制器：在用户控制室内安装灭火联动控制器，控制器面板上设置手动紧急灭火按钮，用户控制室现场设置声光报警器</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灭火联动控制器接收各试验箱的报警信号。当灭火联动控制器收到报警信号，声光报警器动作，试验箱灭火系统自动启动。用户可根据现场情况操作手动紧急灭火按钮，启动试验箱灭火系统。灭火联动控制器采用独立供电模式，设备报警停机时也可正常运行。用户需在灭火联动控制器附近提供外接电源；</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2.3.32用户电池控制系统联动：试验箱配置信号控制端子，指令通讯方式为无源开关通断信号。用户可通过信号控制端子连接试验箱和用户电池控制系统。当电池试验出现异常时，试验箱可接收用户电池控制系统发送的报警或停机指令，并根据指令进行相应的动作（报警或停机）；</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2.3.33用户检测柜联动：试验箱配置RJ-45以太网接口，提供STEN通讯协议。用户可自行开发软件连接试验箱和用户检测柜，可以实现在检测柜电脑界面设置温湿度等参数、读取当前的温湿度数据、监控试验箱运行状态等功能；</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2.3.34安全策略：电池发生爆燃时，泄压口打开，行程开关报警，设备停机。</w:t>
      </w:r>
    </w:p>
    <w:p>
      <w:pPr>
        <w:widowControl/>
        <w:autoSpaceDE w:val="0"/>
        <w:autoSpaceDN w:val="0"/>
        <w:spacing w:line="360" w:lineRule="auto"/>
        <w:textAlignment w:val="bottom"/>
        <w:rPr>
          <w:rFonts w:ascii="宋体" w:hAnsi="宋体" w:cs="宋体"/>
          <w:color w:val="auto"/>
          <w:sz w:val="24"/>
          <w:szCs w:val="24"/>
        </w:rPr>
      </w:pPr>
    </w:p>
    <w:p>
      <w:pPr>
        <w:pStyle w:val="5"/>
        <w:numPr>
          <w:ilvl w:val="0"/>
          <w:numId w:val="0"/>
        </w:numPr>
        <w:spacing w:before="0" w:after="0" w:line="360" w:lineRule="auto"/>
        <w:ind w:left="420"/>
        <w:rPr>
          <w:rFonts w:ascii="宋体" w:hAnsi="宋体" w:cs="宋体"/>
          <w:b w:val="0"/>
          <w:bCs w:val="0"/>
          <w:color w:val="auto"/>
          <w:sz w:val="24"/>
          <w:szCs w:val="24"/>
        </w:rPr>
      </w:pPr>
      <w:bookmarkStart w:id="77" w:name="_Toc14816"/>
      <w:r>
        <w:rPr>
          <w:rFonts w:hint="eastAsia" w:ascii="宋体" w:hAnsi="宋体" w:cs="宋体"/>
          <w:b w:val="0"/>
          <w:bCs w:val="0"/>
          <w:color w:val="auto"/>
          <w:sz w:val="24"/>
          <w:szCs w:val="24"/>
        </w:rPr>
        <w:t>2.4、高低温湿热试验箱</w:t>
      </w:r>
      <w:r>
        <w:rPr>
          <w:rFonts w:hint="eastAsia" w:ascii="宋体" w:hAnsi="宋体" w:cs="宋体"/>
          <w:b w:val="0"/>
          <w:bCs w:val="0"/>
          <w:color w:val="auto"/>
          <w:sz w:val="24"/>
          <w:szCs w:val="24"/>
          <w:lang w:val="en-US" w:eastAsia="zh-CN"/>
        </w:rPr>
        <w:t>3</w:t>
      </w:r>
      <w:r>
        <w:rPr>
          <w:rFonts w:hint="eastAsia" w:ascii="宋体" w:hAnsi="宋体" w:cs="宋体"/>
          <w:b w:val="0"/>
          <w:bCs w:val="0"/>
          <w:color w:val="auto"/>
          <w:sz w:val="24"/>
          <w:szCs w:val="24"/>
        </w:rPr>
        <w:t>（8台）：</w:t>
      </w:r>
      <w:bookmarkEnd w:id="77"/>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2.4.1标称内容积：不小于0.</w:t>
      </w:r>
      <w:r>
        <w:rPr>
          <w:rFonts w:ascii="宋体" w:hAnsi="宋体" w:cs="宋体"/>
          <w:color w:val="auto"/>
          <w:sz w:val="24"/>
          <w:szCs w:val="24"/>
        </w:rPr>
        <w:t>4</w:t>
      </w:r>
      <w:r>
        <w:rPr>
          <w:rFonts w:hint="eastAsia" w:ascii="宋体" w:hAnsi="宋体" w:cs="宋体"/>
          <w:color w:val="auto"/>
          <w:sz w:val="24"/>
          <w:szCs w:val="24"/>
        </w:rPr>
        <w:t>立方；</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2.4.2标称内容积：不小于W800mm×H</w:t>
      </w:r>
      <w:r>
        <w:rPr>
          <w:rFonts w:ascii="宋体" w:hAnsi="宋体" w:cs="宋体"/>
          <w:color w:val="auto"/>
          <w:sz w:val="24"/>
          <w:szCs w:val="24"/>
        </w:rPr>
        <w:t>8</w:t>
      </w:r>
      <w:r>
        <w:rPr>
          <w:rFonts w:hint="eastAsia" w:ascii="宋体" w:hAnsi="宋体" w:cs="宋体"/>
          <w:color w:val="auto"/>
          <w:sz w:val="24"/>
          <w:szCs w:val="24"/>
        </w:rPr>
        <w:t>00mm×D700mm；</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2.4.3温度范围：-70℃～+150℃；</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2.4.4温度波动度：0.5℃；</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2.4.5温度偏差：±1.5℃；</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2.4.6温度均匀度：2.0℃</w:t>
      </w:r>
    </w:p>
    <w:p>
      <w:pPr>
        <w:spacing w:line="360" w:lineRule="auto"/>
        <w:ind w:firstLine="2738" w:firstLineChars="1141"/>
        <w:rPr>
          <w:rFonts w:ascii="宋体" w:hAnsi="宋体" w:cs="宋体"/>
          <w:color w:val="auto"/>
          <w:sz w:val="24"/>
          <w:szCs w:val="24"/>
        </w:rPr>
      </w:pPr>
      <w:r>
        <w:rPr>
          <w:rFonts w:hint="eastAsia" w:ascii="宋体" w:hAnsi="宋体" w:cs="宋体"/>
          <w:color w:val="auto"/>
          <w:sz w:val="24"/>
          <w:szCs w:val="24"/>
        </w:rPr>
        <w:t>1.0℃（温度≤70℃，湿度≥90%RH时）</w:t>
      </w:r>
    </w:p>
    <w:p>
      <w:pPr>
        <w:spacing w:line="360" w:lineRule="auto"/>
        <w:ind w:firstLine="2738" w:firstLineChars="1141"/>
        <w:rPr>
          <w:rFonts w:ascii="宋体" w:hAnsi="宋体" w:cs="宋体"/>
          <w:color w:val="auto"/>
          <w:sz w:val="24"/>
          <w:szCs w:val="24"/>
        </w:rPr>
      </w:pPr>
      <w:r>
        <w:rPr>
          <w:rFonts w:hint="eastAsia" w:ascii="宋体" w:hAnsi="宋体" w:cs="宋体"/>
          <w:color w:val="auto"/>
          <w:sz w:val="24"/>
          <w:szCs w:val="24"/>
        </w:rPr>
        <w:t>1.0℃（温度＞70℃，湿度≥80%RH时）；</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2.4.7温度最大变化速率：≥5℃/min（标准负载15kg铝锭，350W发热量，-40～+85℃，全程平均，入风区控制点测量）；</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2.4.8湿度范围：（20～98）%RH；</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2.4.9相对湿度偏差：±3.0%RH（湿度＞75%RH时），±5.0%RH（湿度≤75%RH时）；</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2.4.10结构方式：一体式结构，前上部为试验区，前下部及后部为制冷机组，箱体顶部安装防爆泄压装置；</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2.4.11外壁：双面镀锌钢板δ1.0mm，表面喷塑处理；外部结构加强件：双面镀锌钢板δ2.0mm，表面喷塑处理，或Q235型钢表面喷塑处理；</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▲2.4.12内壁：SUS304不锈钢板δ1.2mm；内部结构框架式加强件：SUS304不锈钢δ1.5mm；绝热材料：硬质聚氨酯泡沫+超细玻璃纤维，壁厚100mm</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2.4.13箱内最大总承重量：100kg；</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2.4.14门上配备：观察窗（内外均安装防护网）、照明灯；</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2.4.15门锁：门锁采用密闭联动把手；</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2.4.16门框：门框备防凝露电热装置；</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2.4.17安全链条：大门铰链侧和把手侧均安装安全链条2条，限制大门打开的角度；</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2.4.18引线孔：4个φ150mm引线孔，配软胶塞，箱体左、右侧各2个，上下排列，位于内箱侧壁的中心；各配引线孔胶塞卡箍1个，将胶塞压紧，防止弹出；</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2.4.19样品架：2层可调节式不锈钢样品架，承重（均布）：50kg/层；</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2.4.20二次电源：设备安全防护系统采用二次电源供电，设备报警停机时将切断风机、加热器、压缩机等一次电源，配有灭火系统、强排系统等消防系统的，消防系统电源不受影响；</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2.4.21泄压口：1套，箱体顶部开泄压口</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泄压板是非重闭式压力泄放装置，当泄压板两侧压力达到3kPa时，泄压板即刻动作，并释放出箱内气体</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泄压板为不锈钢材料，泄压板和内箱之间进行可靠的密封，保证在高温、湿热、低温等各种工况下箱体密封性</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泄压口外板设有外网罩，阻挡泄压时内部保温板等飞溅出，保护人员和设备安全；</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2.4.22节流装置：电子膨胀阀；</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2.4.23加湿器：水盆加热加湿（表面蒸发）方式；</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2.4.24显示器：7.0英寸，800×480点阵，TFT 64K 彩色LCD显示器；</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★2.4.25运行方式：程序方式、定值方式；</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★2.4.26通讯接口：RJ-45以太网接口（IEEE802.3i/3u/3ab，100Mbps）RS-485接口；</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★2.4.27测量传感器：</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温度：T型热电偶</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湿度：干、湿球温度计法（仅在有湿度控制的试验时工作）</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★2.4.28四色报警灯：1只；</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★2.4.29急停开关：1个；</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2.4.30试样电源控制端子：继电器触点控制，AC240V、2A以内（当正常运行时，触点闭合；当设备停机或故障时，触点断开）；</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2.4.31灭火联动控制器：在用户控制室内安装灭火联动控制器，控制器面板上设置手动紧急灭火按钮，用户控制室现场设置声光报警器</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灭火联动控制器接收各试验箱的报警信号。当灭火联动控制器收到报警信号，声光报警器动作，试验箱灭火系统自动启动。用户可根据现场情况操作手动紧急灭火按钮，启动试验箱灭火系统。灭火联动控制器采用独立供电模式，设备报警停机时也可正常运行。用户需在灭火联动控制器附近提供外接电源；</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2.4.32用户电池控制系统联动：试验箱配置信号控制端子，指令通讯方式为无源开关通断信号。用户可通过信号控制端子连接试验箱和用户电池控制系统。当电池试验出现异常时，试验箱可接收用户电池控制系统发送的报警或停机指令，并根据指令进行相应的动作（报警或停机）；</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2.4.33用户检测柜联动：试验箱配置RJ-45以太网接口，提供STEN通讯协议。用户可自行开发软件连接试验箱和用户检测柜，可以实现在检测柜电脑界面设置温湿度等参数、读取当前的温湿度数据、监控试验箱运行状态等功能；</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2.4.34安全策略：电池发生爆燃时，泄压口打开，行程开关报警，设备停机。</w:t>
      </w:r>
    </w:p>
    <w:p>
      <w:pPr>
        <w:widowControl/>
        <w:tabs>
          <w:tab w:val="left" w:pos="540"/>
        </w:tabs>
        <w:spacing w:line="360" w:lineRule="auto"/>
        <w:ind w:firstLine="420" w:firstLineChars="175"/>
        <w:jc w:val="left"/>
        <w:rPr>
          <w:rFonts w:ascii="宋体" w:hAnsi="宋体" w:cs="宋体"/>
          <w:color w:val="auto"/>
          <w:sz w:val="24"/>
          <w:szCs w:val="24"/>
        </w:rPr>
      </w:pPr>
    </w:p>
    <w:p>
      <w:pPr>
        <w:pStyle w:val="5"/>
        <w:numPr>
          <w:ilvl w:val="0"/>
          <w:numId w:val="0"/>
        </w:numPr>
        <w:spacing w:before="0" w:after="0" w:line="360" w:lineRule="auto"/>
        <w:ind w:left="420"/>
        <w:rPr>
          <w:rFonts w:ascii="宋体" w:hAnsi="宋体" w:cs="宋体"/>
          <w:b w:val="0"/>
          <w:bCs w:val="0"/>
          <w:color w:val="auto"/>
          <w:sz w:val="24"/>
          <w:szCs w:val="24"/>
        </w:rPr>
      </w:pPr>
      <w:bookmarkStart w:id="78" w:name="_Toc16678"/>
      <w:r>
        <w:rPr>
          <w:rFonts w:hint="eastAsia" w:ascii="宋体" w:hAnsi="宋体" w:cs="宋体"/>
          <w:b w:val="0"/>
          <w:bCs w:val="0"/>
          <w:color w:val="auto"/>
          <w:sz w:val="24"/>
          <w:szCs w:val="24"/>
        </w:rPr>
        <w:t>2.5、</w:t>
      </w:r>
      <w:r>
        <w:rPr>
          <w:rFonts w:hint="eastAsia" w:ascii="宋体" w:hAnsi="宋体" w:cs="宋体"/>
          <w:b w:val="0"/>
          <w:bCs w:val="0"/>
          <w:color w:val="auto"/>
          <w:sz w:val="24"/>
          <w:szCs w:val="24"/>
          <w:lang w:eastAsia="zh-CN"/>
        </w:rPr>
        <w:t>低气压湿热试验箱</w:t>
      </w:r>
      <w:r>
        <w:rPr>
          <w:rFonts w:hint="eastAsia" w:ascii="宋体" w:hAnsi="宋体" w:cs="宋体"/>
          <w:b w:val="0"/>
          <w:bCs w:val="0"/>
          <w:color w:val="auto"/>
          <w:sz w:val="24"/>
          <w:szCs w:val="24"/>
        </w:rPr>
        <w:t>（1台）：</w:t>
      </w:r>
      <w:bookmarkEnd w:id="78"/>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2.5.1标称内容积：不小于</w:t>
      </w:r>
      <w:r>
        <w:rPr>
          <w:rFonts w:ascii="宋体" w:hAnsi="宋体" w:cs="宋体"/>
          <w:color w:val="auto"/>
          <w:sz w:val="24"/>
          <w:szCs w:val="24"/>
        </w:rPr>
        <w:t>0.8</w:t>
      </w:r>
      <w:r>
        <w:rPr>
          <w:rFonts w:hint="eastAsia" w:ascii="宋体" w:hAnsi="宋体" w:cs="宋体"/>
          <w:color w:val="auto"/>
          <w:sz w:val="24"/>
          <w:szCs w:val="24"/>
        </w:rPr>
        <w:t>立方；</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2.5.2标称内容积：不小于W1000mm×H</w:t>
      </w:r>
      <w:r>
        <w:rPr>
          <w:rFonts w:ascii="宋体" w:hAnsi="宋体" w:cs="宋体"/>
          <w:color w:val="auto"/>
          <w:sz w:val="24"/>
          <w:szCs w:val="24"/>
        </w:rPr>
        <w:t>8</w:t>
      </w:r>
      <w:r>
        <w:rPr>
          <w:rFonts w:hint="eastAsia" w:ascii="宋体" w:hAnsi="宋体" w:cs="宋体"/>
          <w:color w:val="auto"/>
          <w:sz w:val="24"/>
          <w:szCs w:val="24"/>
        </w:rPr>
        <w:t>00mm×D1000mm；</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2.5.3温度范围：-55℃～+160℃；</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2.5.4温度波动度：1.0℃；</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2.5.5温度偏差：±2.0℃；</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2.5.6温度均匀度：2.0℃（常压、空载、温度≤150℃时），3.0℃（常压、空载、温度＞150℃时）；</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2.5.7温度最大变化速率：≥2℃/min（标准负载100kg铝锭，1000W发热量，-40～+85℃，全程平均，入风区控制点测量）；</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2.5.8压力范围：常压～1kPa；</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2.5.9压力偏差：±1kPa（≥20kPa时）</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±5%（2kPa～20kPa时）</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±0.1kPa（≤2kPa时）；</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2.5.10降压时间（箱内干燥时）：常压→1kPa：≤20 min</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2.5.11湿度范围：（20～95）%RH（气压≥54kPa，无有源湿、热负载时）</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2.5.12相对湿度偏差：±3.0%RH（湿度＞75%RH时），±5.0%RH（湿度≤75%RH时）</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2.5.13结构方式：内承压，一体式结构，箱体顶部安装防爆泄压装置；</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2.5.14外壁：双面镀锌钢板，表面喷塑处理；</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2.5.15内壁：SUS304不锈钢板δ5mm，</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试验箱内部结构加强件：SUS304不锈钢；绝热材料：真空专用复合承压保温材料</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2.5.16箱内最大总承重量：300kg；</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2.5.17门上配备：观察窗（内外均安装防护网）；</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2.5.18门锁：专用门锁；</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2.5.19门框：门框备防凝露电热装置；</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2.5.20安全链条：大门铰链侧和把手侧均安装安全链条2条，限制大门打开的角度；</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2.5.21引线孔：2 个直径φ200mm线缆孔，位于箱体的左右侧面；</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线缆孔均配盲法兰板，法兰板安装4接线柱；</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2.5.22样品架：2层可调，承重（均布）：50kg/层；</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2.5.23二次电源：设备安全防护系统采用二次电源供电，设备报警停机时将切断风机、加热器、压缩机等一次电源，配有灭火系统、强排系统等消防系统的，消防系统电源不受影响；</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2.5.24泄压口：1套，箱体顶部开泄压口</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当泄压板两侧压力达到3kPa时，泄压板即刻动作，并释放出箱内气体</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泄压板为不锈钢材料，泄压板和内箱之间进行可靠的密封，保证在高温、湿热、低温等各种工况下箱体密封性</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泄压口外板设有外网罩，阻挡泄压时内部保温板等飞溅出，保护人员和设备安全；</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2.5.25节流装置：电子膨胀阀；</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2.5.26加湿器：水盆加热加湿（表面蒸发）方式；</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2.5.27显示器：7.0英寸，800×480点阵，TFT 64K 彩色LCD显示器；</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2.5.28运行方式：程序方式、定值方式；</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2.5.29通讯接口：RJ-45以太网接口（IEEE802.3i/3u/3ab，100Mbps）RS-485接口；</w:t>
      </w:r>
    </w:p>
    <w:p>
      <w:pPr>
        <w:numPr>
          <w:ilvl w:val="0"/>
          <w:numId w:val="11"/>
        </w:numPr>
        <w:spacing w:line="360" w:lineRule="auto"/>
        <w:ind w:left="0" w:firstLine="417" w:firstLineChars="174"/>
        <w:rPr>
          <w:rFonts w:ascii="宋体" w:hAnsi="宋体" w:cs="宋体"/>
          <w:color w:val="auto"/>
          <w:sz w:val="24"/>
          <w:szCs w:val="24"/>
        </w:rPr>
      </w:pPr>
      <w:r>
        <w:rPr>
          <w:rFonts w:hint="eastAsia" w:ascii="宋体" w:hAnsi="宋体" w:cs="宋体"/>
          <w:color w:val="auto"/>
          <w:sz w:val="24"/>
          <w:szCs w:val="24"/>
        </w:rPr>
        <w:t xml:space="preserve"> 2.5.30测量传感器：温度：T型热电偶；湿度：干、湿球温度计法（仅在有湿度控制的试验时工作）</w:t>
      </w:r>
    </w:p>
    <w:p>
      <w:pPr>
        <w:spacing w:line="360" w:lineRule="auto"/>
        <w:ind w:firstLine="1478" w:firstLineChars="616"/>
        <w:rPr>
          <w:rFonts w:ascii="宋体" w:hAnsi="宋体" w:cs="宋体"/>
          <w:color w:val="auto"/>
          <w:sz w:val="24"/>
          <w:szCs w:val="24"/>
        </w:rPr>
      </w:pPr>
      <w:r>
        <w:rPr>
          <w:rFonts w:hint="eastAsia" w:ascii="宋体" w:hAnsi="宋体" w:cs="宋体"/>
          <w:color w:val="auto"/>
          <w:sz w:val="24"/>
          <w:szCs w:val="24"/>
        </w:rPr>
        <w:t>压力：压阻压力变送器（双支，双量程）；</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2.5.31四色报警灯：1只；</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★2.5.32急停开关：1个；</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2.5.33试样电源控制端子：继电器触点控制，AC240V、2A以内（当正常运行时，触点闭合；当设备停机或故障时，触点断开）；</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2.5.34灭火联动控制器：在用户控制室内安装灭火联动控制器，控制器面板上设置手动紧急灭火按钮，用户控制室现场设置声光报警器</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灭火联动控制器接收各试验箱的报警信号。当灭火联动控制器收到报警信号，声光报警器动作，试验箱灭火系统自动启动。用户可根据现场情况操作手动紧急灭火按钮，启动试验箱灭火系统。灭火联动控制器采用独立供电模式，设备报警停机时也可正常运行。用户需在灭火联动控制器附近提供外接电源；</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2.5.35用户电池控制系统联动：试验箱配置信号控制端子，指令通讯方式为无源开关通断信号。用户可通过信号控制端子连接试验箱和用户电池控制系统。当电池试验出现异常时，试验箱可接收用户电池控制系统发送的报警或停机指令，并根据指令进行相应的动作（报警或停机）；</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2.5.36用户检测柜联动：试验箱配置RJ-45以太网接口，提供STEN通讯协议。用户可自行开发软件连接试验箱和用户检测柜，可以实现在检测柜电脑界面设置温湿度等参数、读取当前的温湿度数据、监控试验箱运行状态等功能；</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2.5.37安全策略：电池发生爆燃时，泄压口打开，行程开关报警，设备停机</w:t>
      </w:r>
    </w:p>
    <w:p>
      <w:pPr>
        <w:widowControl/>
        <w:tabs>
          <w:tab w:val="left" w:pos="540"/>
        </w:tabs>
        <w:spacing w:line="360" w:lineRule="auto"/>
        <w:ind w:firstLine="420" w:firstLineChars="175"/>
        <w:jc w:val="left"/>
        <w:rPr>
          <w:rFonts w:ascii="宋体" w:hAnsi="宋体" w:cs="宋体"/>
          <w:color w:val="auto"/>
          <w:sz w:val="24"/>
          <w:szCs w:val="24"/>
        </w:rPr>
      </w:pPr>
    </w:p>
    <w:p>
      <w:pPr>
        <w:pStyle w:val="5"/>
        <w:numPr>
          <w:ilvl w:val="0"/>
          <w:numId w:val="0"/>
        </w:numPr>
        <w:spacing w:before="0" w:after="0" w:line="360" w:lineRule="auto"/>
        <w:ind w:left="420"/>
        <w:rPr>
          <w:rFonts w:ascii="宋体" w:hAnsi="宋体" w:cs="宋体"/>
          <w:b w:val="0"/>
          <w:bCs w:val="0"/>
          <w:color w:val="auto"/>
          <w:sz w:val="24"/>
          <w:szCs w:val="24"/>
        </w:rPr>
      </w:pPr>
      <w:bookmarkStart w:id="79" w:name="_Toc26003"/>
      <w:r>
        <w:rPr>
          <w:rFonts w:hint="eastAsia" w:ascii="宋体" w:hAnsi="宋体" w:cs="宋体"/>
          <w:b w:val="0"/>
          <w:bCs w:val="0"/>
          <w:color w:val="auto"/>
          <w:sz w:val="24"/>
          <w:szCs w:val="24"/>
        </w:rPr>
        <w:t>2.6、高低温湿热试验箱</w:t>
      </w:r>
      <w:r>
        <w:rPr>
          <w:rFonts w:hint="eastAsia" w:ascii="宋体" w:hAnsi="宋体" w:cs="宋体"/>
          <w:b w:val="0"/>
          <w:bCs w:val="0"/>
          <w:color w:val="auto"/>
          <w:sz w:val="24"/>
          <w:szCs w:val="24"/>
          <w:lang w:val="en-US" w:eastAsia="zh-CN"/>
        </w:rPr>
        <w:t>4</w:t>
      </w:r>
      <w:r>
        <w:rPr>
          <w:rFonts w:hint="eastAsia" w:ascii="宋体" w:hAnsi="宋体" w:cs="宋体"/>
          <w:b w:val="0"/>
          <w:bCs w:val="0"/>
          <w:color w:val="auto"/>
          <w:sz w:val="24"/>
          <w:szCs w:val="24"/>
        </w:rPr>
        <w:t>（5台）：</w:t>
      </w:r>
      <w:bookmarkEnd w:id="79"/>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2.6.1标称内容积：不小于</w:t>
      </w:r>
      <w:r>
        <w:rPr>
          <w:rFonts w:ascii="宋体" w:hAnsi="宋体" w:cs="宋体"/>
          <w:color w:val="auto"/>
          <w:sz w:val="24"/>
          <w:szCs w:val="24"/>
        </w:rPr>
        <w:t>3.1</w:t>
      </w:r>
      <w:r>
        <w:rPr>
          <w:rFonts w:hint="eastAsia" w:ascii="宋体" w:hAnsi="宋体" w:cs="宋体"/>
          <w:color w:val="auto"/>
          <w:sz w:val="24"/>
          <w:szCs w:val="24"/>
        </w:rPr>
        <w:t>立方；</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2.6.2标称内容积：不小于W1800mm×H1500mm×D1</w:t>
      </w:r>
      <w:r>
        <w:rPr>
          <w:rFonts w:ascii="宋体" w:hAnsi="宋体" w:cs="宋体"/>
          <w:color w:val="auto"/>
          <w:sz w:val="24"/>
          <w:szCs w:val="24"/>
        </w:rPr>
        <w:t>1</w:t>
      </w:r>
      <w:r>
        <w:rPr>
          <w:rFonts w:hint="eastAsia" w:ascii="宋体" w:hAnsi="宋体" w:cs="宋体"/>
          <w:color w:val="auto"/>
          <w:sz w:val="24"/>
          <w:szCs w:val="24"/>
        </w:rPr>
        <w:t>50mm；</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2.6.3温度范围：-70℃～+150℃；</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2.6.4温度波动度：0.5℃；</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2.6.5温度偏差：±1.5℃；</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2.6.6温度均匀度：2.0℃</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1.0℃（温度≤70℃，湿度≥90%RH时）</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1.0℃（温度＞70℃，湿度≥80%RH时）；</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2.6.7温度最大变化速率：≥2℃/min（标准负载100kg铝锭，1000W发热量，-40～+85℃，全程平均，入风区控制点测量）；</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2.6.8湿度范围：（20～98）%RH；</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2.11.9相对湿度偏差：±3.0%RH（湿度＞75%RH时），±5.0%RH（湿度≤75%RH时）；</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2.6.10结构方式：一体式结构，前上部为试验区，前下部及后部为制冷机组，箱体顶部安装防爆泄压装置；</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2.6.11外壁：双面镀锌钢板δ1.0mm，表面喷塑处理；外部结构加强件：双面镀锌钢板δ2.0mm，表面喷塑处理，或Q235型钢表面喷塑处理；</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2.6.12内壁：SUS304不锈钢板δ1.2mm；内部结构框架式加强件：SUS304不锈钢δ1.5mm；绝热材料：硬质聚氨酯泡沫+超细玻璃纤维，壁厚130mm</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2.6.13箱内最大总承重量：250kg；</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2.6.14门上配备：观察窗（内外均安装防护网）、照明灯；</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2.6.15门锁：门锁采用密闭联动把手；</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2.6.16门框：门框备防凝露电热装置；</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2.6.17安全链条：大门铰链侧和把手侧均安装安全链条2条，限制大门打开的角度；</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2.6.18引线孔：4个φ150mm引线孔，配软胶塞，箱体左、右侧各2个，上下排列，位于内箱侧壁的中心；各配引线孔胶塞卡箍1个，将胶塞压紧，防止弹出；</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2.6.19样品架：2层可调节式不锈钢样品架，承重（均布）：50kg/层；</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2.6.20二次电源：设备安全防护系统采用二次电源供电，设备报警停机时将切断风机、加热器、压缩机等一次电源，配有灭火系统、强排系统等消防系统的，消防系统电源不受影响；</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2.6.21泄压口：2套，箱体顶部开泄压口</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泄压板是非重闭式压力泄放装置，当泄压板两侧压力达到3kPa时，泄压板即刻动作，并释放出箱内气体</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泄压板为不锈钢材料，泄压板和内箱之间进行可靠的密封，保证在高温、湿热、低温等各种工况下箱体密封性</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泄压口外板设有外网罩，阻挡泄压时内部保温板等飞溅出，保护人员和设备安全；</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2.6.22强制排风系统: 风量≥30m3/h，强制排风装置由离心风机、阀门及管道组成</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强制排风系统与烟雾传感器、气体传感器（H2、CO）联动，在检测到箱内烟雾或有害气体后自动触发，将箱内空气强制排出箱外。（客户可在箱外自行增加管道，将排风引出到室外）</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设置手动开关，可以手动开启强制排风装置，排风装置运行时间可以单独设置。</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2.6.23注水灭火系统: 1套</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用户需接通外接水源。注水系统通过阀门和管道接到箱内，箱内布置喷水接口。</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注水强度：3分钟水位至内箱高度一半，喷水时间可以设置。</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内箱整体能够承受最高水位时的压力，水淹没电池包后，箱内保证密封性(可能会有少量漏水)</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内箱底部设置排水口，采用电磁阀控制，方便水的排出。可手动控制排水</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灭火系统与烟感传感器、气体传感器、移动温度传感器联动</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灭火系统分为自动消防模式和手动消防模式</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自动模式：当烟感传感器、气体传感器、移动温度监测都发生报警且未复位时，延时等待人为干预（延迟干预时间可人为设定）。若无人为停止，则切断设备电源，并执行注水动作</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手动模式：无论是烟感传感器、气体传感器还是移动温度报警，都只停止试验箱运行，并发出警报，等待用户人为关闭报警或者启动灭火动作</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2.6.24烟感传感器：1套</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当箱内烟雾浓度超过报警值后，发出报警并停机，并开启强制排风系统、注水灭火系统等消防系统</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2.6.25氢气测量传感器：2套</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氢气测量传感器2套（其中1套做冗余备份），测量箱内空气中的H2含量，检测电池是否异常情况发生。超过设置值时发出报警信号，切断设备的一次电源，除安全防护系统以外，设备其它系统停机，同时启动强制排风系统</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2.6.26CO测量传感器：1套</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测量箱内空气中的CO含量，检测电池是否异常情况发生。超过设置值时发出报警信号，切断设备的一次电源，除安全防护系统以外，设备其它系统停机，同时启动强制排风系统</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2.6.27移动传感器：6支</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移动传感器可在箱内任意位置移动，用于监测试验箱内空间温度或样品表面温度，预判样品电池的异常状况。</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其中1支移动传感器可与出风口传感器互换控温，控温范围：+85～-55℃</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另外5支移动传感器作为监视使用，控制器可显示数值并记录数据</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试验箱配置信号控制端子，指令通讯方式为无源开关通断信号。用户可通过信号控制端子连接试验箱和用户充放电监控系统。当移动传感器测得的样品表面温度异常，超过预设的限定值时，设备报警、停机，并通过信号控制端子将报警信号传送给用户充放电监控系统，由用户充放电监控系统及时切断充放电电源的传输，保证试验箱和充放电设备的安全</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2.6.28节流装置：电子膨胀阀；</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2.6.29加湿器：水盆加热加湿（表面蒸发）方式；</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2.6.30显示器：7.0英寸，800×480点阵，TFT 64K 彩色LCD显示器；</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2.6.31运行方式：程序方式、定值方式；</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2.6.32通讯接口：RJ-45以太网接口（IEEE802.3i/3u/3ab，100Mbps）RS-485接口；</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★2.6.33测量传感器：温度：T型热电偶；湿度：干、湿球温度计法（仅在有湿度控制的试验时工作）</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★2.6.34四色报警灯：1只；</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★2.6.35急停开关：1个；</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2.6.36试样电源控制端子：继电器触点控制，AC240V、2A以内（当正常运行时，触点闭合；当设备停机或故障时，触点断开）；</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2.6.37灭火联动控制器：在用户控制室内安装灭火联动控制器，控制器面板上设置手动紧急灭火按钮，用户控制室现场设置声光报警器</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灭火联动控制器接收各试验箱的报警信号。当灭火联动控制器收到报警信号，声光报警器动作，试验箱灭火系统自动启动。用户可根据现场情况操作手动紧急灭火按钮，启动试验箱灭火系统。灭火联动控制器采用独立供电模式，设备报警停机时也可正常运行。用户需在灭火联动控制器附近提供外接电源；</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2.6.38用户电池控制系统联动：试验箱配置信号控制端子，指令通讯方式为无源开关通断信号。用户可通过信号控制端子连接试验箱和用户电池控制系统。当电池试验出现异常时，试验箱可接收用户电池控制系统发送的报警或停机指令，并根据指令进行相应的动作（报警或停机）；</w:t>
      </w:r>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 2.6.39用户检测柜联动：试验箱配置RJ-45以太网接口，提供STEN通讯协议。用户可自行开发软件连接试验箱和用户检测柜，可以实现在检测柜电脑界面设置温湿度等参数、读取当前的温湿度数据、监控试验箱运行状态等功能；</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2.6.40安全策略：6等级（1、无需动作；2、气压平衡窗平衡内外气压；3、气体传感器报警，设备停机，强制排风系统启动；4、烟感器、气体传感器报警，设备停机，强制排风、注水灭火系统启动；5、烟感器、气体传感器报警，设备停机，强制排风、注水灭火系统启动；6、烟感器、气体传感器报警，泄压口打开，行程开关报警，设备停机，强制排风、注水灭火系统启动。）</w:t>
      </w:r>
    </w:p>
    <w:p>
      <w:pPr>
        <w:pStyle w:val="74"/>
        <w:spacing w:line="360" w:lineRule="auto"/>
        <w:rPr>
          <w:rFonts w:ascii="宋体" w:hAnsi="宋体" w:cs="宋体"/>
          <w:color w:val="auto"/>
          <w:sz w:val="24"/>
          <w:szCs w:val="24"/>
        </w:rPr>
      </w:pPr>
    </w:p>
    <w:p>
      <w:pPr>
        <w:pStyle w:val="5"/>
        <w:numPr>
          <w:ilvl w:val="0"/>
          <w:numId w:val="0"/>
        </w:numPr>
        <w:spacing w:before="0" w:after="0" w:line="360" w:lineRule="auto"/>
        <w:ind w:left="420"/>
        <w:rPr>
          <w:rFonts w:ascii="宋体" w:hAnsi="宋体" w:cs="宋体"/>
          <w:b w:val="0"/>
          <w:bCs w:val="0"/>
          <w:color w:val="auto"/>
          <w:sz w:val="24"/>
          <w:szCs w:val="24"/>
        </w:rPr>
      </w:pPr>
      <w:bookmarkStart w:id="80" w:name="_Toc6782"/>
      <w:r>
        <w:rPr>
          <w:rFonts w:hint="eastAsia" w:ascii="宋体" w:hAnsi="宋体" w:cs="宋体"/>
          <w:b w:val="0"/>
          <w:bCs w:val="0"/>
          <w:color w:val="auto"/>
          <w:sz w:val="24"/>
          <w:szCs w:val="24"/>
        </w:rPr>
        <w:t>2.7、快速温度变化湿热试验箱</w:t>
      </w:r>
      <w:r>
        <w:rPr>
          <w:rFonts w:hint="eastAsia" w:ascii="宋体" w:hAnsi="宋体" w:cs="宋体"/>
          <w:b w:val="0"/>
          <w:bCs w:val="0"/>
          <w:color w:val="auto"/>
          <w:sz w:val="24"/>
          <w:szCs w:val="24"/>
          <w:lang w:val="en-US" w:eastAsia="zh-CN"/>
        </w:rPr>
        <w:t>2</w:t>
      </w:r>
      <w:r>
        <w:rPr>
          <w:rFonts w:hint="eastAsia" w:ascii="宋体" w:hAnsi="宋体" w:cs="宋体"/>
          <w:b w:val="0"/>
          <w:bCs w:val="0"/>
          <w:color w:val="auto"/>
          <w:sz w:val="24"/>
          <w:szCs w:val="24"/>
        </w:rPr>
        <w:t>（2台）：</w:t>
      </w:r>
      <w:bookmarkEnd w:id="80"/>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2.7.1标称内容积：不小于</w:t>
      </w:r>
      <w:r>
        <w:rPr>
          <w:rFonts w:ascii="宋体" w:hAnsi="宋体" w:cs="宋体"/>
          <w:color w:val="auto"/>
          <w:sz w:val="24"/>
          <w:szCs w:val="24"/>
        </w:rPr>
        <w:t>3.1</w:t>
      </w:r>
      <w:r>
        <w:rPr>
          <w:rFonts w:hint="eastAsia" w:ascii="宋体" w:hAnsi="宋体" w:cs="宋体"/>
          <w:color w:val="auto"/>
          <w:sz w:val="24"/>
          <w:szCs w:val="24"/>
        </w:rPr>
        <w:t>立方；</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2.7.2标称内容积：不小于W1800mm×H1500mm×D1</w:t>
      </w:r>
      <w:r>
        <w:rPr>
          <w:rFonts w:ascii="宋体" w:hAnsi="宋体" w:cs="宋体"/>
          <w:color w:val="auto"/>
          <w:sz w:val="24"/>
          <w:szCs w:val="24"/>
        </w:rPr>
        <w:t>1</w:t>
      </w:r>
      <w:r>
        <w:rPr>
          <w:rFonts w:hint="eastAsia" w:ascii="宋体" w:hAnsi="宋体" w:cs="宋体"/>
          <w:color w:val="auto"/>
          <w:sz w:val="24"/>
          <w:szCs w:val="24"/>
        </w:rPr>
        <w:t>50mm；</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2.7.3温度范围：-70℃～+150℃；</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2.7.4温度波动度：0.5℃；</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2.7.5温度偏差：±1.5℃；</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2.7.6温度均匀度：2.0℃</w:t>
      </w:r>
    </w:p>
    <w:p>
      <w:pPr>
        <w:pStyle w:val="74"/>
        <w:spacing w:line="360" w:lineRule="auto"/>
        <w:ind w:firstLine="2940" w:firstLineChars="1225"/>
        <w:rPr>
          <w:rFonts w:ascii="宋体" w:hAnsi="宋体" w:cs="宋体"/>
          <w:color w:val="auto"/>
          <w:sz w:val="24"/>
          <w:szCs w:val="24"/>
        </w:rPr>
      </w:pPr>
      <w:r>
        <w:rPr>
          <w:rFonts w:hint="eastAsia" w:ascii="宋体" w:hAnsi="宋体" w:cs="宋体"/>
          <w:color w:val="auto"/>
          <w:sz w:val="24"/>
          <w:szCs w:val="24"/>
        </w:rPr>
        <w:t>1.0℃（温度≤70℃，湿度≥90%RH时）</w:t>
      </w:r>
    </w:p>
    <w:p>
      <w:pPr>
        <w:pStyle w:val="74"/>
        <w:spacing w:line="360" w:lineRule="auto"/>
        <w:ind w:firstLine="2940" w:firstLineChars="1225"/>
        <w:rPr>
          <w:rFonts w:ascii="宋体" w:hAnsi="宋体" w:cs="宋体"/>
          <w:color w:val="auto"/>
          <w:sz w:val="24"/>
          <w:szCs w:val="24"/>
        </w:rPr>
      </w:pPr>
      <w:r>
        <w:rPr>
          <w:rFonts w:hint="eastAsia" w:ascii="宋体" w:hAnsi="宋体" w:cs="宋体"/>
          <w:color w:val="auto"/>
          <w:sz w:val="24"/>
          <w:szCs w:val="24"/>
        </w:rPr>
        <w:t>1.0℃（温度＞70℃，湿度≥80%RH时）；</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2.7.7温度最大变化速率：≥15℃/min（标准负载100kg铝锭，1000W发热量，-40～+85℃，全程平均，入风区控制点测量）；</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2.7.8湿度范围：（20～98）%RH；</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2.7.9相对湿度偏差：±3.0%RH（湿度＞75%RH时），±5.0%RH（湿度≤75%RH时）；</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2.7.10结构方式：一体式结构，前上部为试验区，前下部及后部为制冷机组，箱体顶部安装防爆泄压装置；</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2.7.11外壁：双面镀锌钢板δ1.0mm，表面喷塑处理；外部结构加强件：双面镀锌钢板δ2.0mm，表面喷塑处理，或Q235型钢表面喷塑处理；</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2.7.12内壁：SUS304不锈钢板δ1.2mm；内部结构框架式加强件：SUS304不锈钢δ1.5mm；绝热材料：硬质聚氨酯泡沫+超细玻璃纤维，壁厚130mm</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2.7.13箱内最大总承重量：250kg；</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2.7.14门上配备：观察窗（内外均安装防护网）、照明灯；</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2.7.15门锁：门锁采用密闭联动把手；</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2.7.16门框：门框备防凝露电热装置；</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2.7.17安全链条：大门铰链侧和把手侧均安装安全链条2条，限制大门打开的角度；</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2.7.18引线孔：4个φ150mm引线孔，配软胶塞，箱体左、右侧各2个，上下排列，位于内箱侧壁的中心；各配引线孔胶塞卡箍1个，将胶塞压紧，防止弹出；</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2.7.19样品架：2层可调节式不锈钢样品架，承重（均布）：50kg/层；</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2.7.20二次电源：设备安全防护系统采用二次电源供电，设备报警停机时将切断风机、加热器、压缩机等一次电源，配有灭火系统、强排系统等消防系统的，消防系统电源不受影响；</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2.7.21泄压口：2套，</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箱体顶部开泄压口</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泄压板是非重闭式压力泄放装置，当泄压板两侧压力达到3kPa时，泄压板即刻动作，并释放出箱内气体</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泄压板为不锈钢材料，泄压板和内箱之间进行可靠的密封，保证在高温、湿热、低温等各种工况下箱体密封性</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泄压口外板设有外网罩，阻挡泄压时内部保温板等飞溅出，保护人员和设备安全；</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2.7.22强制排风系统: 风量≥30m3/h，强制排风装置由离心风机、阀门及管道组成</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强制排风系统与烟雾传感器、气体传感器（H2、CO）联动，在检测到箱内烟雾或有害气体后自动触发，将箱内空气强制排出箱外。（客户可在箱外自行增加管道，将排风引出到室外）</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设置手动开关，可以手动开启强制排风装置，排风装置运行时间可以单独设置。</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2.7.23注水灭火系统: 1套</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用户需接通外接水源。注水系统通过阀门和管道接到箱内，箱内布置喷水接口。</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注水强度：3分钟水位至内箱高度一半，喷水时间可以设置。</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内箱整体能够承受最高水位时的压力，水淹没电池包后，箱内保证密封性(可能会有少量漏水)</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内箱底部设置排水口，采用电磁阀控制，方便水的排出。可手动控制排水</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灭火系统与烟感传感器、气体传感器、移动温度传感器联动</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灭火系统分为自动消防模式和手动消防模式</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自动模式：当烟感传感器、气体传感器、移动温度监测都发生报警且未复位时，延时等待人为干预（延迟干预时间可人为设定）。若无人为停止，则切断设备电源，并执行注水动作</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手动模式：无论是烟感传感器、气体传感器还是移动温度报警，都只停止试验箱运行，并发出警报，等待用户人为关闭报警或者启动灭火动作</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2.7.24烟感传感器：1套</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当箱内烟雾浓度超过报警值后，发出报警并停机，并开启强制排风系统、注水灭火系统等消防系统</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2.7.25氢气测量传感器：2套</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氢气测量传感器2套（其中1套做冗余备份），测量箱内空气中的H2含量，检测电池是否异常情况发生。超过设置值时发出报警信号，切断设备的一次电源，除安全防护系统以外，设备其它系统停机，同时启动强制排风系统</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2.7.26CO测量传感器：1套</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测量箱内空气中的CO含量，检测电池是否异常情况发生。超过设置值时发出报警信号，切断设备的一次电源，除安全防护系统以外，设备其它系统停机，同时启动强制排风系统</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2.7.27移动传感器：6支</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移动传感器可在箱内任意位置移动，用于监测试验箱内空间温度或样品表面温度，预判样品电池的异常状况。</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其中1支移动传感器可与出风口传感器互换控温，控温范围：+85～-55℃</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另外5支移动传感器作为监视使用，控制器可显示数值并记录数据</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试验箱配置信号控制端子，指令通讯方式为无源开关通断信号。用户可通过信号控制端子连接试验箱和用户充放电监控系统。当移动传感器测得的样品表面温度异常，超过预设的限定值时，设备报警、停机，并通过信号控制端子将报警信号传送给用户充放电监控系统，由用户充放电监控系统及时切断充放电电源的传输，保证试验箱和充放电设备的安全</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2.7.28节流装置：电子膨胀阀；</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2.7.29加湿器：水盆加热加湿（表面蒸发）方式；</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2.7.30显示器：7.0英寸，800×480点阵，TFT 64K 彩色LCD显示器；</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2.7.31运行方式：程序方式、定值方式；</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2.7.32通讯接口：RJ-45以太网接口（IEEE802.3i/3u/3ab，100Mbps）RS-485接口；</w:t>
      </w:r>
    </w:p>
    <w:p>
      <w:pPr>
        <w:pStyle w:val="74"/>
        <w:numPr>
          <w:ilvl w:val="0"/>
          <w:numId w:val="12"/>
        </w:numPr>
        <w:spacing w:line="360" w:lineRule="auto"/>
        <w:rPr>
          <w:rFonts w:ascii="宋体" w:hAnsi="宋体" w:cs="宋体"/>
          <w:color w:val="auto"/>
          <w:sz w:val="24"/>
          <w:szCs w:val="24"/>
        </w:rPr>
      </w:pPr>
      <w:r>
        <w:rPr>
          <w:rFonts w:hint="eastAsia" w:ascii="宋体" w:hAnsi="宋体" w:cs="宋体"/>
          <w:color w:val="auto"/>
          <w:sz w:val="24"/>
          <w:szCs w:val="24"/>
        </w:rPr>
        <w:t xml:space="preserve"> 2.7.33测量传感器：</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温度：T型热电偶</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湿度：干、湿球温度计法（仅在有湿度控制的试验时工作）</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2.7.34四色报警灯：1只；</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2.7.35急停开关：1个；</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2.7.36试样电源控制端子：继电器触点控制，AC240V、2A以内（当正常运行时，触点闭合；当设备停机或故障时，触点断开）；</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2.7.37灭火联动控制器：在用户控制室内安装灭火联动控制器，控制器面板上设置手动紧急灭火按钮，用户控制室现场设置声光报警器</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灭火联动控制器接收各试验箱的报警信号。当灭火联动控制器收到报警信号，声光报警器动作，试验箱灭火系统自动启动。用户可根据现场情况操作手动紧急灭火按钮，启动试验箱灭火系统。灭火联动控制器采用独立供电模式，设备报警停机时也可正常运行。用户需在灭火联动控制器附近提供外接电源；</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2.7.38用户电池控制系统联动：试验箱配置信号控制端子，指令通讯方式为无源开关通断信号。用户可通过信号控制端子连接试验箱和用户电池控制系统。当电池试验出现异常时，试验箱可接收用户电池控制系统发送的报警或停机指令，并根据指令进行相应的动作（报警或停机）；</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2.7.39用户检测柜联动：试验箱配置RJ-45以太网接口，提供STEN通讯协议。用户可自行开发软件连接试验箱和用户检测柜，可以实现在检测柜电脑界面设置温湿度等参数、读取当前的温湿度数据、监控试验箱运行状态等功能；</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2.7.40安全策略：6等级（1、无需动作；2、气压平衡窗平衡内外气压；3、气体传感器报警，设备停机，强制排风系统启动；4、烟感器、气体传感器报警，设备停机，强制排风、注水灭火系统启动；5、烟感器、气体传感器报警，设备停机，强制排风、注水灭火系统启动；6、烟感器、气体传感器报警，泄压口打开，行程开关报警，设备停机，强制排风、注水灭火系统启动。）</w:t>
      </w:r>
    </w:p>
    <w:p>
      <w:pPr>
        <w:pStyle w:val="74"/>
        <w:spacing w:line="360" w:lineRule="auto"/>
        <w:rPr>
          <w:rFonts w:ascii="宋体" w:hAnsi="宋体" w:cs="宋体"/>
          <w:color w:val="auto"/>
          <w:sz w:val="24"/>
          <w:szCs w:val="24"/>
        </w:rPr>
      </w:pPr>
    </w:p>
    <w:p>
      <w:pPr>
        <w:pStyle w:val="5"/>
        <w:numPr>
          <w:ilvl w:val="0"/>
          <w:numId w:val="0"/>
        </w:numPr>
        <w:spacing w:before="0" w:after="0" w:line="360" w:lineRule="auto"/>
        <w:ind w:left="420"/>
        <w:rPr>
          <w:rFonts w:ascii="宋体" w:hAnsi="宋体" w:cs="宋体"/>
          <w:b w:val="0"/>
          <w:bCs w:val="0"/>
          <w:color w:val="auto"/>
          <w:sz w:val="24"/>
          <w:szCs w:val="24"/>
        </w:rPr>
      </w:pPr>
      <w:bookmarkStart w:id="81" w:name="_Toc25177"/>
      <w:r>
        <w:rPr>
          <w:rFonts w:hint="eastAsia" w:ascii="宋体" w:hAnsi="宋体" w:cs="宋体"/>
          <w:b w:val="0"/>
          <w:bCs w:val="0"/>
          <w:color w:val="auto"/>
          <w:sz w:val="24"/>
          <w:szCs w:val="24"/>
        </w:rPr>
        <w:t>2.8、步入式高低温湿热试验室</w:t>
      </w:r>
      <w:r>
        <w:rPr>
          <w:rFonts w:hint="eastAsia" w:ascii="宋体" w:hAnsi="宋体" w:cs="宋体"/>
          <w:b w:val="0"/>
          <w:bCs w:val="0"/>
          <w:color w:val="auto"/>
          <w:sz w:val="24"/>
          <w:szCs w:val="24"/>
          <w:lang w:val="en-US" w:eastAsia="zh-CN"/>
        </w:rPr>
        <w:t>1</w:t>
      </w:r>
      <w:r>
        <w:rPr>
          <w:rFonts w:hint="eastAsia" w:ascii="宋体" w:hAnsi="宋体" w:cs="宋体"/>
          <w:b w:val="0"/>
          <w:bCs w:val="0"/>
          <w:color w:val="auto"/>
          <w:sz w:val="24"/>
          <w:szCs w:val="24"/>
        </w:rPr>
        <w:t>（2台）：</w:t>
      </w:r>
      <w:bookmarkEnd w:id="81"/>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2.8.1标称内容积：不小于10立方；</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2.8.2标称内容积：不小于W2000mm×H2100mm×D2400mm；</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2.8.3温度范围：-55℃～+125℃；</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2.8.4温度波动度：0.6℃；</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2.8.5温度偏差：±2.0℃；</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2.8.6温度均匀度：2.0℃</w:t>
      </w:r>
    </w:p>
    <w:p>
      <w:pPr>
        <w:pStyle w:val="74"/>
        <w:spacing w:line="360" w:lineRule="auto"/>
        <w:ind w:firstLine="2940" w:firstLineChars="1225"/>
        <w:rPr>
          <w:rFonts w:ascii="宋体" w:hAnsi="宋体" w:cs="宋体"/>
          <w:color w:val="auto"/>
          <w:sz w:val="24"/>
          <w:szCs w:val="24"/>
        </w:rPr>
      </w:pPr>
      <w:r>
        <w:rPr>
          <w:rFonts w:hint="eastAsia" w:ascii="宋体" w:hAnsi="宋体" w:cs="宋体"/>
          <w:color w:val="auto"/>
          <w:sz w:val="24"/>
          <w:szCs w:val="24"/>
        </w:rPr>
        <w:t>1.0℃（湿度≥90%RH时）；</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2.8.7温度最大变化速率：≥2℃/min（标准负载800kg铝锭，5000W发热量，-40～+85℃，全程平均，入风区控制点测量）；</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2.8.8湿度范围：（20～98）%RH；</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2.8.9相对湿度偏差：±3.0%RH（湿度＞75%RH时），±5.0%RH（湿度≤75%RH时）；</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2.8.10结构方式：箱体采用整体式结构。前部为试验区，后部为制冷机组，箱体顶部安装防爆泄压装置；</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2.8.11外壁：喷塑镀锌彩色钢板δ0.8mm - 耐温度应力保温材料 - SUS304不锈钢板复合拼装板(总厚度150mm)</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设备外观颜色：室体为白色；</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2.8.12内壁：天板、立板为δ2mm不锈钢板，底板内板为δ3mm花纹防滑不锈钢板，内箱拼接缝TIG氩弧焊，焊缝连续密封；绝热材料：耐温度应力保温材料，库板厚度150mm；</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2.8.13箱内最大总承重量：1000kg；</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2.8.14门上配备：观察窗（内外均安装防护网）、安全门锁紧机构（可以在试验室内打开大门）；</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2.8.15门锁：门锁采用密闭联动把手；</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2.8.16门框：门框备防凝露电热装置；</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2.8.17安全链条：大门安装安全链条2条，限制大门打开的角度；</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2.8.18引线孔：4个φ150mm引线孔，配软胶塞，箱体左、右侧各2个，上下排列，位于内箱侧壁的中心；各配引线孔胶塞卡箍1个，将胶塞压紧，防止弹出；</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2.8.19观察窗：2个；</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2.8.20二次电源：设备安全防护系统采用二次电源供电，设备报警停机时将切断风机、加热器、压缩机等一次电源，配有灭火系统、强排系统等消防系统的，消防系统电源不受影响；</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2.8.21泄压口：2套，</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箱体顶部开泄压口</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泄压板是非重闭式压力泄放装置，当泄压板两侧压力达到3kPa时，泄压板即刻动作，并释放出箱内气体</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泄压板为不锈钢材料，泄压板和内箱之间进行可靠的密封，保证在高温、湿热、低温等各种工况下箱体密封性</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泄压口外板设有外网罩，阻挡泄压时内部保温板等飞溅出，保护人员和设备安全；</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2.8.22强制排风系统: 风量≥60m3/h，强制排风装置由离心风机、阀门及管道组成</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强制排风系统与烟雾传感器、气体传感器（H2、CO）联动，在检测到箱内烟雾或有害气体后自动触发，将箱内空气强制排出箱外。（客户可在箱外自行增加管道，将排风引出到室外）</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设置手动开关，可以手动开启强制排风装置，排风装置运行时间可以单独设置。</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2.8.23注水灭火系统: 1套</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用户需接通外接水源。注水系统通过阀门和管道接到箱内，箱内布置喷水接口。</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注水强度： 3分钟水位至0.8m深，喷水时间可以设置。</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内箱整体能够承受最高水位时的压力，水淹没电池包后，箱内保证密封性(可能会有少量漏水)</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内箱底部设置排水口，采用电磁阀控制，方便水的排出。可手动控制排水</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灭火系统与烟感传感器、气体传感器、移动温度传感器联动</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灭火系统分为自动消防模式和手动消防模式</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自动模式：当烟感传感器、气体传感器、移动温度监测都发生报警且未复位时，延时等待人为干预（延迟干预时间可人为设定）。若无人为停止，则切断设备电源，并执行注水动作</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手动模式：无论是烟感传感器、气体传感器还是移动温度报警，都只停止试验箱运行，并发出警报，等待用户人为关闭报警或者启动灭火动作</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2.8.24烟感传感器：1套</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当箱内烟雾浓度超过报警值后，发出报警并停机，并开启强制排风系统、注水灭火系统等消防系统</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2.8.25 氢气测量传感器:2套</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氢气测量传感器2套（其中1套做冗余备份），测量箱内空气中的H2含量，检测电池是否异常情况发生。超过设置值时发出报警信号，切断设备的一次电源，除安全防护系统以外，设备其它系统停机，同时启动强制排风系统</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2.8.26CO测量传感器：1套</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测量箱内空气中的CO含量，检测电池是否异常情况发生。超过设置值时发出报警信号，切断设备的一次电源，除安全防护系统以外，设备其它系统停机，同时启动强制排风系统</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2.8.27氧气测量传感器: 1套</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测量箱内空气中的CO含量，检测电池是否异常情况发生。超过设置值时发出报警信号，切断设备的一次电源，除安全防护系统以外，设备其它系统停机，同时启动强制排风系统</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2.8.28移动传感器：6支</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移动传感器可在箱内任意位置移动，用于监测试验箱内空间温度或样品表面温度，预判样品电池的异常状况。</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其中1支移动传感器可与出风口传感器互换控温，控温范围：+85～-55℃</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另外5支移动传感器作为监视使用，控制器可显示数值并记录数据</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试验箱配置信号控制端子，指令通讯方式为无源开关通断信号。用户可通过信号控制端子连接试验箱和用户充放电监控系统。当移动传感器测得的样品表面温度异常，超过预设的限定值时，设备报警、停机，并通过信号控制端子将报警信号传送给用户充放电监控系统，由用户充放电监控系统及时切断充放电电源的传输，保证试验箱和充放电设备的安全</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2.8.29节流装置：电子膨胀阀；</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2.8.30加湿器：水盆加热加湿（表面蒸发）方式；</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2.8.31显示器：10.4英寸800×600点阵、TFT 64K 彩色LCD显示器；</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2.8.32运行方式：程序方式、定值方式；</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2.8.33通讯接口：RJ-45以太网接口（IEEE802.3i/3u/3ab，100Mbps）RS-485接口；</w:t>
      </w:r>
    </w:p>
    <w:p>
      <w:pPr>
        <w:pStyle w:val="74"/>
        <w:numPr>
          <w:ilvl w:val="0"/>
          <w:numId w:val="12"/>
        </w:numPr>
        <w:spacing w:line="360" w:lineRule="auto"/>
        <w:rPr>
          <w:rFonts w:ascii="宋体" w:hAnsi="宋体" w:cs="宋体"/>
          <w:color w:val="auto"/>
          <w:sz w:val="24"/>
          <w:szCs w:val="24"/>
        </w:rPr>
      </w:pPr>
      <w:r>
        <w:rPr>
          <w:rFonts w:hint="eastAsia" w:ascii="宋体" w:hAnsi="宋体" w:cs="宋体"/>
          <w:color w:val="auto"/>
          <w:sz w:val="24"/>
          <w:szCs w:val="24"/>
        </w:rPr>
        <w:t>2.8.34测量传感器：</w:t>
      </w:r>
    </w:p>
    <w:p>
      <w:pPr>
        <w:pStyle w:val="74"/>
        <w:spacing w:line="360" w:lineRule="auto"/>
        <w:ind w:firstLine="1478" w:firstLineChars="616"/>
        <w:rPr>
          <w:rFonts w:ascii="宋体" w:hAnsi="宋体" w:cs="宋体"/>
          <w:color w:val="auto"/>
          <w:sz w:val="24"/>
          <w:szCs w:val="24"/>
        </w:rPr>
      </w:pPr>
      <w:r>
        <w:rPr>
          <w:rFonts w:hint="eastAsia" w:ascii="宋体" w:hAnsi="宋体" w:cs="宋体"/>
          <w:color w:val="auto"/>
          <w:sz w:val="24"/>
          <w:szCs w:val="24"/>
        </w:rPr>
        <w:t>温度：T型热电偶</w:t>
      </w:r>
    </w:p>
    <w:p>
      <w:pPr>
        <w:pStyle w:val="74"/>
        <w:spacing w:line="360" w:lineRule="auto"/>
        <w:ind w:firstLine="1478" w:firstLineChars="616"/>
        <w:rPr>
          <w:rFonts w:ascii="宋体" w:hAnsi="宋体" w:cs="宋体"/>
          <w:color w:val="auto"/>
          <w:sz w:val="24"/>
          <w:szCs w:val="24"/>
        </w:rPr>
      </w:pPr>
      <w:r>
        <w:rPr>
          <w:rFonts w:hint="eastAsia" w:ascii="宋体" w:hAnsi="宋体" w:cs="宋体"/>
          <w:color w:val="auto"/>
          <w:sz w:val="24"/>
          <w:szCs w:val="24"/>
        </w:rPr>
        <w:t>湿度：干、湿球温度计法（仅在有湿度控制的试验时工作）</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★2.8.35四色报警灯：1只；</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★2.8.36急停开关：1个；</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2.8.37试样电源控制端子：继电器触点控制，AC240V、2A以内（当正常运行时，触点闭合；当设备停机或故障时，触点断开）；</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2.8.38灭火联动控制器：在用户控制室内安装灭火联动控制器，控制器面板上设置手动紧急灭火按钮，用户控制室现场设置声光报警器</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灭火联动控制器接收各试验箱的报警信号。当灭火联动控制器收到报警信号，声光报警器动作，试验箱灭火系统自动启动。用户可根据现场情况操作手动紧急灭火按钮，启动试验箱灭火系统。灭火联动控制器采用独立供电模式，设备报警停机时也可正常运行。用户需在灭火联动控制器附近提供外接电源；</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2.8.39用户电池控制系统联动：试验箱配置信号控制端子，指令通讯方式为无源开关通断信号。用户可通过信号控制端子连接试验箱和用户电池控制系统。当电池试验出现异常时，试验箱可接收用户电池控制系统发送的报警或停机指令，并根据指令进行相应的动作（报警或停机）；</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2.8.40用户检测柜联动：试验箱配置RJ-45以太网接口，提供STEN通讯协议。用户可自行开发软件连接试验箱和用户检测柜，可以实现在检测柜电脑界面设置温湿度等参数、读取当前的温湿度数据、监控试验箱运行状态等功能；</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2.8.41安全策略：6等级（1、无需动作；2、气压平衡窗平衡内外气压；3、气体传感器报警，设备停机，强制排风系统启动；4、烟感器、气体传感器报警，设备停机，强制排风、注水灭火系统启动；5、烟感器、气体传感器报警，设备停机，强制排风、注水灭火系统启动；6、烟感器、气体传感器报警，泄压口打开，行程开关报警，设备停机，强制排风、注水灭火系统启动。）</w:t>
      </w:r>
    </w:p>
    <w:p>
      <w:pPr>
        <w:widowControl/>
        <w:tabs>
          <w:tab w:val="left" w:pos="540"/>
        </w:tabs>
        <w:spacing w:line="360" w:lineRule="auto"/>
        <w:jc w:val="left"/>
        <w:rPr>
          <w:rFonts w:ascii="宋体" w:hAnsi="宋体" w:cs="宋体"/>
          <w:color w:val="auto"/>
          <w:sz w:val="24"/>
          <w:szCs w:val="24"/>
        </w:rPr>
      </w:pPr>
    </w:p>
    <w:p>
      <w:pPr>
        <w:pStyle w:val="5"/>
        <w:numPr>
          <w:ilvl w:val="0"/>
          <w:numId w:val="0"/>
        </w:numPr>
        <w:spacing w:before="0" w:after="0" w:line="360" w:lineRule="auto"/>
        <w:ind w:left="420"/>
        <w:rPr>
          <w:rFonts w:ascii="宋体" w:hAnsi="宋体" w:cs="宋体"/>
          <w:b w:val="0"/>
          <w:bCs w:val="0"/>
          <w:color w:val="auto"/>
          <w:sz w:val="24"/>
          <w:szCs w:val="24"/>
        </w:rPr>
      </w:pPr>
      <w:bookmarkStart w:id="82" w:name="_Toc12134"/>
      <w:r>
        <w:rPr>
          <w:rFonts w:hint="eastAsia" w:ascii="宋体" w:hAnsi="宋体" w:cs="宋体"/>
          <w:b w:val="0"/>
          <w:bCs w:val="0"/>
          <w:color w:val="auto"/>
          <w:sz w:val="24"/>
          <w:szCs w:val="24"/>
        </w:rPr>
        <w:t>2.9、热滥用防爆试验箱（1台）：</w:t>
      </w:r>
      <w:bookmarkEnd w:id="82"/>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2.9.1标称内容积：不小于10立方；</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2.9.2标称内容积：不小于W2000mm×H2100mm×D2400mm；</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2.9.3温度范围：-55℃～+125℃；</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2.9.4温度波动度：0.6℃；</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2.9.5温度偏差：±2.0℃；</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2.9.6温度均匀度：2.0℃</w:t>
      </w:r>
    </w:p>
    <w:p>
      <w:pPr>
        <w:pStyle w:val="74"/>
        <w:spacing w:line="360" w:lineRule="auto"/>
        <w:ind w:firstLine="2940" w:firstLineChars="1225"/>
        <w:rPr>
          <w:rFonts w:ascii="宋体" w:hAnsi="宋体" w:cs="宋体"/>
          <w:color w:val="auto"/>
          <w:sz w:val="24"/>
          <w:szCs w:val="24"/>
        </w:rPr>
      </w:pPr>
      <w:r>
        <w:rPr>
          <w:rFonts w:hint="eastAsia" w:ascii="宋体" w:hAnsi="宋体" w:cs="宋体"/>
          <w:color w:val="auto"/>
          <w:sz w:val="24"/>
          <w:szCs w:val="24"/>
        </w:rPr>
        <w:t>1.0℃（湿度≥90%RH时）；</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2.9.7温度最大变化速率：≥5℃/min（标准负载800kg铝锭，5000W发热量，-40～+85℃，全程平均，入风区控制点测量）；</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2.9.8湿度范围：（20～98）%RH；</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2.9.9相对湿度偏差：±3.0%RH（湿度＞75%RH时），±5.0%RH（湿度≤75%RH时）；</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2.9.10结构方式：箱体采用整体式结构。前部为试验区，后部为制冷机组，箱体顶部安装防爆泄压装置；</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2.9.11外壁：喷塑镀锌彩色钢板δ0.8mm - 耐温度应力保温材料 - SUS304不锈钢板复合拼装板(总厚度150mm)</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设备外观颜色：室体为白色；</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2.9.12内壁：天板、立板为δ2mm不锈钢板，底板内板为δ3mm花纹防滑不锈钢板，内箱拼接缝TIG氩弧焊，焊缝连续密封；绝热材料：耐温度应力保温材料，库板厚度150mm；</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2.9.13箱内最大总承重量：1000kg；</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2.9.14门上配备：观察窗（内外均安装防护网）、安全门锁紧机构（可以在试验室内打开大门）；</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2.9.15门锁：门锁采用密闭联动把手；</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2.9.16门框：门框备防凝露电热装置；</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2.9.17安全链条：大门安装安全链条2条，限制大门打开的角度；</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2.9.18引线孔：4个φ150mm引线孔，配软胶塞，箱体左、右侧各2个，上下排列，位于内箱侧壁的中心；各配引线孔胶塞卡箍1个，将胶塞压紧，防止弹出；</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2.9.19观察窗：2个；</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2.9.20二次电源：设备安全防护系统采用二次电源供电，设备报警停机时将切断风机、加热器、压缩机等一次电源，配有灭火系统、强排系统等消防系统的，消防系统电源不受影响；</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2.9.21泄压口：2套，箱体顶部开泄压口</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泄压板是非重闭式压力泄放装置，当泄压板两侧压力达到3kPa时，泄压板即刻动作，并释放出箱内气体</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泄压板为不锈钢材料，泄压板和内箱之间进行可靠的密封，保证在高温、湿热、低温等各种工况下箱体密封性</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泄压口外板设有外网罩，阻挡泄压时内部保温板等飞溅出，保护人员和设备安全；</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2.9.22强制排风系统: 风量≥60m3/h，强制排风装置由离心风机、阀门及管道组成</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强制排风系统与烟雾传感器、气体传感器（H2、CO）联动，在检测到箱内烟雾或有害气体后自动触发，将箱内空气强制排出箱外。（客户可在箱外自行增加管道，将排风引出到室外）</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设置手动开关，可以手动开启强制排风装置，排风装置运行时间可以单独设置。</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2.9.23注水灭火系统: 1套</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用户需接通外接水源。注水系统通过阀门和管道接到箱内，箱内布置喷水接口。</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注水强度： 3分钟水位至0.8m深，喷水时间可以设置。</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内箱整体能够承受最高水位时的压力，水淹没电池包后，箱内保证密封性(可能会有少量漏水)</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内箱底部设置排水口，采用电磁阀控制，方便水的排出。可手动控制排水</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灭火系统与烟感传感器、气体传感器、移动温度传感器联动</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灭火系统分为自动消防模式和手动消防模式</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自动模式：当烟感传感器、气体传感器、移动温度监测都发生报警且未复位时，延时等待人为干预（延迟干预时间可人为设定）。若无人为停止，则切断设备电源，并执行注水动作</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手动模式：无论是烟感传感器、气体传感器还是移动温度报警，都只停止试验箱运行，并发出警报，等待用户人为关闭报警或者启动灭火动作</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2.9.24烟感传感器：1套</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当箱内烟雾浓度超过报警值后，发出报警并停机，并开启强制排风系统、注水灭火系统等消防系统</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2.9.25 氢气测量传感器:2套</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氢气测量传感器2套（其中1套做冗余备份），测量箱内空气中的H2含量，检测电池是否异常情况发生。超过设置值时发出报警信号，切断设备的一次电源，除安全防护系统以外，设备其它系统停机，同时启动强制排风系统</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2.9.26CO测量传感器：1套</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测量箱内空气中的CO含量，检测电池是否异常情况发生。超过设置值时发出报警信号，切断设备的一次电源，除安全防护系统以外，设备其它系统停机，同时启动强制排风系统</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2.9.27氧气测量传感器: 1套</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测量箱内空气中的CO含量，检测电池是否异常情况发生。超过设置值时发出报警信号，切断设备的一次电源，除安全防护系统以外，设备其它系统停机，同时启动强制排风系统</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2.9.28移动传感器：6支</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移动传感器可在箱内任意位置移动，用于监测试验箱内空间温度或样品表面温度，预判样品电池的异常状况。</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其中1支移动传感器可与出风口传感器互换控温，控温范围：+85～-55℃</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另外5支移动传感器作为监视使用，控制器可显示数值并记录数据</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试验箱配置信号控制端子，指令通讯方式为无源开关通断信号。用户可通过信号控制端子连接试验箱和用户充放电监控系统。当移动传感器测得的样品表面温度异常，超过预设的限定值时，设备报警、停机，并通过信号控制端子将报警信号传送给用户充放电监控系统，由用户充放电监控系统及时切断充放电电源的传输，保证试验箱和充放电设备的安全</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2.9.29节流装置：电子膨胀阀；</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2.9.30加湿器：水盆加热加湿（表面蒸发）方式；</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2.9.31显示器：10.4英寸800×600点阵、TFT 64K 彩色LCD显示器；</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★2.9.32运行方式：程序方式、定值方式；</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★2.9.33通讯接口：RJ-45以太网接口（IEEE802.3i/3u/3ab，100Mbps）RS-485接口；</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★2.9.34测量传感器：</w:t>
      </w:r>
    </w:p>
    <w:p>
      <w:pPr>
        <w:pStyle w:val="74"/>
        <w:spacing w:line="360" w:lineRule="auto"/>
        <w:ind w:firstLine="1478" w:firstLineChars="616"/>
        <w:rPr>
          <w:rFonts w:ascii="宋体" w:hAnsi="宋体" w:cs="宋体"/>
          <w:color w:val="auto"/>
          <w:sz w:val="24"/>
          <w:szCs w:val="24"/>
        </w:rPr>
      </w:pPr>
      <w:r>
        <w:rPr>
          <w:rFonts w:hint="eastAsia" w:ascii="宋体" w:hAnsi="宋体" w:cs="宋体"/>
          <w:color w:val="auto"/>
          <w:sz w:val="24"/>
          <w:szCs w:val="24"/>
        </w:rPr>
        <w:t>温度：T型热电偶</w:t>
      </w:r>
    </w:p>
    <w:p>
      <w:pPr>
        <w:pStyle w:val="74"/>
        <w:spacing w:line="360" w:lineRule="auto"/>
        <w:ind w:firstLine="1478" w:firstLineChars="616"/>
        <w:rPr>
          <w:rFonts w:ascii="宋体" w:hAnsi="宋体" w:cs="宋体"/>
          <w:color w:val="auto"/>
          <w:sz w:val="24"/>
          <w:szCs w:val="24"/>
        </w:rPr>
      </w:pPr>
      <w:r>
        <w:rPr>
          <w:rFonts w:hint="eastAsia" w:ascii="宋体" w:hAnsi="宋体" w:cs="宋体"/>
          <w:color w:val="auto"/>
          <w:sz w:val="24"/>
          <w:szCs w:val="24"/>
        </w:rPr>
        <w:t>湿度：干、湿球温度计法（仅在有湿度控制的试验时工作）</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★2.9.35四色报警灯：1只；</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★2.9.36急停开关：1个；</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2.9.37试样电源控制端子：继电器触点控制，AC240V、2A以内（当正常运行时，触点闭合；当设备停机或故障时，触点断开）；</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2.9.38灭火联动控制器：在用户控制室内安装灭火联动控制器，控制器面板上设置手动紧急灭火按钮，用户控制室现场设置声光报警器</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灭火联动控制器接收各试验箱的报警信号。当灭火联动控制器收到报警信号，声光报警器动作，试验箱灭火系统自动启动。用户可根据现场情况操作手动紧急灭火按钮，启动试验箱灭火系统。灭火联动控制器采用独立供电模式，设备报警停机时也可正常运行。用户需在灭火联动控制器附近提供外接电源；</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2.9.39用户电池控制系统联动：试验箱配置信号控制端子，指令通讯方式为无源开关通断信号。用户可通过信号控制端子连接试验箱和用户电池控制系统。当电池试验出现异常时，试验箱可接收用户电池控制系统发送的报警或停机指令，并根据指令进行相应的动作（报警或停机）；</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2.9.40用户检测柜联动：试验箱配置RJ-45以太网接口，提供STEN通讯协议。用户可自行开发软件连接试验箱和用户检测柜，可以实现在检测柜电脑界面设置温湿度等参数、读取当前的温湿度数据、监控试验箱运行状态等功能；</w:t>
      </w:r>
    </w:p>
    <w:p>
      <w:pPr>
        <w:pStyle w:val="74"/>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2.9.41安全策略：6等级（1、无需动作；2、气压平衡窗平衡内外气压；3、气体传感器报警，设备停机，强制排风系统启动；4、烟感器、气体传感器报警，设备停机，强制排风、注水灭火系统启动；5、烟感器、气体传感器报警，设备停机，强制排风、注水灭火系统启动；6、烟感器、气体传感器报警，泄压口打开，行程开关报警，设备停机，强制排风、注水灭火系统启动。）</w:t>
      </w:r>
    </w:p>
    <w:p>
      <w:pPr>
        <w:pStyle w:val="5"/>
        <w:widowControl/>
        <w:numPr>
          <w:ilvl w:val="0"/>
          <w:numId w:val="0"/>
        </w:numPr>
        <w:tabs>
          <w:tab w:val="left" w:pos="540"/>
        </w:tabs>
        <w:spacing w:before="0" w:after="0" w:line="360" w:lineRule="auto"/>
        <w:ind w:left="420"/>
        <w:jc w:val="left"/>
        <w:rPr>
          <w:rFonts w:ascii="宋体" w:hAnsi="宋体" w:cs="宋体"/>
          <w:b w:val="0"/>
          <w:bCs w:val="0"/>
          <w:color w:val="auto"/>
          <w:sz w:val="24"/>
          <w:szCs w:val="24"/>
        </w:rPr>
      </w:pPr>
      <w:bookmarkStart w:id="83" w:name="_Toc4372"/>
      <w:r>
        <w:rPr>
          <w:rFonts w:hint="eastAsia" w:ascii="宋体" w:hAnsi="宋体" w:cs="宋体"/>
          <w:b w:val="0"/>
          <w:bCs w:val="0"/>
          <w:color w:val="auto"/>
          <w:sz w:val="24"/>
          <w:szCs w:val="24"/>
        </w:rPr>
        <w:t>2.10、步入式高低温湿热试验箱</w:t>
      </w:r>
      <w:r>
        <w:rPr>
          <w:rFonts w:hint="eastAsia" w:ascii="宋体" w:hAnsi="宋体" w:cs="宋体"/>
          <w:b w:val="0"/>
          <w:bCs w:val="0"/>
          <w:color w:val="auto"/>
          <w:sz w:val="24"/>
          <w:szCs w:val="24"/>
          <w:lang w:val="en-US" w:eastAsia="zh-CN"/>
        </w:rPr>
        <w:t>2</w:t>
      </w:r>
      <w:r>
        <w:rPr>
          <w:rFonts w:hint="eastAsia" w:ascii="宋体" w:hAnsi="宋体" w:cs="宋体"/>
          <w:b w:val="0"/>
          <w:bCs w:val="0"/>
          <w:color w:val="auto"/>
          <w:sz w:val="24"/>
          <w:szCs w:val="24"/>
        </w:rPr>
        <w:t>（1台）：</w:t>
      </w:r>
      <w:bookmarkEnd w:id="83"/>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2.10.1不小于标称内容积：</w:t>
      </w:r>
      <w:r>
        <w:rPr>
          <w:rFonts w:ascii="宋体" w:hAnsi="宋体" w:cs="宋体"/>
          <w:color w:val="auto"/>
          <w:sz w:val="24"/>
          <w:szCs w:val="24"/>
        </w:rPr>
        <w:t>24</w:t>
      </w:r>
      <w:r>
        <w:rPr>
          <w:rFonts w:hint="eastAsia" w:ascii="宋体" w:hAnsi="宋体" w:cs="宋体"/>
          <w:color w:val="auto"/>
          <w:sz w:val="24"/>
          <w:szCs w:val="24"/>
        </w:rPr>
        <w:t>立方；</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2.10.2标称内容积：不小于W4000mm×H</w:t>
      </w:r>
      <w:r>
        <w:rPr>
          <w:rFonts w:ascii="宋体" w:hAnsi="宋体" w:cs="宋体"/>
          <w:color w:val="auto"/>
          <w:sz w:val="24"/>
          <w:szCs w:val="24"/>
        </w:rPr>
        <w:t>20</w:t>
      </w:r>
      <w:r>
        <w:rPr>
          <w:rFonts w:hint="eastAsia" w:ascii="宋体" w:hAnsi="宋体" w:cs="宋体"/>
          <w:color w:val="auto"/>
          <w:sz w:val="24"/>
          <w:szCs w:val="24"/>
        </w:rPr>
        <w:t>00mm×D</w:t>
      </w:r>
      <w:r>
        <w:rPr>
          <w:rFonts w:ascii="宋体" w:hAnsi="宋体" w:cs="宋体"/>
          <w:color w:val="auto"/>
          <w:sz w:val="24"/>
          <w:szCs w:val="24"/>
        </w:rPr>
        <w:t>30</w:t>
      </w:r>
      <w:r>
        <w:rPr>
          <w:rFonts w:hint="eastAsia" w:ascii="宋体" w:hAnsi="宋体" w:cs="宋体"/>
          <w:color w:val="auto"/>
          <w:sz w:val="24"/>
          <w:szCs w:val="24"/>
        </w:rPr>
        <w:t>00mm；</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2.10.3温度范围：-55℃～+125℃；</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2.10.4温度波动度：0.6℃；</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2.10.5温度偏差：±2.0℃；</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2.10.6温度均匀度：2.0℃</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1.0℃（湿度≥90%RH时）；</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2.10.7温度最大变化速率：≥2℃/min（标准负载1.5T铝锭，10kW发热量，-40～+85℃，全程平均，入风区控制点测量）；</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2.10.8湿度范围：（20～98）%RH；</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2.10.9相对湿度偏差：±3.0%RH（湿度＞75%RH时），±5.0%RH（湿度≤75%RH时）；</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2.10.10结构方式：箱体采用整体式结构。前部为试验区，后部为制冷机组，箱体顶部安装防爆泄压装置；</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▲2.10.11外壁：喷塑镀锌彩色钢板δ0.8mm - 耐温度应力保温材料 - SUS304不锈钢板复合拼装板(总厚度150mm)</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设备外观颜色：室体为白色；</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2.10.12内壁：天板、立板为δ2mm不锈钢板，底板内板为δ3mm花纹防滑不锈钢板，内箱拼接缝TIG氩弧焊，焊缝连续密封；绝热材料：耐温度应力保温材料，库板厚度150mm；</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2.10.13箱内最大总承重量：2000kg；</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2.10.14门上配备：观察窗（内外均安装防护网）、安全门锁紧机构（可以在试验室内打开大门）；</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2.10.15门锁：门锁采用密闭联动把手；</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2.10.16门框：门框备防凝露电热装置；</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2.10.17安全链条：大门安装安全链条2条，限制大门打开的角度；</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2.10.18引线孔：4个φ150mm引线孔，配软胶塞，箱体左、右侧各2个，上下排列，位于内箱侧壁的中心；各配引线孔胶塞卡箍1个，将胶塞压紧，防止弹出；</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2.10.19观察窗：2个；</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2.10.20二次电源：设备安全防护系统采用二次电源供电，设备报警停机时将切断风机、加热器、压缩机等一次电源，配有灭火系统、强排系统等消防系统的，消防系统电源不受影响；</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2.10.21泄压口：3套，</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箱体顶部开泄压口</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泄压板是非重闭式压力泄放装置，当泄压板两侧压力达到3kPa时，泄压板即刻动作，并释放出箱内气体</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泄压板为不锈钢材料，泄压板和内箱之间进行可靠的密封，保证在高温、湿热、低温等各种工况下箱体密封性</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泄压口外板设有外网罩，阻挡泄压时内部保温板等飞溅出，保护人员和设备安全；</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2.10.22强制排风系统: 风量≥100m</w:t>
      </w:r>
      <w:r>
        <w:rPr>
          <w:rFonts w:hint="eastAsia" w:ascii="宋体" w:hAnsi="宋体" w:cs="宋体"/>
          <w:color w:val="auto"/>
          <w:sz w:val="24"/>
          <w:szCs w:val="24"/>
          <w:vertAlign w:val="superscript"/>
        </w:rPr>
        <w:t>3</w:t>
      </w:r>
      <w:r>
        <w:rPr>
          <w:rFonts w:hint="eastAsia" w:ascii="宋体" w:hAnsi="宋体" w:cs="宋体"/>
          <w:color w:val="auto"/>
          <w:sz w:val="24"/>
          <w:szCs w:val="24"/>
        </w:rPr>
        <w:t>/h，强制排风装置由离心风机、阀门及管道组成</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强制排风系统与烟雾传感器、气体传感器（H2、CO）联动，在检测到箱内烟雾或有害气体后自动触发，将箱内空气强制排出箱外。（客户可在箱外自行增加管道，将排风引出到室外）</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设置手动开关，可以手动开启强制排风装置，排风装置运行时间可以单独设置。</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2.10.23注水灭火系统: 1套</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用户需接通外接水源。注水系统通过阀门和管道接到箱内，箱内布置喷水接口。</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注水强度： 3分钟水位至0.8m深，喷水时间可以设置。</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内箱整体能够承受最高水位时的压力，水淹没电池包后，箱内保证密封性(可能会有少量漏水)</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内箱底部设置排水口，采用电磁阀控制，方便水的排出。可手动控制排水</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灭火系统与烟感传感器、气体传感器、移动温度传感器联动</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灭火系统分为自动消防模式和手动消防模式</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自动模式：当烟感传感器、气体传感器、移动温度监测都发生报警且未复位时，延时等待人为干预（延迟干预时间可人为设定）。若无人为停止，则切断设备电源，并执行注水动作</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手动模式：无论是烟感传感器、气体传感器还是移动温度报警，都只停止试验箱运行，并发出警报，等待用户人为关闭报警或者启动灭火动作</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2.10.24烟感传感器：1套，当箱内烟雾浓度超过报警值后，发出报警并停机，并开启强制排风系统、注水灭火系统等消防系统</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2.10.25 氢气测量传感器:2套</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氢气测量传感器2套（其中1套做冗余备份），测量箱内空气中的H2含量，检测电池是否异常情况发生。超过设置值时发出报警信号，切断设备的一次电源，除安全防护系统以外，设备其它系统停机，同时启动强制排风系统</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2.10.26CO测量传感器：1套</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测量箱内空气中的CO含量，检测电池是否异常情况发生。超过设置值时发出报警信号，切断设备的一次电源，除安全防护系统以外，设备其它系统停机，同时启动强制排风系统</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2.10.27氧气测量传感器: 1套</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测量箱内空气中的CO含量，检测电池是否异常情况发生。超过设置值时发出报警信号，切断设备的一次电源，除安全防护系统以外，设备其它系统停机，同时启动强制排风系统</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2.10.28移动传感器：6支</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移动传感器可在箱内任意位置移动，用于监测试验箱内空间温度或样品表面温度，预判样品电池的异常状况。</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其中1支移动传感器可与出风口传感器互换控温，控温范围：+85～-55℃</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另外5支移动传感器作为监视使用，控制器可显示数值并记录数据</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试验箱配置信号控制端子，指令通讯方式为无源开关通断信号。用户可通过信号控制端子连接试验箱和用户充放电监控系统。当移动传感器测得的样品表面温度异常，超过预设的限定值时，设备报警、停机，并通过信号控制端子将报警信号传送给用户充放电监控系统，由用户充放电监控系统及时切断充放电电源的传输，保证试验箱和充放电设备的安全</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2.10.29节流装置：电子膨胀阀；</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2.10.30加湿器：水盆加热加湿（表面蒸发）方式；</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2.10.31显示器：10.4英寸800×600点阵、TFT 64K 彩色LCD显示器；</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★2.10.32运行方式：程序方式、定值方式；</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★2.10.33通讯接口：RJ-45以太网接口（IEEE802.3i/3u/3ab，100Mbps）RS-485接口；</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★2.10.34测量传感器：</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温度：T型热电偶</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湿度：干、湿球温度计法（仅在有湿度控制的试验时工作）</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★2.10.35四色报警灯：1只；</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★2.10.36急停开关：1个；</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2.10.37试样电源控制端子：继电器触点控制，AC240V、2A以内（当正常运行时，触点闭合；当设备停机或故障时，触点断开）；</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2.10.38灭火联动控制器：在用户控制室内安装灭火联动控制器，控制器面板上设置手动紧急灭火按钮，用户控制室现场设置声光报警器</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灭火联动控制器接收各试验箱的报警信号。当灭火联动控制器收到报警信号，声光报警器动作，试验箱灭火系统自动启动。用户可根据现场情况操作手动紧急灭火按钮，启动试验箱灭火系统。灭火联动控制器采用独立供电模式，设备报警停机时也可正常运行。用户需在灭火联动控制器附近提供外接电源；</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2.10.39用户电池控制系统联动：试验箱配置信号控制端子，指令通讯方式为无源开关通断信号。用户可通过信号控制端子连接试验箱和用户电池控制系统。当电池试验出现异常时，试验箱可接收用户电池控制系统发送的报警或停机指令，并根据指令进行相应的动作（报警或停机）；</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2.10.40用户检测柜联动：试验箱配置RJ-45以太网接口，提供STEN通讯协议。用户可自行开发软件连接试验箱和用户检测柜，可以实现在检测柜电脑界面设置温湿度等参数、读取当前的温湿度数据、监控试验箱运行状态等功能；</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2.10.41安全策略：6等级（1、无需动作；2、气压平衡窗平衡内外气压；3、气体传感器报警，设备停机，强制排风系统启动；4、烟感器、气体传感器报警，设备停机，强制排风、注水灭火系统启动；5、烟感器、气体传感器报警，设备停机，强制排风、注水灭火系统启动；6、烟感器、气体传感器报警，泄压口打开，行程开关报警，设备停机，强制排风、注水灭火系统启动。）</w:t>
      </w:r>
    </w:p>
    <w:p>
      <w:pPr>
        <w:widowControl/>
        <w:tabs>
          <w:tab w:val="left" w:pos="540"/>
        </w:tabs>
        <w:spacing w:line="360" w:lineRule="auto"/>
        <w:jc w:val="left"/>
        <w:rPr>
          <w:rFonts w:ascii="宋体" w:hAnsi="宋体" w:cs="宋体"/>
          <w:color w:val="auto"/>
          <w:sz w:val="24"/>
          <w:szCs w:val="24"/>
        </w:rPr>
      </w:pPr>
    </w:p>
    <w:p>
      <w:pPr>
        <w:pStyle w:val="5"/>
        <w:widowControl/>
        <w:numPr>
          <w:ilvl w:val="0"/>
          <w:numId w:val="0"/>
        </w:numPr>
        <w:tabs>
          <w:tab w:val="left" w:pos="540"/>
        </w:tabs>
        <w:spacing w:before="0" w:after="0" w:line="360" w:lineRule="auto"/>
        <w:ind w:left="420"/>
        <w:jc w:val="left"/>
        <w:rPr>
          <w:rFonts w:ascii="宋体" w:hAnsi="宋体" w:cs="宋体"/>
          <w:b w:val="0"/>
          <w:bCs w:val="0"/>
          <w:color w:val="auto"/>
          <w:sz w:val="24"/>
          <w:szCs w:val="24"/>
        </w:rPr>
      </w:pPr>
      <w:bookmarkStart w:id="84" w:name="_Toc11639"/>
      <w:r>
        <w:rPr>
          <w:rFonts w:hint="eastAsia" w:ascii="宋体" w:hAnsi="宋体" w:cs="宋体"/>
          <w:b w:val="0"/>
          <w:bCs w:val="0"/>
          <w:color w:val="auto"/>
          <w:sz w:val="24"/>
          <w:szCs w:val="24"/>
        </w:rPr>
        <w:t>2.11、步入式高低温湿热试验箱</w:t>
      </w:r>
      <w:r>
        <w:rPr>
          <w:rFonts w:hint="eastAsia" w:ascii="宋体" w:hAnsi="宋体" w:cs="宋体"/>
          <w:b w:val="0"/>
          <w:bCs w:val="0"/>
          <w:color w:val="auto"/>
          <w:sz w:val="24"/>
          <w:szCs w:val="24"/>
          <w:lang w:val="en-US" w:eastAsia="zh-CN"/>
        </w:rPr>
        <w:t>3</w:t>
      </w:r>
      <w:r>
        <w:rPr>
          <w:rFonts w:hint="eastAsia" w:ascii="宋体" w:hAnsi="宋体" w:cs="宋体"/>
          <w:b w:val="0"/>
          <w:bCs w:val="0"/>
          <w:color w:val="auto"/>
          <w:sz w:val="24"/>
          <w:szCs w:val="24"/>
        </w:rPr>
        <w:t>（1台）：</w:t>
      </w:r>
      <w:bookmarkEnd w:id="84"/>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2.11.1标称内容积：不小于</w:t>
      </w:r>
      <w:r>
        <w:rPr>
          <w:rFonts w:ascii="宋体" w:hAnsi="宋体" w:cs="宋体"/>
          <w:color w:val="auto"/>
          <w:sz w:val="24"/>
          <w:szCs w:val="24"/>
        </w:rPr>
        <w:t>4</w:t>
      </w:r>
      <w:r>
        <w:rPr>
          <w:rFonts w:hint="eastAsia" w:ascii="宋体" w:hAnsi="宋体" w:cs="宋体"/>
          <w:color w:val="auto"/>
          <w:sz w:val="24"/>
          <w:szCs w:val="24"/>
        </w:rPr>
        <w:t>立方；</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2.11.2标称内容积：不小于W4000mm×H</w:t>
      </w:r>
      <w:r>
        <w:rPr>
          <w:rFonts w:ascii="宋体" w:hAnsi="宋体" w:cs="宋体"/>
          <w:color w:val="auto"/>
          <w:sz w:val="24"/>
          <w:szCs w:val="24"/>
        </w:rPr>
        <w:t>20</w:t>
      </w:r>
      <w:r>
        <w:rPr>
          <w:rFonts w:hint="eastAsia" w:ascii="宋体" w:hAnsi="宋体" w:cs="宋体"/>
          <w:color w:val="auto"/>
          <w:sz w:val="24"/>
          <w:szCs w:val="24"/>
        </w:rPr>
        <w:t>00mm×D</w:t>
      </w:r>
      <w:r>
        <w:rPr>
          <w:rFonts w:ascii="宋体" w:hAnsi="宋体" w:cs="宋体"/>
          <w:color w:val="auto"/>
          <w:sz w:val="24"/>
          <w:szCs w:val="24"/>
        </w:rPr>
        <w:t>30</w:t>
      </w:r>
      <w:r>
        <w:rPr>
          <w:rFonts w:hint="eastAsia" w:ascii="宋体" w:hAnsi="宋体" w:cs="宋体"/>
          <w:color w:val="auto"/>
          <w:sz w:val="24"/>
          <w:szCs w:val="24"/>
        </w:rPr>
        <w:t>00mm；</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2.11.3温度范围：-55℃～+125℃；</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2.11.4温度波动度：0.6℃；</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2.11.5温度偏差：±2.0℃；</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2.11.6温度均匀度：2.0℃</w:t>
      </w:r>
    </w:p>
    <w:p>
      <w:pPr>
        <w:widowControl/>
        <w:tabs>
          <w:tab w:val="left" w:pos="540"/>
        </w:tabs>
        <w:spacing w:line="360" w:lineRule="auto"/>
        <w:ind w:firstLine="2940" w:firstLineChars="1225"/>
        <w:jc w:val="left"/>
        <w:rPr>
          <w:rFonts w:ascii="宋体" w:hAnsi="宋体" w:cs="宋体"/>
          <w:color w:val="auto"/>
          <w:sz w:val="24"/>
          <w:szCs w:val="24"/>
        </w:rPr>
      </w:pPr>
      <w:r>
        <w:rPr>
          <w:rFonts w:hint="eastAsia" w:ascii="宋体" w:hAnsi="宋体" w:cs="宋体"/>
          <w:color w:val="auto"/>
          <w:sz w:val="24"/>
          <w:szCs w:val="24"/>
        </w:rPr>
        <w:t>1.0℃（湿度≥90%RH时）；</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2.11.7温度最大变化速率：≥5℃/min（标准负载1.5T铝锭，10kW发热量，-40～+85℃，全程平均，入风区控制点测量）；</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2.11.8湿度范围：（20～98）%RH；</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2.11.9相对湿度偏差：±3.0%RH（湿度＞75%RH时），±5.0%RH（湿度≤75%RH时）；</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2.11.10结构方式：箱体采用整体式结构。前部为试验区，后部为制冷机组，箱体顶部安装防爆泄压装置；</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2.11.11外壁：喷塑镀锌彩色钢板δ0.8mm - 耐温度应力保温材料 - SUS304不锈钢板复合拼装板(总厚度150mm)</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设备外观颜色：室体为白色；</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2.11.12内壁：天板、立板为δ2mm不锈钢板，底板内板为δ3mm花纹防滑不锈钢板，内箱拼接缝TIG氩弧焊，焊缝连续密封；绝热材料：耐温度应力保温材料，库板厚度150mm；</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2.11.13箱内最大总承重量：2000kg；</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2.11.14门上配备：观察窗（内外均安装防护网）、安全门锁紧机构（可以在试验室内打开大门）；</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2.11.15门锁：门锁采用密闭联动把手；</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2.11.16门框：门框备防凝露电热装置；</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2.11.17安全链条：大门安装安全链条2条，限制大门打开的角度；</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2.11.18引线孔：4个φ150mm引线孔，配软胶塞，箱体左、右侧各2个，上下排列，位于内箱侧壁的中心；各配引线孔胶塞卡箍1个，将胶塞压紧，防止弹出；</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2.11.19观察窗：2个；</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2.11.20二次电源：设备安全防护系统采用二次电源供电，设备报警停机时将切断风机、加热器、压缩机等一次电源，配有灭火系统、强排系统等消防系统的，消防系统电源不受影响；</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2.11.21泄压口：3套，</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箱体顶部开泄压口</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泄压板是非重闭式压力泄放装置，当泄压板两侧压力达到3kPa时，泄压板即刻动作，并释放出箱内气体</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泄压板为不锈钢材料，泄压板和内箱之间进行可靠的密封，保证在高温、湿热、低温等各种工况下箱体密封性</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泄压口外板设有外网罩，阻挡泄压时内部保温板等飞溅出，保护人员和设备安全；</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2.11.22强制排风系统: 风量≥100m3/h，强制排风装置由离心风机、阀门及管道组成</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强制排风系统与烟雾传感器、气体传感器（H2、CO）联动，在检测到箱内烟雾或有害气体后自动触发，将箱内空气强制排出箱外。（客户可在箱外自行增加管道，将排风引出到室外）</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设置手动开关，可以手动开启强制排风装置，排风装置运行时间可以单独设置。</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2.11.23注水灭火系统: 1套</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用户需接通外接水源。注水系统通过阀门和管道接到箱内，箱内布置喷水接口。</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注水强度： 3分钟水位至0.8m深，喷水时间可以设置。</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内箱整体能够承受最高水位时的压力，水淹没电池包后，箱内保证密封性(可能会有少量漏水)</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内箱底部设置排水口，采用电磁阀控制，方便水的排出。可手动控制排水</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灭火系统与烟感传感器、气体传感器、移动温度传感器联动</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灭火系统分为自动消防模式和手动消防模式</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自动模式：当烟感传感器、气体传感器、移动温度监测都发生报警且未复位时，延时等待人为干预（延迟干预时间可人为设定）。若无人为停止，则切断设备电源，并执行注水动作</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手动模式：无论是烟感传感器、气体传感器还是移动温度报警，都只停止试验箱运行，并发出警报，等待用户人为关闭报警或者启动灭火动作</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2.11.24烟感传感器：1套</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当箱内烟雾浓度超过报警值后，发出报警并停机，并开启强制排风系统、注水灭火系统等消防系统</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2.11.25 氢气测量传感器:2套</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氢气测量传感器2套（其中1套做冗余备份），测量箱内空气中的H2含量，检测电池是否异常情况发生。超过设置值时发出报警信号，切断设备的一次电源，除安全防护系统以外，设备其它系统停机，同时启动强制排风系统</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2.11.26 CO测量传感器：1套</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测量箱内空气中的CO含量，检测电池是否异常情况发生。超过设置值时发出报警信号，切断设备的一次电源，除安全防护系统以外，设备其它系统停机，同时启动强制排风系统</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2.11.27氧气测量传感器: 1套</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测量箱内空气中的CO含量，检测电池是否异常情况发生。超过设置值时发出报警信号，切断设备的一次电源，除安全防护系统以外，设备其它系统停机，同时启动强制排风系统</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2.11.28移动传感器：6支</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移动传感器可在箱内任意位置移动，用于监测试验箱内空间温度或样品表面温度，预判样品电池的异常状况。</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其中1支移动传感器可与出风口传感器互换控温，控温范围：+85～-55℃</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另外5支移动传感器作为监视使用，控制器可显示数值并记录数据</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试验箱配置信号控制端子，指令通讯方式为无源开关通断信号。用户可通过信号控制端子连接试验箱和用户充放电监控系统。当移动传感器测得的样品表面温度异常，超过预设的限定值时，设备报警、停机，并通过信号控制端子将报警信号传送给用户充放电监控系统，由用户充放电监控系统及时切断充放电电源的传输，保证试验箱和充放电设备的安全</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2.11.29节流装置：电子膨胀阀；</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2.11.30加湿器：水盆加热加湿（表面蒸发）方式；</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2.11.31显示器：10.4英寸800×600点阵、TFT 64K 彩色LCD显示器；</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★2.11.32运行方式：程序方式、定值方式；</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★2.11.33通讯接口：RJ-45以太网接口（IEEE802.3i/3u/3ab，100Mbps）RS-485接口；</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★2.11.34测量传感器：</w:t>
      </w:r>
    </w:p>
    <w:p>
      <w:pPr>
        <w:widowControl/>
        <w:tabs>
          <w:tab w:val="left" w:pos="540"/>
        </w:tabs>
        <w:spacing w:line="360" w:lineRule="auto"/>
        <w:ind w:firstLine="1680" w:firstLineChars="700"/>
        <w:jc w:val="left"/>
        <w:rPr>
          <w:rFonts w:ascii="宋体" w:hAnsi="宋体" w:cs="宋体"/>
          <w:color w:val="auto"/>
          <w:sz w:val="24"/>
          <w:szCs w:val="24"/>
        </w:rPr>
      </w:pPr>
      <w:r>
        <w:rPr>
          <w:rFonts w:hint="eastAsia" w:ascii="宋体" w:hAnsi="宋体" w:cs="宋体"/>
          <w:color w:val="auto"/>
          <w:sz w:val="24"/>
          <w:szCs w:val="24"/>
        </w:rPr>
        <w:t>温度：T型热电偶</w:t>
      </w:r>
    </w:p>
    <w:p>
      <w:pPr>
        <w:widowControl/>
        <w:tabs>
          <w:tab w:val="left" w:pos="540"/>
        </w:tabs>
        <w:spacing w:line="360" w:lineRule="auto"/>
        <w:ind w:firstLine="1680" w:firstLineChars="700"/>
        <w:jc w:val="left"/>
        <w:rPr>
          <w:rFonts w:ascii="宋体" w:hAnsi="宋体" w:cs="宋体"/>
          <w:color w:val="auto"/>
          <w:sz w:val="24"/>
          <w:szCs w:val="24"/>
        </w:rPr>
      </w:pPr>
      <w:r>
        <w:rPr>
          <w:rFonts w:hint="eastAsia" w:ascii="宋体" w:hAnsi="宋体" w:cs="宋体"/>
          <w:color w:val="auto"/>
          <w:sz w:val="24"/>
          <w:szCs w:val="24"/>
        </w:rPr>
        <w:t>湿度：干、湿球温度计法（仅在有湿度控制的试验时工作）</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★2.11.35四色报警灯：1只；</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★2.11.36急停开关：1个；</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2.11.37试样电源控制端子：继电器触点控制，AC240V、2A以内（当正常运行时，触点闭合；当设备停机或故障时，触点断开）；</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2.11.38灭火联动控制器：在用户控制室内安装灭火联动控制器，控制器面板上设置手动紧急灭火按钮，用户控制室现场设置声光报警器</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灭火联动控制器接收各试验箱的报警信号。当灭火联动控制器收到报警信号，声光报警器动作，试验箱灭火系统自动启动。用户可根据现场情况操作手动紧急灭火按钮，启动试验箱灭火系统。灭火联动控制器采用独立供电模式，设备报警停机时也可正常运行。用户需在灭火联动控制器附近提供外接电源；</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2.11.39用户电池控制系统联动：试验箱配置信号控制端子，指令通讯方式为无源开关通断信号。用户可通过信号控制端子连接试验箱和用户电池控制系统。当电池试验出现异常时，试验箱可接收用户电池控制系统发送的报警或停机指令，并根据指令进行相应的动作（报警或停机）；</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2.11.40用户检测柜联动：试验箱配置RJ-45以太网接口，提供STEN通讯协议。用户可自行开发软件连接试验箱和用户检测柜，可以实现在检测柜电脑界面设置温湿度等参数、读取当前的温湿度数据、监控试验箱运行状态等功能；</w:t>
      </w:r>
    </w:p>
    <w:p>
      <w:pPr>
        <w:widowControl/>
        <w:tabs>
          <w:tab w:val="left" w:pos="540"/>
        </w:tabs>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2.11.41安全策略：6等级（1、无需动作；2、气压平衡窗平衡内外气压；3、气体传感器报警，设备停机，强制排风系统启动；4、烟感器、气体传感器报警，设备停机，强制排风、注水灭火系统启动；5、烟感器、气体传感器报警，设备停机，强制排风、注水灭火系统启动；6、烟感器、气体传感器报警，泄压口打开，行程开关报警，设备停机，强制排风、注水灭火系统启动。）</w:t>
      </w:r>
    </w:p>
    <w:p>
      <w:pPr>
        <w:widowControl/>
        <w:tabs>
          <w:tab w:val="left" w:pos="540"/>
        </w:tabs>
        <w:spacing w:line="360" w:lineRule="auto"/>
        <w:jc w:val="left"/>
        <w:rPr>
          <w:rFonts w:ascii="宋体" w:hAnsi="宋体" w:cs="宋体"/>
          <w:color w:val="auto"/>
          <w:sz w:val="24"/>
          <w:szCs w:val="24"/>
        </w:rPr>
      </w:pPr>
    </w:p>
    <w:p>
      <w:pPr>
        <w:pStyle w:val="5"/>
        <w:numPr>
          <w:ilvl w:val="0"/>
          <w:numId w:val="0"/>
        </w:numPr>
        <w:spacing w:before="0" w:after="0" w:line="360" w:lineRule="auto"/>
        <w:ind w:left="420"/>
        <w:rPr>
          <w:rFonts w:ascii="宋体" w:hAnsi="宋体" w:cs="宋体"/>
          <w:b w:val="0"/>
          <w:bCs w:val="0"/>
          <w:color w:val="auto"/>
          <w:sz w:val="24"/>
          <w:szCs w:val="24"/>
        </w:rPr>
      </w:pPr>
      <w:bookmarkStart w:id="85" w:name="_Toc54"/>
      <w:r>
        <w:rPr>
          <w:rFonts w:hint="eastAsia" w:ascii="宋体" w:hAnsi="宋体" w:cs="宋体"/>
          <w:b w:val="0"/>
          <w:bCs w:val="0"/>
          <w:color w:val="auto"/>
          <w:sz w:val="24"/>
          <w:szCs w:val="24"/>
        </w:rPr>
        <w:t>2.12、</w:t>
      </w:r>
      <w:r>
        <w:rPr>
          <w:rFonts w:hint="eastAsia" w:ascii="宋体" w:hAnsi="宋体" w:cs="宋体"/>
          <w:b w:val="0"/>
          <w:bCs w:val="0"/>
          <w:color w:val="auto"/>
          <w:sz w:val="24"/>
          <w:szCs w:val="24"/>
          <w:lang w:eastAsia="zh-CN"/>
        </w:rPr>
        <w:t>温度/湿度/振动综合环境试验箱</w:t>
      </w:r>
      <w:r>
        <w:rPr>
          <w:rFonts w:hint="eastAsia" w:ascii="宋体" w:hAnsi="宋体" w:cs="宋体"/>
          <w:b w:val="0"/>
          <w:bCs w:val="0"/>
          <w:color w:val="auto"/>
          <w:sz w:val="24"/>
          <w:szCs w:val="24"/>
          <w:lang w:val="en-US" w:eastAsia="zh-CN"/>
        </w:rPr>
        <w:t>1</w:t>
      </w:r>
      <w:r>
        <w:rPr>
          <w:rFonts w:hint="eastAsia" w:ascii="宋体" w:hAnsi="宋体" w:cs="宋体"/>
          <w:b w:val="0"/>
          <w:bCs w:val="0"/>
          <w:color w:val="auto"/>
          <w:sz w:val="24"/>
          <w:szCs w:val="24"/>
        </w:rPr>
        <w:t>（1套）：</w:t>
      </w:r>
      <w:bookmarkEnd w:id="85"/>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2.12.1标称内容积：不小于</w:t>
      </w:r>
      <w:r>
        <w:rPr>
          <w:rFonts w:ascii="宋体" w:hAnsi="宋体" w:cs="宋体"/>
          <w:color w:val="auto"/>
          <w:sz w:val="24"/>
          <w:szCs w:val="24"/>
        </w:rPr>
        <w:t>2.5</w:t>
      </w:r>
      <w:r>
        <w:rPr>
          <w:rFonts w:hint="eastAsia" w:ascii="宋体" w:hAnsi="宋体" w:cs="宋体"/>
          <w:color w:val="auto"/>
          <w:sz w:val="24"/>
          <w:szCs w:val="24"/>
        </w:rPr>
        <w:t>立方；</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2.12.2标称内容积：不小于W1300mm×H1</w:t>
      </w:r>
      <w:r>
        <w:rPr>
          <w:rFonts w:ascii="宋体" w:hAnsi="宋体" w:cs="宋体"/>
          <w:color w:val="auto"/>
          <w:sz w:val="24"/>
          <w:szCs w:val="24"/>
        </w:rPr>
        <w:t>4</w:t>
      </w:r>
      <w:r>
        <w:rPr>
          <w:rFonts w:hint="eastAsia" w:ascii="宋体" w:hAnsi="宋体" w:cs="宋体"/>
          <w:color w:val="auto"/>
          <w:sz w:val="24"/>
          <w:szCs w:val="24"/>
        </w:rPr>
        <w:t>00mm×D1400mm；</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2.12.3温度范围：-70℃～+150℃；</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2.12.4温度波动度：0.5℃；</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2.12.5温度偏差：±1.5℃；</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2.12.6温度均匀度：2.0℃</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1.0℃（温度≤70℃，湿度≥90%RH时）</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1.0℃（温度＞70℃，湿度≥80%RH时）；</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2.12.7温度最大变化速率：≥15℃/min（标准负载100kg铝锭，1000W发热量，-55～+70℃/+85℃，全程平均，入风区控制点测量）；</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2.12.8湿度范围：（20～98）%RH；</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2.12.9相对湿度偏差：±3.0%RH（湿度＞75%RH时），±5.0%RH（湿度≤75%RH时）；</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2.12.10结构方式：整体式,前部为试验区,后部为制冷机组；</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2.12.11外壁：双面镀锌钢板，表面喷塑处理；外部结构加强件：双面镀锌钢板表面喷塑处理，或Q235型钢表面喷塑处理；</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 2.12.12内壁：SUS304不锈钢板；</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 2.12.13箱内最大总承重量：200kg；</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 2.12.14门上配备：观察窗、照明灯；</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 2.12.15门框：门框备防凝露电热装置；</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 2.12.16振动台接口： 2块，</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一块用于垂直振动台接口，备有隔热密封接口</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一块用于水平振动台接口，备有隔热密封接口</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试验箱配置道轨及液压升降台，与振动台配合时，试验箱可移动和升降</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 2.12.17无孔底板：振动台移开时，装上此底板，试验箱可以做温度、湿度试验；</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 2.12.18引线孔：2个φ150mm引线孔，配软胶塞，箱体左、右侧各1个，位于内箱侧壁的中心；</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 2.12.19样品架：2层可调节式不锈钢样品架，承重（均布）：40kg/层；</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 2.12.20节流装置：电子膨胀阀；</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 2.12.21加湿器：水盆加热加湿（表面蒸发）方式；</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 2.12.22显示器：7.0英寸，800×480点阵，TFT 64K 彩色LCD显示器；</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 2.12.23运行方式：程序方式、定值方式；</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 2.12.24通讯接口：RJ-45以太网接口（IEEE802.3i/3u/3ab，100Mbps）RS-485接口；</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 2.12.25测量传感器：</w:t>
      </w:r>
    </w:p>
    <w:p>
      <w:pPr>
        <w:spacing w:line="360" w:lineRule="auto"/>
        <w:ind w:firstLine="1480"/>
        <w:rPr>
          <w:rFonts w:ascii="宋体" w:hAnsi="宋体" w:cs="宋体"/>
          <w:color w:val="auto"/>
          <w:sz w:val="24"/>
          <w:szCs w:val="24"/>
        </w:rPr>
      </w:pPr>
      <w:r>
        <w:rPr>
          <w:rFonts w:hint="eastAsia" w:ascii="宋体" w:hAnsi="宋体" w:cs="宋体"/>
          <w:color w:val="auto"/>
          <w:sz w:val="24"/>
          <w:szCs w:val="24"/>
        </w:rPr>
        <w:t>温度：T型热电偶</w:t>
      </w:r>
    </w:p>
    <w:p>
      <w:pPr>
        <w:spacing w:line="360" w:lineRule="auto"/>
        <w:ind w:firstLine="1480"/>
        <w:rPr>
          <w:rFonts w:ascii="宋体" w:hAnsi="宋体" w:cs="宋体"/>
          <w:color w:val="auto"/>
          <w:sz w:val="24"/>
          <w:szCs w:val="24"/>
        </w:rPr>
      </w:pPr>
      <w:r>
        <w:rPr>
          <w:rFonts w:hint="eastAsia" w:ascii="宋体" w:hAnsi="宋体" w:cs="宋体"/>
          <w:color w:val="auto"/>
          <w:sz w:val="24"/>
          <w:szCs w:val="24"/>
        </w:rPr>
        <w:t>湿度：干、湿球温度计法（仅在有湿度控制的试验时工作）</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 2.12.26试样电源控制端子：继电器触点控制，AC240V、2A以内（当正常运行时，触点闭合；当设备停机或故障时，触点断开）；</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 2.12.27振动台：3吨带垂直水平</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 2.12.28额定正弦激振力：30（kN）</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 2.12.29额定随机激振力：30（kN RMS）</w:t>
      </w:r>
    </w:p>
    <w:p>
      <w:pPr>
        <w:spacing w:line="360" w:lineRule="auto"/>
        <w:ind w:firstLine="200"/>
        <w:rPr>
          <w:rFonts w:ascii="宋体" w:hAnsi="宋体" w:cs="宋体"/>
          <w:color w:val="auto"/>
          <w:sz w:val="24"/>
          <w:szCs w:val="24"/>
        </w:rPr>
      </w:pPr>
      <w:bookmarkStart w:id="86" w:name="_Hlk85137265"/>
      <w:r>
        <w:rPr>
          <w:rFonts w:hint="eastAsia" w:ascii="宋体" w:hAnsi="宋体" w:cs="宋体"/>
          <w:color w:val="auto"/>
          <w:sz w:val="24"/>
          <w:szCs w:val="24"/>
        </w:rPr>
        <w:t>★ 2.12.3</w:t>
      </w:r>
      <w:bookmarkEnd w:id="86"/>
      <w:r>
        <w:rPr>
          <w:rFonts w:hint="eastAsia" w:ascii="宋体" w:hAnsi="宋体" w:cs="宋体"/>
          <w:color w:val="auto"/>
          <w:sz w:val="24"/>
          <w:szCs w:val="24"/>
        </w:rPr>
        <w:t>0冲击激振力： 90（kN）</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 2.12.31频率范围：5-2,800（Hz）</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 2.12.32最大加速度：1000（m/s</w:t>
      </w:r>
      <w:r>
        <w:rPr>
          <w:rFonts w:hint="eastAsia" w:ascii="宋体" w:hAnsi="宋体" w:cs="宋体"/>
          <w:color w:val="auto"/>
          <w:sz w:val="24"/>
          <w:szCs w:val="24"/>
          <w:vertAlign w:val="superscript"/>
        </w:rPr>
        <w:t>2</w:t>
      </w:r>
      <w:r>
        <w:rPr>
          <w:rFonts w:hint="eastAsia" w:ascii="宋体" w:hAnsi="宋体" w:cs="宋体"/>
          <w:color w:val="auto"/>
          <w:sz w:val="24"/>
          <w:szCs w:val="24"/>
        </w:rPr>
        <w:t>）</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 2.12.33最大速度：2（m/s）</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2.12.34最大位移p-p：76(mm)</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2.12.35最大负载：500（kg）</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2.12.36运动部件等效质量：25（kg）</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2.12.37台面直径：Ф340（mm）</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2.12.38隔振频率：2.5（Hz）</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2.12.39杂散磁场：&lt;1  (台面上方152mm处) （mT）</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2.12.40功率放大器：智能功率放大器</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2.12.41输出功率：</w:t>
      </w:r>
      <w:r>
        <w:rPr>
          <w:rFonts w:ascii="宋体" w:hAnsi="宋体" w:cs="宋体"/>
          <w:color w:val="auto"/>
          <w:sz w:val="24"/>
          <w:szCs w:val="24"/>
        </w:rPr>
        <w:t>36</w:t>
      </w:r>
      <w:r>
        <w:rPr>
          <w:rFonts w:hint="eastAsia" w:ascii="宋体" w:hAnsi="宋体" w:cs="宋体"/>
          <w:color w:val="auto"/>
          <w:sz w:val="24"/>
          <w:szCs w:val="24"/>
        </w:rPr>
        <w:t>kVA</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2.12.42输出电压：100V</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2.12.43输出电流：360A</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2.12.44频率范围：DC~3000Hz</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2.12.45水平滑台：镁合金</w:t>
      </w:r>
      <w:r>
        <w:rPr>
          <w:rFonts w:ascii="宋体" w:hAnsi="宋体" w:cs="宋体"/>
          <w:color w:val="auto"/>
          <w:sz w:val="24"/>
          <w:szCs w:val="24"/>
        </w:rPr>
        <w:t>1000×1000</w:t>
      </w:r>
      <w:r>
        <w:rPr>
          <w:rFonts w:hint="eastAsia" w:ascii="宋体" w:hAnsi="宋体" w:cs="宋体"/>
          <w:color w:val="auto"/>
          <w:sz w:val="24"/>
          <w:szCs w:val="24"/>
        </w:rPr>
        <w:t>（mm）</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2.12.46垂直扩展台：镁合金</w:t>
      </w:r>
      <w:r>
        <w:rPr>
          <w:rFonts w:ascii="宋体" w:hAnsi="宋体" w:cs="宋体"/>
          <w:color w:val="auto"/>
          <w:sz w:val="24"/>
          <w:szCs w:val="24"/>
        </w:rPr>
        <w:t>1000×1000</w:t>
      </w:r>
      <w:r>
        <w:rPr>
          <w:rFonts w:hint="eastAsia" w:ascii="宋体" w:hAnsi="宋体" w:cs="宋体"/>
          <w:color w:val="auto"/>
          <w:sz w:val="24"/>
          <w:szCs w:val="24"/>
        </w:rPr>
        <w:t>（mm）</w:t>
      </w:r>
    </w:p>
    <w:p>
      <w:pPr>
        <w:spacing w:line="360" w:lineRule="auto"/>
        <w:rPr>
          <w:rFonts w:ascii="宋体" w:hAnsi="宋体" w:cs="宋体"/>
          <w:color w:val="auto"/>
          <w:sz w:val="24"/>
          <w:szCs w:val="24"/>
        </w:rPr>
      </w:pPr>
    </w:p>
    <w:p>
      <w:pPr>
        <w:pStyle w:val="5"/>
        <w:numPr>
          <w:ilvl w:val="0"/>
          <w:numId w:val="0"/>
        </w:numPr>
        <w:spacing w:before="0" w:after="0" w:line="360" w:lineRule="auto"/>
        <w:ind w:left="420"/>
        <w:rPr>
          <w:rFonts w:ascii="宋体" w:hAnsi="宋体" w:cs="宋体"/>
          <w:b w:val="0"/>
          <w:bCs w:val="0"/>
          <w:color w:val="auto"/>
          <w:sz w:val="24"/>
          <w:szCs w:val="24"/>
        </w:rPr>
      </w:pPr>
      <w:bookmarkStart w:id="87" w:name="_Toc2994"/>
      <w:r>
        <w:rPr>
          <w:rFonts w:hint="eastAsia" w:ascii="宋体" w:hAnsi="宋体" w:cs="宋体"/>
          <w:b w:val="0"/>
          <w:bCs w:val="0"/>
          <w:color w:val="auto"/>
          <w:sz w:val="24"/>
          <w:szCs w:val="24"/>
        </w:rPr>
        <w:t>2.13、</w:t>
      </w:r>
      <w:r>
        <w:rPr>
          <w:rFonts w:hint="eastAsia" w:ascii="宋体" w:hAnsi="宋体" w:cs="宋体"/>
          <w:b w:val="0"/>
          <w:bCs w:val="0"/>
          <w:color w:val="auto"/>
          <w:sz w:val="24"/>
          <w:szCs w:val="24"/>
          <w:lang w:eastAsia="zh-CN"/>
        </w:rPr>
        <w:t>温度/湿度/振动综合环境试验箱</w:t>
      </w:r>
      <w:r>
        <w:rPr>
          <w:rFonts w:hint="eastAsia" w:ascii="宋体" w:hAnsi="宋体" w:cs="宋体"/>
          <w:b w:val="0"/>
          <w:bCs w:val="0"/>
          <w:color w:val="auto"/>
          <w:sz w:val="24"/>
          <w:szCs w:val="24"/>
          <w:lang w:val="en-US" w:eastAsia="zh-CN"/>
        </w:rPr>
        <w:t>2</w:t>
      </w:r>
      <w:r>
        <w:rPr>
          <w:rFonts w:hint="eastAsia" w:ascii="宋体" w:hAnsi="宋体" w:cs="宋体"/>
          <w:b w:val="0"/>
          <w:bCs w:val="0"/>
          <w:color w:val="auto"/>
          <w:sz w:val="24"/>
          <w:szCs w:val="24"/>
        </w:rPr>
        <w:t>（1套）：</w:t>
      </w:r>
      <w:bookmarkEnd w:id="87"/>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2.13.1标称内容积：不小于3.3立方；</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2.13.2标称内容积：不小于W1500mm×H1500mm×D1500mm；</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2.13.3温度范围：-70℃～+150℃；</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2.13.4温度波动度：0.5℃；</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2.13.5温度偏差：±1.5℃；</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2.13.6温度均匀度：2.0℃</w:t>
      </w:r>
    </w:p>
    <w:p>
      <w:pPr>
        <w:spacing w:line="360" w:lineRule="auto"/>
        <w:ind w:firstLine="2940" w:firstLineChars="1225"/>
        <w:rPr>
          <w:rFonts w:ascii="宋体" w:hAnsi="宋体" w:cs="宋体"/>
          <w:color w:val="auto"/>
          <w:sz w:val="24"/>
          <w:szCs w:val="24"/>
        </w:rPr>
      </w:pPr>
      <w:r>
        <w:rPr>
          <w:rFonts w:hint="eastAsia" w:ascii="宋体" w:hAnsi="宋体" w:cs="宋体"/>
          <w:color w:val="auto"/>
          <w:sz w:val="24"/>
          <w:szCs w:val="24"/>
        </w:rPr>
        <w:t>1.0℃（温度≤70℃，湿度≥90%RH时）</w:t>
      </w:r>
    </w:p>
    <w:p>
      <w:pPr>
        <w:spacing w:line="360" w:lineRule="auto"/>
        <w:ind w:firstLine="2940" w:firstLineChars="1225"/>
        <w:rPr>
          <w:rFonts w:ascii="宋体" w:hAnsi="宋体" w:cs="宋体"/>
          <w:color w:val="auto"/>
          <w:sz w:val="24"/>
          <w:szCs w:val="24"/>
        </w:rPr>
      </w:pPr>
      <w:r>
        <w:rPr>
          <w:rFonts w:hint="eastAsia" w:ascii="宋体" w:hAnsi="宋体" w:cs="宋体"/>
          <w:color w:val="auto"/>
          <w:sz w:val="24"/>
          <w:szCs w:val="24"/>
        </w:rPr>
        <w:t>1.0℃（温度＞70℃，湿度≥80%RH时）；</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2.13.7温度最大变化速率：≥15℃/min（标准负载100kg铝锭，1000W发热量，-55～+70℃/+85℃，全程平均，入风区控制点测量）；</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2.13.8湿度范围：（20～98）%RH；</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2.13.9相对湿度偏差：±3.0%RH（湿度＞75%RH时），±5.0%RH（湿度≤75%RH时）；</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2.13.10结构方式：整体式,前部为试验区,后部为制冷机组；</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2.13.11外壁：双面镀锌钢板，表面喷塑处理；外部结构加强件：双面镀锌钢板表面喷塑处理，或Q235型钢表面喷塑处理；</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 2.13.12内壁：SUS304不锈钢板；</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 2.13.13箱内最大总承重量：200kg；</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 2.13.14门上配备：观察窗、照明灯；</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 2.13.3门框：门框备防凝露电热装置；</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 2.13.16振动台接口： 2块，</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一块用于垂直振动台接口，备有隔热密封接口</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一块用于水平振动台接口，备有隔热密封接口</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试验箱配置道轨及液压升降台，与振动台配合时，试验箱可移动和升降</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 2.13.17无孔底板：振动台移开时，装上此底板，试验箱可以做温度、湿度试验；</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 2.13.18引线孔：2个φ100mm引线孔，配软胶塞，箱体左、右侧各1个，位于内箱侧壁的中心；</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 2.13.19样品架：2层可调节式不锈钢样品架，承重（均布）：40kg/层；</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 2.13.20节流装置：电子膨胀阀；</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 2.13.21加湿器：水盆加热加湿（表面蒸发）方式；</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 2.13.22显示器：7.0英寸，800×480点阵，TFT 64K 彩色LCD显示器；</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 2.13.23运行方式：程序方式、定值方式；</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 2.13.24通讯接口：RJ-45以太网接口（IEEE802.3i/3u/3ab，100Mbps）RS-485接口；</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 2.13.25测量传感器：</w:t>
      </w:r>
    </w:p>
    <w:p>
      <w:pPr>
        <w:spacing w:line="360" w:lineRule="auto"/>
        <w:ind w:firstLine="1480"/>
        <w:rPr>
          <w:rFonts w:ascii="宋体" w:hAnsi="宋体" w:cs="宋体"/>
          <w:color w:val="auto"/>
          <w:sz w:val="24"/>
          <w:szCs w:val="24"/>
        </w:rPr>
      </w:pPr>
      <w:r>
        <w:rPr>
          <w:rFonts w:hint="eastAsia" w:ascii="宋体" w:hAnsi="宋体" w:cs="宋体"/>
          <w:color w:val="auto"/>
          <w:sz w:val="24"/>
          <w:szCs w:val="24"/>
        </w:rPr>
        <w:t>温度：T型热电偶</w:t>
      </w:r>
    </w:p>
    <w:p>
      <w:pPr>
        <w:spacing w:line="360" w:lineRule="auto"/>
        <w:ind w:firstLine="1480"/>
        <w:rPr>
          <w:rFonts w:ascii="宋体" w:hAnsi="宋体" w:cs="宋体"/>
          <w:color w:val="auto"/>
          <w:sz w:val="24"/>
          <w:szCs w:val="24"/>
        </w:rPr>
      </w:pPr>
      <w:r>
        <w:rPr>
          <w:rFonts w:hint="eastAsia" w:ascii="宋体" w:hAnsi="宋体" w:cs="宋体"/>
          <w:color w:val="auto"/>
          <w:sz w:val="24"/>
          <w:szCs w:val="24"/>
        </w:rPr>
        <w:t>湿度：干、湿球温度计法（仅在有湿度控制的试验时工作）</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 2.13.26试样电源控制端子：继电器触点控制，AC240V、2A以内（当正常运行时，触点闭合；当设备停机或故障时，触点断开）；</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 2.13.27振动台：5吨带垂直水平</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 2.</w:t>
      </w:r>
      <w:r>
        <w:rPr>
          <w:rFonts w:ascii="宋体" w:hAnsi="宋体" w:cs="宋体"/>
          <w:color w:val="auto"/>
          <w:sz w:val="24"/>
          <w:szCs w:val="24"/>
        </w:rPr>
        <w:t>13</w:t>
      </w:r>
      <w:r>
        <w:rPr>
          <w:rFonts w:hint="eastAsia" w:ascii="宋体" w:hAnsi="宋体" w:cs="宋体"/>
          <w:color w:val="auto"/>
          <w:sz w:val="24"/>
          <w:szCs w:val="24"/>
        </w:rPr>
        <w:t>.28额定正弦激振力：50（kN）</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 2.</w:t>
      </w:r>
      <w:r>
        <w:rPr>
          <w:rFonts w:ascii="宋体" w:hAnsi="宋体" w:cs="宋体"/>
          <w:color w:val="auto"/>
          <w:sz w:val="24"/>
          <w:szCs w:val="24"/>
        </w:rPr>
        <w:t>13</w:t>
      </w:r>
      <w:r>
        <w:rPr>
          <w:rFonts w:hint="eastAsia" w:ascii="宋体" w:hAnsi="宋体" w:cs="宋体"/>
          <w:color w:val="auto"/>
          <w:sz w:val="24"/>
          <w:szCs w:val="24"/>
        </w:rPr>
        <w:t>.29额定随机激振力：50（kN RMS）</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 2.</w:t>
      </w:r>
      <w:r>
        <w:rPr>
          <w:rFonts w:ascii="宋体" w:hAnsi="宋体" w:cs="宋体"/>
          <w:color w:val="auto"/>
          <w:sz w:val="24"/>
          <w:szCs w:val="24"/>
        </w:rPr>
        <w:t>13</w:t>
      </w:r>
      <w:r>
        <w:rPr>
          <w:rFonts w:hint="eastAsia" w:ascii="宋体" w:hAnsi="宋体" w:cs="宋体"/>
          <w:color w:val="auto"/>
          <w:sz w:val="24"/>
          <w:szCs w:val="24"/>
        </w:rPr>
        <w:t>.30冲击激振力： 150（kN）</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 2.</w:t>
      </w:r>
      <w:r>
        <w:rPr>
          <w:rFonts w:ascii="宋体" w:hAnsi="宋体" w:cs="宋体"/>
          <w:color w:val="auto"/>
          <w:sz w:val="24"/>
          <w:szCs w:val="24"/>
        </w:rPr>
        <w:t>13</w:t>
      </w:r>
      <w:r>
        <w:rPr>
          <w:rFonts w:hint="eastAsia" w:ascii="宋体" w:hAnsi="宋体" w:cs="宋体"/>
          <w:color w:val="auto"/>
          <w:sz w:val="24"/>
          <w:szCs w:val="24"/>
        </w:rPr>
        <w:t>.31频率范围：5-2,</w:t>
      </w:r>
      <w:r>
        <w:rPr>
          <w:rFonts w:ascii="宋体" w:hAnsi="宋体" w:cs="宋体"/>
          <w:color w:val="auto"/>
          <w:sz w:val="24"/>
          <w:szCs w:val="24"/>
        </w:rPr>
        <w:t>6</w:t>
      </w:r>
      <w:r>
        <w:rPr>
          <w:rFonts w:hint="eastAsia" w:ascii="宋体" w:hAnsi="宋体" w:cs="宋体"/>
          <w:color w:val="auto"/>
          <w:sz w:val="24"/>
          <w:szCs w:val="24"/>
        </w:rPr>
        <w:t>00（Hz）</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 2.</w:t>
      </w:r>
      <w:r>
        <w:rPr>
          <w:rFonts w:ascii="宋体" w:hAnsi="宋体" w:cs="宋体"/>
          <w:color w:val="auto"/>
          <w:sz w:val="24"/>
          <w:szCs w:val="24"/>
        </w:rPr>
        <w:t>13</w:t>
      </w:r>
      <w:r>
        <w:rPr>
          <w:rFonts w:hint="eastAsia" w:ascii="宋体" w:hAnsi="宋体" w:cs="宋体"/>
          <w:color w:val="auto"/>
          <w:sz w:val="24"/>
          <w:szCs w:val="24"/>
        </w:rPr>
        <w:t>.32最大加速度：</w:t>
      </w:r>
      <w:r>
        <w:rPr>
          <w:rFonts w:ascii="宋体" w:hAnsi="宋体" w:cs="宋体"/>
          <w:color w:val="auto"/>
          <w:sz w:val="24"/>
          <w:szCs w:val="24"/>
        </w:rPr>
        <w:t>9</w:t>
      </w:r>
      <w:r>
        <w:rPr>
          <w:rFonts w:hint="eastAsia" w:ascii="宋体" w:hAnsi="宋体" w:cs="宋体"/>
          <w:color w:val="auto"/>
          <w:sz w:val="24"/>
          <w:szCs w:val="24"/>
        </w:rPr>
        <w:t>00（m/s</w:t>
      </w:r>
      <w:r>
        <w:rPr>
          <w:rFonts w:hint="eastAsia" w:ascii="宋体" w:hAnsi="宋体" w:cs="宋体"/>
          <w:color w:val="auto"/>
          <w:sz w:val="24"/>
          <w:szCs w:val="24"/>
          <w:vertAlign w:val="superscript"/>
        </w:rPr>
        <w:t>2</w:t>
      </w:r>
      <w:r>
        <w:rPr>
          <w:rFonts w:hint="eastAsia" w:ascii="宋体" w:hAnsi="宋体" w:cs="宋体"/>
          <w:color w:val="auto"/>
          <w:sz w:val="24"/>
          <w:szCs w:val="24"/>
        </w:rPr>
        <w:t>）</w:t>
      </w:r>
    </w:p>
    <w:p>
      <w:pPr>
        <w:spacing w:line="360" w:lineRule="auto"/>
        <w:ind w:firstLine="200"/>
        <w:rPr>
          <w:rFonts w:ascii="宋体" w:hAnsi="宋体" w:cs="宋体"/>
          <w:color w:val="auto"/>
          <w:sz w:val="24"/>
          <w:szCs w:val="24"/>
        </w:rPr>
      </w:pPr>
      <w:r>
        <w:rPr>
          <w:rFonts w:hint="eastAsia" w:ascii="宋体" w:hAnsi="宋体" w:cs="宋体"/>
          <w:color w:val="auto"/>
          <w:sz w:val="24"/>
          <w:szCs w:val="24"/>
        </w:rPr>
        <w:t>★ 2.</w:t>
      </w:r>
      <w:r>
        <w:rPr>
          <w:rFonts w:ascii="宋体" w:hAnsi="宋体" w:cs="宋体"/>
          <w:color w:val="auto"/>
          <w:sz w:val="24"/>
          <w:szCs w:val="24"/>
        </w:rPr>
        <w:t>13</w:t>
      </w:r>
      <w:r>
        <w:rPr>
          <w:rFonts w:hint="eastAsia" w:ascii="宋体" w:hAnsi="宋体" w:cs="宋体"/>
          <w:color w:val="auto"/>
          <w:sz w:val="24"/>
          <w:szCs w:val="24"/>
        </w:rPr>
        <w:t>.33最大速度：2（m/s）</w:t>
      </w:r>
    </w:p>
    <w:p>
      <w:pPr>
        <w:spacing w:line="360" w:lineRule="auto"/>
        <w:ind w:firstLine="218" w:firstLineChars="91"/>
        <w:rPr>
          <w:rFonts w:ascii="宋体" w:hAnsi="宋体" w:cs="宋体"/>
          <w:color w:val="auto"/>
          <w:sz w:val="24"/>
          <w:szCs w:val="24"/>
        </w:rPr>
      </w:pPr>
      <w:r>
        <w:rPr>
          <w:rFonts w:hint="eastAsia" w:ascii="宋体" w:hAnsi="宋体" w:cs="宋体"/>
          <w:color w:val="auto"/>
          <w:sz w:val="24"/>
          <w:szCs w:val="24"/>
        </w:rPr>
        <w:t>★ 2.</w:t>
      </w:r>
      <w:r>
        <w:rPr>
          <w:rFonts w:ascii="宋体" w:hAnsi="宋体" w:cs="宋体"/>
          <w:color w:val="auto"/>
          <w:sz w:val="24"/>
          <w:szCs w:val="24"/>
        </w:rPr>
        <w:t>13</w:t>
      </w:r>
      <w:r>
        <w:rPr>
          <w:rFonts w:hint="eastAsia" w:ascii="宋体" w:hAnsi="宋体" w:cs="宋体"/>
          <w:color w:val="auto"/>
          <w:sz w:val="24"/>
          <w:szCs w:val="24"/>
        </w:rPr>
        <w:t>.34最大位移p-p：76(mm)</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w:t>
      </w:r>
      <w:r>
        <w:rPr>
          <w:rFonts w:ascii="宋体" w:hAnsi="宋体" w:cs="宋体"/>
          <w:color w:val="auto"/>
          <w:sz w:val="24"/>
          <w:szCs w:val="24"/>
        </w:rPr>
        <w:t>13</w:t>
      </w:r>
      <w:r>
        <w:rPr>
          <w:rFonts w:hint="eastAsia" w:ascii="宋体" w:hAnsi="宋体" w:cs="宋体"/>
          <w:color w:val="auto"/>
          <w:sz w:val="24"/>
          <w:szCs w:val="24"/>
        </w:rPr>
        <w:t>.35最大负载：800（kg）</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w:t>
      </w:r>
      <w:r>
        <w:rPr>
          <w:rFonts w:ascii="宋体" w:hAnsi="宋体" w:cs="宋体"/>
          <w:color w:val="auto"/>
          <w:sz w:val="24"/>
          <w:szCs w:val="24"/>
        </w:rPr>
        <w:t>13</w:t>
      </w:r>
      <w:r>
        <w:rPr>
          <w:rFonts w:hint="eastAsia" w:ascii="宋体" w:hAnsi="宋体" w:cs="宋体"/>
          <w:color w:val="auto"/>
          <w:sz w:val="24"/>
          <w:szCs w:val="24"/>
        </w:rPr>
        <w:t>.36运动部件等效质量：</w:t>
      </w:r>
      <w:r>
        <w:rPr>
          <w:rFonts w:ascii="宋体" w:hAnsi="宋体" w:cs="宋体"/>
          <w:color w:val="auto"/>
          <w:sz w:val="24"/>
          <w:szCs w:val="24"/>
        </w:rPr>
        <w:t>55</w:t>
      </w:r>
      <w:r>
        <w:rPr>
          <w:rFonts w:hint="eastAsia" w:ascii="宋体" w:hAnsi="宋体" w:cs="宋体"/>
          <w:color w:val="auto"/>
          <w:sz w:val="24"/>
          <w:szCs w:val="24"/>
        </w:rPr>
        <w:t>（kg）</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w:t>
      </w:r>
      <w:r>
        <w:rPr>
          <w:rFonts w:ascii="宋体" w:hAnsi="宋体" w:cs="宋体"/>
          <w:color w:val="auto"/>
          <w:sz w:val="24"/>
          <w:szCs w:val="24"/>
        </w:rPr>
        <w:t>13</w:t>
      </w:r>
      <w:r>
        <w:rPr>
          <w:rFonts w:hint="eastAsia" w:ascii="宋体" w:hAnsi="宋体" w:cs="宋体"/>
          <w:color w:val="auto"/>
          <w:sz w:val="24"/>
          <w:szCs w:val="24"/>
        </w:rPr>
        <w:t>.37台面直径：Ф445（mm）</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w:t>
      </w:r>
      <w:r>
        <w:rPr>
          <w:rFonts w:ascii="宋体" w:hAnsi="宋体" w:cs="宋体"/>
          <w:color w:val="auto"/>
          <w:sz w:val="24"/>
          <w:szCs w:val="24"/>
        </w:rPr>
        <w:t>13</w:t>
      </w:r>
      <w:r>
        <w:rPr>
          <w:rFonts w:hint="eastAsia" w:ascii="宋体" w:hAnsi="宋体" w:cs="宋体"/>
          <w:color w:val="auto"/>
          <w:sz w:val="24"/>
          <w:szCs w:val="24"/>
        </w:rPr>
        <w:t>.38隔振频率：2.5（Hz）</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w:t>
      </w:r>
      <w:r>
        <w:rPr>
          <w:rFonts w:ascii="宋体" w:hAnsi="宋体" w:cs="宋体"/>
          <w:color w:val="auto"/>
          <w:sz w:val="24"/>
          <w:szCs w:val="24"/>
        </w:rPr>
        <w:t>13</w:t>
      </w:r>
      <w:r>
        <w:rPr>
          <w:rFonts w:hint="eastAsia" w:ascii="宋体" w:hAnsi="宋体" w:cs="宋体"/>
          <w:color w:val="auto"/>
          <w:sz w:val="24"/>
          <w:szCs w:val="24"/>
        </w:rPr>
        <w:t>.39杂散磁场：&lt;1  (台面上方152mm处) （mT）</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w:t>
      </w:r>
      <w:r>
        <w:rPr>
          <w:rFonts w:ascii="宋体" w:hAnsi="宋体" w:cs="宋体"/>
          <w:color w:val="auto"/>
          <w:sz w:val="24"/>
          <w:szCs w:val="24"/>
        </w:rPr>
        <w:t>13</w:t>
      </w:r>
      <w:r>
        <w:rPr>
          <w:rFonts w:hint="eastAsia" w:ascii="宋体" w:hAnsi="宋体" w:cs="宋体"/>
          <w:color w:val="auto"/>
          <w:sz w:val="24"/>
          <w:szCs w:val="24"/>
        </w:rPr>
        <w:t>.40功率放大器：智能功率放大器</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w:t>
      </w:r>
      <w:r>
        <w:rPr>
          <w:rFonts w:ascii="宋体" w:hAnsi="宋体" w:cs="宋体"/>
          <w:color w:val="auto"/>
          <w:sz w:val="24"/>
          <w:szCs w:val="24"/>
        </w:rPr>
        <w:t>13</w:t>
      </w:r>
      <w:r>
        <w:rPr>
          <w:rFonts w:hint="eastAsia" w:ascii="宋体" w:hAnsi="宋体" w:cs="宋体"/>
          <w:color w:val="auto"/>
          <w:sz w:val="24"/>
          <w:szCs w:val="24"/>
        </w:rPr>
        <w:t>.41输出功率：50kVA</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w:t>
      </w:r>
      <w:r>
        <w:rPr>
          <w:rFonts w:ascii="宋体" w:hAnsi="宋体" w:cs="宋体"/>
          <w:color w:val="auto"/>
          <w:sz w:val="24"/>
          <w:szCs w:val="24"/>
        </w:rPr>
        <w:t>13</w:t>
      </w:r>
      <w:r>
        <w:rPr>
          <w:rFonts w:hint="eastAsia" w:ascii="宋体" w:hAnsi="宋体" w:cs="宋体"/>
          <w:color w:val="auto"/>
          <w:sz w:val="24"/>
          <w:szCs w:val="24"/>
        </w:rPr>
        <w:t>.42输出电压：100V</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w:t>
      </w:r>
      <w:r>
        <w:rPr>
          <w:rFonts w:ascii="宋体" w:hAnsi="宋体" w:cs="宋体"/>
          <w:color w:val="auto"/>
          <w:sz w:val="24"/>
          <w:szCs w:val="24"/>
        </w:rPr>
        <w:t>13</w:t>
      </w:r>
      <w:r>
        <w:rPr>
          <w:rFonts w:hint="eastAsia" w:ascii="宋体" w:hAnsi="宋体" w:cs="宋体"/>
          <w:color w:val="auto"/>
          <w:sz w:val="24"/>
          <w:szCs w:val="24"/>
        </w:rPr>
        <w:t>.43输出电流：500A</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w:t>
      </w:r>
      <w:r>
        <w:rPr>
          <w:rFonts w:ascii="宋体" w:hAnsi="宋体" w:cs="宋体"/>
          <w:color w:val="auto"/>
          <w:sz w:val="24"/>
          <w:szCs w:val="24"/>
        </w:rPr>
        <w:t>13</w:t>
      </w:r>
      <w:r>
        <w:rPr>
          <w:rFonts w:hint="eastAsia" w:ascii="宋体" w:hAnsi="宋体" w:cs="宋体"/>
          <w:color w:val="auto"/>
          <w:sz w:val="24"/>
          <w:szCs w:val="24"/>
        </w:rPr>
        <w:t>.44频率响应：DC~3500Hz</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w:t>
      </w:r>
      <w:r>
        <w:rPr>
          <w:rFonts w:ascii="宋体" w:hAnsi="宋体" w:cs="宋体"/>
          <w:color w:val="auto"/>
          <w:sz w:val="24"/>
          <w:szCs w:val="24"/>
        </w:rPr>
        <w:t>13</w:t>
      </w:r>
      <w:r>
        <w:rPr>
          <w:rFonts w:hint="eastAsia" w:ascii="宋体" w:hAnsi="宋体" w:cs="宋体"/>
          <w:color w:val="auto"/>
          <w:sz w:val="24"/>
          <w:szCs w:val="24"/>
        </w:rPr>
        <w:t>.45水平滑台：镁合金</w:t>
      </w:r>
      <w:r>
        <w:rPr>
          <w:rFonts w:ascii="宋体" w:hAnsi="宋体" w:cs="宋体"/>
          <w:color w:val="auto"/>
          <w:sz w:val="24"/>
          <w:szCs w:val="24"/>
        </w:rPr>
        <w:t>1200×1200</w:t>
      </w:r>
      <w:r>
        <w:rPr>
          <w:rFonts w:hint="eastAsia" w:ascii="宋体" w:hAnsi="宋体" w:cs="宋体"/>
          <w:color w:val="auto"/>
          <w:sz w:val="24"/>
          <w:szCs w:val="24"/>
        </w:rPr>
        <w:t>（mm）</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w:t>
      </w:r>
      <w:r>
        <w:rPr>
          <w:rFonts w:ascii="宋体" w:hAnsi="宋体" w:cs="宋体"/>
          <w:color w:val="auto"/>
          <w:sz w:val="24"/>
          <w:szCs w:val="24"/>
        </w:rPr>
        <w:t>13</w:t>
      </w:r>
      <w:r>
        <w:rPr>
          <w:rFonts w:hint="eastAsia" w:ascii="宋体" w:hAnsi="宋体" w:cs="宋体"/>
          <w:color w:val="auto"/>
          <w:sz w:val="24"/>
          <w:szCs w:val="24"/>
        </w:rPr>
        <w:t>.46垂直扩展台：镁合金</w:t>
      </w:r>
      <w:r>
        <w:rPr>
          <w:rFonts w:ascii="宋体" w:hAnsi="宋体" w:cs="宋体"/>
          <w:color w:val="auto"/>
          <w:sz w:val="24"/>
          <w:szCs w:val="24"/>
        </w:rPr>
        <w:t>1200×1200</w:t>
      </w:r>
      <w:r>
        <w:rPr>
          <w:rFonts w:hint="eastAsia" w:ascii="宋体" w:hAnsi="宋体" w:cs="宋体"/>
          <w:color w:val="auto"/>
          <w:sz w:val="24"/>
          <w:szCs w:val="24"/>
        </w:rPr>
        <w:t>（mm）</w:t>
      </w:r>
    </w:p>
    <w:p>
      <w:pPr>
        <w:spacing w:line="360" w:lineRule="auto"/>
        <w:rPr>
          <w:rFonts w:ascii="宋体" w:hAnsi="宋体" w:cs="宋体"/>
          <w:color w:val="auto"/>
          <w:sz w:val="24"/>
          <w:szCs w:val="24"/>
        </w:rPr>
      </w:pPr>
    </w:p>
    <w:p>
      <w:pPr>
        <w:pStyle w:val="5"/>
        <w:numPr>
          <w:ilvl w:val="0"/>
          <w:numId w:val="0"/>
        </w:numPr>
        <w:spacing w:before="0" w:after="0" w:line="360" w:lineRule="auto"/>
        <w:ind w:left="420"/>
        <w:rPr>
          <w:rFonts w:ascii="宋体" w:hAnsi="宋体" w:cs="宋体"/>
          <w:b w:val="0"/>
          <w:bCs w:val="0"/>
          <w:color w:val="auto"/>
          <w:sz w:val="24"/>
          <w:szCs w:val="24"/>
        </w:rPr>
      </w:pPr>
      <w:bookmarkStart w:id="88" w:name="_Toc11205"/>
      <w:r>
        <w:rPr>
          <w:rFonts w:hint="eastAsia" w:ascii="宋体" w:hAnsi="宋体" w:cs="宋体"/>
          <w:b w:val="0"/>
          <w:bCs w:val="0"/>
          <w:color w:val="auto"/>
          <w:sz w:val="24"/>
          <w:szCs w:val="24"/>
        </w:rPr>
        <w:t>2.14、高低温冲击试验箱</w:t>
      </w:r>
      <w:r>
        <w:rPr>
          <w:rFonts w:hint="eastAsia" w:ascii="宋体" w:hAnsi="宋体" w:cs="宋体"/>
          <w:b w:val="0"/>
          <w:bCs w:val="0"/>
          <w:color w:val="auto"/>
          <w:sz w:val="24"/>
          <w:szCs w:val="24"/>
          <w:lang w:val="en-US" w:eastAsia="zh-CN"/>
        </w:rPr>
        <w:t>5</w:t>
      </w:r>
      <w:r>
        <w:rPr>
          <w:rFonts w:hint="eastAsia" w:ascii="宋体" w:hAnsi="宋体" w:cs="宋体"/>
          <w:b w:val="0"/>
          <w:bCs w:val="0"/>
          <w:color w:val="auto"/>
          <w:sz w:val="24"/>
          <w:szCs w:val="24"/>
        </w:rPr>
        <w:t>（2台）：</w:t>
      </w:r>
      <w:bookmarkEnd w:id="88"/>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2.14.1标称内容积：不小于</w:t>
      </w:r>
      <w:r>
        <w:rPr>
          <w:rFonts w:ascii="宋体" w:hAnsi="宋体" w:cs="宋体"/>
          <w:color w:val="auto"/>
          <w:sz w:val="24"/>
          <w:szCs w:val="24"/>
        </w:rPr>
        <w:t>0.4</w:t>
      </w:r>
      <w:r>
        <w:rPr>
          <w:rFonts w:hint="eastAsia" w:ascii="宋体" w:hAnsi="宋体" w:cs="宋体"/>
          <w:color w:val="auto"/>
          <w:sz w:val="24"/>
          <w:szCs w:val="24"/>
        </w:rPr>
        <w:t>立方；</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2.14.2标称内容积：不小于W</w:t>
      </w:r>
      <w:r>
        <w:rPr>
          <w:rFonts w:ascii="宋体" w:hAnsi="宋体" w:cs="宋体"/>
          <w:color w:val="auto"/>
          <w:sz w:val="24"/>
          <w:szCs w:val="24"/>
        </w:rPr>
        <w:t>90</w:t>
      </w:r>
      <w:r>
        <w:rPr>
          <w:rFonts w:hint="eastAsia" w:ascii="宋体" w:hAnsi="宋体" w:cs="宋体"/>
          <w:color w:val="auto"/>
          <w:sz w:val="24"/>
          <w:szCs w:val="24"/>
        </w:rPr>
        <w:t>0mm×H</w:t>
      </w:r>
      <w:r>
        <w:rPr>
          <w:rFonts w:ascii="宋体" w:hAnsi="宋体" w:cs="宋体"/>
          <w:color w:val="auto"/>
          <w:sz w:val="24"/>
          <w:szCs w:val="24"/>
        </w:rPr>
        <w:t>75</w:t>
      </w:r>
      <w:r>
        <w:rPr>
          <w:rFonts w:hint="eastAsia" w:ascii="宋体" w:hAnsi="宋体" w:cs="宋体"/>
          <w:color w:val="auto"/>
          <w:sz w:val="24"/>
          <w:szCs w:val="24"/>
        </w:rPr>
        <w:t>0mm×D</w:t>
      </w:r>
      <w:r>
        <w:rPr>
          <w:rFonts w:ascii="宋体" w:hAnsi="宋体" w:cs="宋体"/>
          <w:color w:val="auto"/>
          <w:sz w:val="24"/>
          <w:szCs w:val="24"/>
        </w:rPr>
        <w:t>65</w:t>
      </w:r>
      <w:r>
        <w:rPr>
          <w:rFonts w:hint="eastAsia" w:ascii="宋体" w:hAnsi="宋体" w:cs="宋体"/>
          <w:color w:val="auto"/>
          <w:sz w:val="24"/>
          <w:szCs w:val="24"/>
        </w:rPr>
        <w:t>0mm；</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2.14.3高温室：</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(1)预热温度范围：+60℃～+200℃</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(2)升温时间：+60℃→+200℃ ≤20min（高温室单独运转时的性能）；</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2.14.4低温室：</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(1)预冷温度范围：-78℃～0℃</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(2)降温时间：+20℃ →-75℃≤75 min（低温室单独运转时的性能）；</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2.14.5试验室：</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(1)试验方式：气动风门切换2温区或3温区</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(2)高温曝露温度范围：+60℃～+150℃</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(3)低温曝露温度范围：-55℃～-10℃</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(4)温度波动度：1.0℃；</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(5)温度偏差：±2.0℃；</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2.14.6温度恢复性能：</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(1)温度恢复时间：≤5min</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(2)恢复条件：</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xml:space="preserve">   高温曝露：+150℃  30分钟</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xml:space="preserve">   环境温度曝露：&lt;———&gt;</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xml:space="preserve">   低温曝露：-55℃  30分钟</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xml:space="preserve">   试样重量：10kg（塑料封装IC，均布于2个试样篮）；</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xml:space="preserve">    传感器的位置：试样的上风口侧</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xml:space="preserve">    电源电压：规定电压</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xml:space="preserve">    冷却水温：+25℃</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xml:space="preserve">▲ 2.14.7外壁：双面镀锌钢板，表面喷塑处理； </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2.14.8内壁：SUS304不锈钢板；</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2.14.9引线孔：1个φ25mm×100mm长圆孔，位于箱体左侧面；</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2.14.10脚轮：6个，移动试验箱用；</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2.14.11试样篮：2层可调节式不锈钢试样篮；</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2.14.12 显示器：10.4英寸 800X600点阵，TFT 64K 彩色LCD显示器</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2.14.13运行方式：程序方式、定值方式；</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2.14.14通讯接口：RJ-45以太网接口（IEEE802.3i/3u/3ab，100Mbps）</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RS-485接口；</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2.14.15测量传感器：</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温度：T型热电偶</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2.14.16试样电源控制端子：继电器触点控制，AC240V、2A以内（当正常运行时，触点闭合；当设备停机或故障时，触点断开）；</w:t>
      </w:r>
    </w:p>
    <w:p>
      <w:pPr>
        <w:widowControl/>
        <w:autoSpaceDE w:val="0"/>
        <w:autoSpaceDN w:val="0"/>
        <w:spacing w:line="360" w:lineRule="auto"/>
        <w:textAlignment w:val="bottom"/>
        <w:rPr>
          <w:rFonts w:ascii="宋体" w:hAnsi="宋体" w:cs="宋体"/>
          <w:color w:val="auto"/>
          <w:sz w:val="24"/>
          <w:szCs w:val="24"/>
        </w:rPr>
      </w:pPr>
    </w:p>
    <w:p>
      <w:pPr>
        <w:pStyle w:val="5"/>
        <w:widowControl/>
        <w:numPr>
          <w:ilvl w:val="0"/>
          <w:numId w:val="0"/>
        </w:numPr>
        <w:autoSpaceDE w:val="0"/>
        <w:autoSpaceDN w:val="0"/>
        <w:spacing w:before="0" w:after="0" w:line="360" w:lineRule="auto"/>
        <w:ind w:left="420" w:firstLine="420" w:firstLineChars="175"/>
        <w:textAlignment w:val="bottom"/>
        <w:rPr>
          <w:rFonts w:ascii="宋体" w:hAnsi="宋体" w:cs="宋体"/>
          <w:b w:val="0"/>
          <w:bCs w:val="0"/>
          <w:color w:val="auto"/>
          <w:sz w:val="24"/>
          <w:szCs w:val="24"/>
        </w:rPr>
      </w:pPr>
      <w:bookmarkStart w:id="89" w:name="_Toc23266"/>
      <w:r>
        <w:rPr>
          <w:rFonts w:hint="eastAsia" w:ascii="宋体" w:hAnsi="宋体" w:cs="宋体"/>
          <w:b w:val="0"/>
          <w:bCs w:val="0"/>
          <w:color w:val="auto"/>
          <w:sz w:val="24"/>
          <w:szCs w:val="24"/>
        </w:rPr>
        <w:t>3、其他要求</w:t>
      </w:r>
      <w:bookmarkEnd w:id="89"/>
    </w:p>
    <w:p>
      <w:pPr>
        <w:widowControl/>
        <w:tabs>
          <w:tab w:val="left" w:pos="540"/>
        </w:tabs>
        <w:spacing w:line="360" w:lineRule="auto"/>
        <w:ind w:firstLine="420" w:firstLineChars="175"/>
        <w:jc w:val="left"/>
        <w:rPr>
          <w:rFonts w:ascii="宋体" w:hAnsi="宋体" w:cs="宋体"/>
          <w:color w:val="auto"/>
          <w:sz w:val="24"/>
          <w:szCs w:val="24"/>
        </w:rPr>
      </w:pPr>
      <w:r>
        <w:rPr>
          <w:rFonts w:hint="eastAsia" w:ascii="宋体" w:hAnsi="宋体" w:cs="宋体"/>
          <w:color w:val="auto"/>
          <w:sz w:val="24"/>
          <w:szCs w:val="24"/>
        </w:rPr>
        <w:t>3.1 设备外观清洁，标记型号等字体清晰、明确。</w:t>
      </w:r>
    </w:p>
    <w:p>
      <w:pPr>
        <w:widowControl/>
        <w:tabs>
          <w:tab w:val="left" w:pos="540"/>
        </w:tabs>
        <w:spacing w:line="360" w:lineRule="auto"/>
        <w:ind w:left="180" w:firstLine="240" w:firstLineChars="100"/>
        <w:jc w:val="left"/>
        <w:rPr>
          <w:rFonts w:ascii="宋体" w:hAnsi="宋体" w:cs="宋体"/>
          <w:color w:val="auto"/>
          <w:sz w:val="24"/>
          <w:szCs w:val="24"/>
        </w:rPr>
      </w:pPr>
      <w:r>
        <w:rPr>
          <w:rFonts w:hint="eastAsia" w:ascii="宋体" w:hAnsi="宋体" w:cs="宋体"/>
          <w:color w:val="auto"/>
          <w:sz w:val="24"/>
          <w:szCs w:val="24"/>
        </w:rPr>
        <w:t>3.2 对于影响设备正常工作的必要组成部分，无论在技术规范中指出与否，投标人都应提供，并在投标文件中明确列出。</w:t>
      </w:r>
    </w:p>
    <w:p>
      <w:pPr>
        <w:widowControl/>
        <w:tabs>
          <w:tab w:val="left" w:pos="540"/>
        </w:tabs>
        <w:spacing w:line="360" w:lineRule="auto"/>
        <w:ind w:left="180" w:firstLine="240" w:firstLineChars="100"/>
        <w:jc w:val="left"/>
        <w:rPr>
          <w:rFonts w:ascii="宋体" w:hAnsi="宋体" w:cs="宋体"/>
          <w:color w:val="auto"/>
          <w:sz w:val="24"/>
          <w:szCs w:val="24"/>
        </w:rPr>
      </w:pPr>
      <w:r>
        <w:rPr>
          <w:rFonts w:hint="eastAsia" w:ascii="宋体" w:hAnsi="宋体" w:cs="宋体"/>
          <w:color w:val="auto"/>
          <w:sz w:val="24"/>
          <w:szCs w:val="24"/>
        </w:rPr>
        <w:t>3.3 投标人应依照所指定的设备和规格、技术要求和制造标准，提供全新的原装产品，并符合国家标准及业主的使用要求。</w:t>
      </w:r>
    </w:p>
    <w:p>
      <w:pPr>
        <w:widowControl/>
        <w:tabs>
          <w:tab w:val="left" w:pos="540"/>
        </w:tabs>
        <w:spacing w:line="360" w:lineRule="auto"/>
        <w:ind w:left="180" w:firstLine="240" w:firstLineChars="100"/>
        <w:jc w:val="left"/>
        <w:rPr>
          <w:rFonts w:ascii="宋体" w:hAnsi="宋体" w:cs="宋体"/>
          <w:color w:val="auto"/>
          <w:sz w:val="24"/>
          <w:szCs w:val="24"/>
        </w:rPr>
      </w:pPr>
      <w:r>
        <w:rPr>
          <w:rFonts w:hint="eastAsia" w:ascii="宋体" w:hAnsi="宋体" w:cs="宋体"/>
          <w:color w:val="auto"/>
          <w:sz w:val="24"/>
          <w:szCs w:val="24"/>
        </w:rPr>
        <w:t>3.4 投标人负责将货物送抵采购人指定地点进行卸货、摆放、安装、调试。</w:t>
      </w:r>
    </w:p>
    <w:p>
      <w:pPr>
        <w:widowControl/>
        <w:autoSpaceDE w:val="0"/>
        <w:autoSpaceDN w:val="0"/>
        <w:spacing w:line="360" w:lineRule="auto"/>
        <w:jc w:val="left"/>
        <w:textAlignment w:val="bottom"/>
        <w:rPr>
          <w:rFonts w:ascii="宋体" w:hAnsi="宋体" w:cs="宋体"/>
          <w:color w:val="auto"/>
          <w:sz w:val="24"/>
          <w:szCs w:val="24"/>
        </w:rPr>
      </w:pPr>
    </w:p>
    <w:p>
      <w:pPr>
        <w:pStyle w:val="4"/>
        <w:numPr>
          <w:ilvl w:val="0"/>
          <w:numId w:val="8"/>
        </w:numPr>
        <w:rPr>
          <w:rFonts w:ascii="宋体" w:hAnsi="宋体" w:cs="宋体"/>
          <w:color w:val="auto"/>
          <w:sz w:val="24"/>
          <w:szCs w:val="24"/>
        </w:rPr>
      </w:pPr>
      <w:bookmarkStart w:id="90" w:name="_Toc455593389"/>
      <w:bookmarkEnd w:id="90"/>
      <w:bookmarkStart w:id="91" w:name="_Toc23229"/>
      <w:bookmarkStart w:id="92" w:name="_Toc463948217"/>
      <w:r>
        <w:rPr>
          <w:rFonts w:hint="eastAsia" w:ascii="宋体" w:hAnsi="宋体" w:cs="宋体"/>
          <w:color w:val="auto"/>
          <w:sz w:val="24"/>
          <w:szCs w:val="24"/>
        </w:rPr>
        <w:t>到货时间、测试与验收要求</w:t>
      </w:r>
      <w:bookmarkEnd w:id="91"/>
      <w:bookmarkEnd w:id="92"/>
    </w:p>
    <w:p>
      <w:pPr>
        <w:spacing w:line="360" w:lineRule="auto"/>
        <w:ind w:left="5" w:firstLine="420" w:firstLineChars="175"/>
        <w:rPr>
          <w:rFonts w:ascii="宋体" w:hAnsi="宋体" w:cs="宋体"/>
          <w:color w:val="auto"/>
          <w:sz w:val="24"/>
          <w:szCs w:val="24"/>
        </w:rPr>
      </w:pPr>
      <w:r>
        <w:rPr>
          <w:rFonts w:hint="eastAsia" w:ascii="宋体" w:hAnsi="宋体" w:cs="宋体"/>
          <w:color w:val="auto"/>
          <w:sz w:val="24"/>
          <w:szCs w:val="24"/>
        </w:rPr>
        <w:t>3.1、设备应在合同签订后40天内供货到需方指定地点。</w:t>
      </w:r>
    </w:p>
    <w:p>
      <w:pPr>
        <w:spacing w:line="360" w:lineRule="auto"/>
        <w:ind w:left="5" w:firstLine="420" w:firstLineChars="175"/>
        <w:rPr>
          <w:rFonts w:ascii="宋体" w:hAnsi="宋体" w:cs="宋体"/>
          <w:color w:val="auto"/>
          <w:sz w:val="24"/>
          <w:szCs w:val="24"/>
        </w:rPr>
      </w:pPr>
      <w:r>
        <w:rPr>
          <w:rFonts w:hint="eastAsia" w:ascii="宋体" w:hAnsi="宋体" w:cs="宋体"/>
          <w:color w:val="auto"/>
          <w:sz w:val="24"/>
          <w:szCs w:val="24"/>
        </w:rPr>
        <w:t>3.2、各项目的验收按照“技术要求”中所提的指标及功能进行第三方校准计量，出具计量合格证书后方可以通过验收，考核结果不合格的产品须无条件更换。要求设备具有出厂合格证书，厂商的出厂精度证明文件。</w:t>
      </w:r>
    </w:p>
    <w:p>
      <w:pPr>
        <w:pStyle w:val="4"/>
        <w:numPr>
          <w:ilvl w:val="0"/>
          <w:numId w:val="8"/>
        </w:numPr>
        <w:rPr>
          <w:rFonts w:ascii="宋体" w:hAnsi="宋体" w:cs="宋体"/>
          <w:color w:val="auto"/>
          <w:sz w:val="24"/>
          <w:szCs w:val="24"/>
        </w:rPr>
      </w:pPr>
      <w:bookmarkStart w:id="93" w:name="_Toc455593390"/>
      <w:bookmarkEnd w:id="93"/>
      <w:bookmarkStart w:id="94" w:name="_Toc463948218"/>
      <w:bookmarkStart w:id="95" w:name="_Toc16904"/>
      <w:r>
        <w:rPr>
          <w:rFonts w:hint="eastAsia" w:ascii="宋体" w:hAnsi="宋体" w:cs="宋体"/>
          <w:color w:val="auto"/>
          <w:sz w:val="24"/>
          <w:szCs w:val="24"/>
        </w:rPr>
        <w:t>安装调试要求</w:t>
      </w:r>
      <w:bookmarkEnd w:id="94"/>
      <w:bookmarkEnd w:id="95"/>
    </w:p>
    <w:p>
      <w:pPr>
        <w:spacing w:line="360" w:lineRule="auto"/>
        <w:ind w:left="493"/>
        <w:rPr>
          <w:rFonts w:ascii="宋体" w:hAnsi="宋体" w:cs="宋体"/>
          <w:color w:val="auto"/>
          <w:sz w:val="24"/>
          <w:szCs w:val="24"/>
        </w:rPr>
      </w:pPr>
      <w:r>
        <w:rPr>
          <w:rFonts w:hint="eastAsia" w:ascii="宋体" w:hAnsi="宋体" w:cs="宋体"/>
          <w:color w:val="auto"/>
          <w:sz w:val="24"/>
          <w:szCs w:val="24"/>
        </w:rPr>
        <w:t>4.1、设备安装调试</w:t>
      </w:r>
    </w:p>
    <w:p>
      <w:pPr>
        <w:spacing w:line="360" w:lineRule="auto"/>
        <w:ind w:firstLine="480"/>
        <w:rPr>
          <w:rFonts w:ascii="宋体" w:hAnsi="宋体" w:cs="宋体"/>
          <w:color w:val="auto"/>
          <w:sz w:val="24"/>
          <w:szCs w:val="24"/>
        </w:rPr>
      </w:pPr>
      <w:r>
        <w:rPr>
          <w:rFonts w:hint="eastAsia" w:ascii="宋体" w:hAnsi="宋体" w:cs="宋体"/>
          <w:color w:val="auto"/>
          <w:sz w:val="24"/>
          <w:szCs w:val="24"/>
        </w:rPr>
        <w:t>4.1.1设备到达用户所在地，供货方接到用户通知后，应在1周内安排安装工程师到用户指定的地点进行安装调试，直至达到验收指标。</w:t>
      </w:r>
    </w:p>
    <w:p>
      <w:pPr>
        <w:spacing w:line="360" w:lineRule="auto"/>
        <w:ind w:firstLine="480"/>
        <w:rPr>
          <w:rFonts w:ascii="宋体" w:hAnsi="宋体" w:cs="宋体"/>
          <w:color w:val="auto"/>
          <w:sz w:val="24"/>
          <w:szCs w:val="24"/>
        </w:rPr>
      </w:pPr>
      <w:r>
        <w:rPr>
          <w:rFonts w:hint="eastAsia" w:ascii="宋体" w:hAnsi="宋体" w:cs="宋体"/>
          <w:color w:val="auto"/>
          <w:sz w:val="24"/>
          <w:szCs w:val="24"/>
        </w:rPr>
        <w:t>4.1.2</w:t>
      </w:r>
      <w:bookmarkStart w:id="96" w:name="_Hlk97550880"/>
      <w:r>
        <w:rPr>
          <w:rFonts w:hint="eastAsia" w:ascii="宋体" w:hAnsi="宋体" w:cs="宋体"/>
          <w:color w:val="auto"/>
          <w:sz w:val="24"/>
          <w:szCs w:val="24"/>
        </w:rPr>
        <w:t>仪器的安装调试应在</w:t>
      </w:r>
      <w:r>
        <w:rPr>
          <w:rFonts w:ascii="宋体" w:hAnsi="宋体" w:cs="宋体"/>
          <w:color w:val="auto"/>
          <w:sz w:val="24"/>
          <w:szCs w:val="24"/>
        </w:rPr>
        <w:t>7</w:t>
      </w:r>
      <w:r>
        <w:rPr>
          <w:rFonts w:hint="eastAsia" w:ascii="宋体" w:hAnsi="宋体" w:cs="宋体"/>
          <w:color w:val="auto"/>
          <w:sz w:val="24"/>
          <w:szCs w:val="24"/>
        </w:rPr>
        <w:t>个工作日内完成。</w:t>
      </w:r>
      <w:bookmarkEnd w:id="96"/>
    </w:p>
    <w:p>
      <w:pPr>
        <w:spacing w:line="360" w:lineRule="auto"/>
        <w:ind w:left="493"/>
        <w:rPr>
          <w:rFonts w:ascii="宋体" w:hAnsi="宋体" w:cs="宋体"/>
          <w:color w:val="auto"/>
          <w:sz w:val="24"/>
          <w:szCs w:val="24"/>
        </w:rPr>
      </w:pPr>
      <w:r>
        <w:rPr>
          <w:rFonts w:hint="eastAsia" w:ascii="宋体" w:hAnsi="宋体" w:cs="宋体"/>
          <w:color w:val="auto"/>
          <w:sz w:val="24"/>
          <w:szCs w:val="24"/>
        </w:rPr>
        <w:t>4.2、技术培训</w:t>
      </w:r>
    </w:p>
    <w:p>
      <w:pPr>
        <w:spacing w:line="360" w:lineRule="auto"/>
        <w:ind w:firstLine="480"/>
        <w:rPr>
          <w:rFonts w:ascii="宋体" w:hAnsi="宋体" w:cs="宋体"/>
          <w:color w:val="auto"/>
          <w:sz w:val="24"/>
          <w:szCs w:val="24"/>
        </w:rPr>
      </w:pPr>
      <w:r>
        <w:rPr>
          <w:rFonts w:hint="eastAsia" w:ascii="宋体" w:hAnsi="宋体" w:cs="宋体"/>
          <w:color w:val="auto"/>
          <w:sz w:val="24"/>
          <w:szCs w:val="24"/>
        </w:rPr>
        <w:t>4.2.1当设备安装调试完成之后，售货方的应用工程师应在用户现场对用户进行不少于3天的基本培训。培训内容包括设备的工作原理、操作技能、数据处理、维护常识等。</w:t>
      </w:r>
    </w:p>
    <w:p>
      <w:pPr>
        <w:pStyle w:val="4"/>
        <w:numPr>
          <w:ilvl w:val="0"/>
          <w:numId w:val="8"/>
        </w:numPr>
        <w:rPr>
          <w:rFonts w:ascii="宋体" w:hAnsi="宋体" w:cs="宋体"/>
          <w:color w:val="auto"/>
          <w:sz w:val="24"/>
          <w:szCs w:val="24"/>
        </w:rPr>
      </w:pPr>
      <w:bookmarkStart w:id="97" w:name="_Toc455593391"/>
      <w:bookmarkEnd w:id="97"/>
      <w:bookmarkStart w:id="98" w:name="_Toc463948219"/>
      <w:bookmarkStart w:id="99" w:name="_Toc27710"/>
      <w:r>
        <w:rPr>
          <w:rFonts w:hint="eastAsia" w:ascii="宋体" w:hAnsi="宋体" w:cs="宋体"/>
          <w:color w:val="auto"/>
          <w:sz w:val="24"/>
          <w:szCs w:val="24"/>
        </w:rPr>
        <w:t>售后服务要求</w:t>
      </w:r>
      <w:bookmarkEnd w:id="98"/>
      <w:bookmarkEnd w:id="99"/>
    </w:p>
    <w:p>
      <w:pPr>
        <w:spacing w:line="360" w:lineRule="auto"/>
        <w:ind w:firstLine="420" w:firstLineChars="175"/>
        <w:rPr>
          <w:rFonts w:ascii="宋体" w:hAnsi="宋体" w:cs="宋体"/>
          <w:color w:val="auto"/>
          <w:sz w:val="24"/>
          <w:szCs w:val="24"/>
        </w:rPr>
      </w:pPr>
      <w:r>
        <w:rPr>
          <w:rFonts w:hint="eastAsia" w:ascii="宋体" w:hAnsi="宋体" w:cs="宋体"/>
          <w:color w:val="auto"/>
          <w:sz w:val="24"/>
          <w:szCs w:val="24"/>
        </w:rPr>
        <w:t>5.1、保修期：保修期从验收完成之日起计算，为设备提供3年的保修。在保修期内，零配件、旅差和人工费等费用已包含在投标总价中。</w:t>
      </w:r>
    </w:p>
    <w:p>
      <w:pPr>
        <w:spacing w:line="360" w:lineRule="auto"/>
        <w:ind w:firstLine="480"/>
        <w:rPr>
          <w:color w:val="auto"/>
        </w:rPr>
      </w:pPr>
      <w:r>
        <w:rPr>
          <w:rFonts w:hint="eastAsia" w:ascii="宋体" w:hAnsi="宋体" w:cs="宋体"/>
          <w:color w:val="auto"/>
          <w:sz w:val="24"/>
          <w:szCs w:val="24"/>
          <w:lang w:val="en-US" w:eastAsia="zh-CN"/>
        </w:rPr>
        <w:t>5.</w:t>
      </w:r>
      <w:r>
        <w:rPr>
          <w:rFonts w:hint="eastAsia" w:ascii="宋体" w:hAnsi="宋体" w:cs="宋体"/>
          <w:color w:val="auto"/>
          <w:sz w:val="24"/>
          <w:szCs w:val="24"/>
        </w:rPr>
        <w:t>2、使用过程中系统出现的一般问题应在2个工作日内到达现场解决故障问题，重大问题或其它一时无法迅速解决的问题应在7个工作日内提出明确解决方案。</w:t>
      </w:r>
    </w:p>
    <w:p>
      <w:pPr>
        <w:pStyle w:val="4"/>
        <w:numPr>
          <w:ilvl w:val="-1"/>
          <w:numId w:val="0"/>
        </w:numPr>
        <w:ind w:left="426" w:firstLine="0"/>
        <w:rPr>
          <w:rFonts w:hint="eastAsia" w:ascii="宋体" w:hAnsi="宋体" w:cs="宋体"/>
          <w:color w:val="auto"/>
          <w:sz w:val="24"/>
          <w:szCs w:val="24"/>
        </w:rPr>
      </w:pPr>
      <w:r>
        <w:rPr>
          <w:rFonts w:hint="eastAsia" w:ascii="宋体" w:hAnsi="宋体" w:cs="宋体"/>
          <w:color w:val="auto"/>
          <w:sz w:val="24"/>
          <w:szCs w:val="24"/>
        </w:rPr>
        <w:t>★</w:t>
      </w:r>
      <w:r>
        <w:rPr>
          <w:rFonts w:hint="eastAsia" w:ascii="宋体" w:hAnsi="宋体" w:cs="宋体"/>
          <w:color w:val="auto"/>
          <w:sz w:val="24"/>
          <w:szCs w:val="24"/>
          <w:lang w:val="en-US" w:eastAsia="zh-CN"/>
        </w:rPr>
        <w:t>六、付款方式</w:t>
      </w:r>
    </w:p>
    <w:p>
      <w:pPr>
        <w:tabs>
          <w:tab w:val="left" w:pos="-620"/>
        </w:tabs>
        <w:spacing w:line="360" w:lineRule="auto"/>
        <w:ind w:left="0" w:firstLine="420" w:firstLineChars="0"/>
        <w:rPr>
          <w:rFonts w:hint="eastAsia" w:ascii="宋体" w:hAnsi="宋体" w:cs="宋体"/>
          <w:color w:val="auto"/>
          <w:sz w:val="24"/>
          <w:szCs w:val="24"/>
        </w:rPr>
      </w:pPr>
      <w:r>
        <w:rPr>
          <w:rFonts w:hint="eastAsia" w:ascii="宋体" w:hAnsi="宋体" w:cs="宋体"/>
          <w:color w:val="auto"/>
          <w:sz w:val="24"/>
          <w:szCs w:val="24"/>
        </w:rPr>
        <w:t>6.</w:t>
      </w:r>
      <w:r>
        <w:rPr>
          <w:rFonts w:hint="eastAsia" w:ascii="宋体" w:hAnsi="宋体" w:cs="宋体"/>
          <w:color w:val="auto"/>
          <w:sz w:val="24"/>
          <w:szCs w:val="24"/>
          <w:lang w:eastAsia="zh-CN"/>
        </w:rPr>
        <w:t>1</w:t>
      </w:r>
      <w:r>
        <w:rPr>
          <w:rFonts w:hint="eastAsia" w:ascii="宋体" w:hAnsi="宋体" w:cs="宋体"/>
          <w:color w:val="auto"/>
          <w:sz w:val="24"/>
          <w:szCs w:val="24"/>
        </w:rPr>
        <w:t>、中标人</w:t>
      </w:r>
      <w:r>
        <w:rPr>
          <w:rFonts w:hint="eastAsia" w:ascii="宋体" w:hAnsi="宋体" w:cs="宋体"/>
          <w:color w:val="auto"/>
          <w:sz w:val="24"/>
          <w:szCs w:val="24"/>
          <w:lang w:val="en-US" w:eastAsia="zh-CN"/>
        </w:rPr>
        <w:t>须</w:t>
      </w:r>
      <w:r>
        <w:rPr>
          <w:rFonts w:hint="eastAsia" w:ascii="宋体" w:hAnsi="宋体" w:cs="宋体"/>
          <w:color w:val="auto"/>
          <w:sz w:val="24"/>
          <w:szCs w:val="24"/>
        </w:rPr>
        <w:t>在</w:t>
      </w:r>
      <w:r>
        <w:rPr>
          <w:rFonts w:hint="eastAsia" w:ascii="宋体" w:hAnsi="宋体" w:cs="宋体"/>
          <w:color w:val="auto"/>
          <w:sz w:val="24"/>
          <w:szCs w:val="24"/>
          <w:lang w:val="en-US" w:eastAsia="zh-CN"/>
        </w:rPr>
        <w:t>合同签订后10</w:t>
      </w:r>
      <w:r>
        <w:rPr>
          <w:rFonts w:hint="eastAsia" w:ascii="宋体" w:hAnsi="宋体" w:cs="宋体"/>
          <w:color w:val="auto"/>
          <w:sz w:val="24"/>
          <w:szCs w:val="24"/>
        </w:rPr>
        <w:t>日内</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向采购人提交合同总价</w:t>
      </w:r>
      <w:r>
        <w:rPr>
          <w:rFonts w:hint="eastAsia" w:ascii="宋体" w:hAnsi="宋体" w:cs="宋体"/>
          <w:color w:val="auto"/>
          <w:sz w:val="24"/>
          <w:szCs w:val="24"/>
        </w:rPr>
        <w:t>10%的履约</w:t>
      </w:r>
      <w:r>
        <w:rPr>
          <w:rFonts w:hint="eastAsia" w:ascii="宋体" w:hAnsi="宋体" w:cs="宋体"/>
          <w:color w:val="auto"/>
          <w:sz w:val="24"/>
          <w:szCs w:val="24"/>
          <w:lang w:val="en-US" w:eastAsia="zh-CN"/>
        </w:rPr>
        <w:t>保函原件，如中标人未能按时提交履约保函原件的，采购人有权解除合同</w:t>
      </w:r>
      <w:r>
        <w:rPr>
          <w:rFonts w:hint="eastAsia" w:ascii="宋体" w:hAnsi="宋体" w:cs="宋体"/>
          <w:color w:val="auto"/>
          <w:sz w:val="24"/>
          <w:szCs w:val="24"/>
        </w:rPr>
        <w:t>。</w:t>
      </w:r>
    </w:p>
    <w:p>
      <w:pPr>
        <w:tabs>
          <w:tab w:val="left" w:pos="-620"/>
        </w:tabs>
        <w:spacing w:line="360" w:lineRule="auto"/>
        <w:ind w:left="0" w:firstLine="420" w:firstLineChars="0"/>
        <w:rPr>
          <w:rFonts w:hint="eastAsia" w:ascii="宋体" w:hAnsi="宋体" w:eastAsia="宋体" w:cs="宋体"/>
          <w:color w:val="auto"/>
          <w:sz w:val="24"/>
          <w:szCs w:val="24"/>
          <w:lang w:eastAsia="zh-CN"/>
        </w:rPr>
      </w:pPr>
      <w:r>
        <w:rPr>
          <w:rFonts w:hint="eastAsia" w:ascii="宋体" w:hAnsi="宋体" w:cs="宋体"/>
          <w:color w:val="auto"/>
          <w:sz w:val="24"/>
          <w:szCs w:val="24"/>
        </w:rPr>
        <w:t>6.</w:t>
      </w:r>
      <w:r>
        <w:rPr>
          <w:rFonts w:hint="eastAsia" w:ascii="宋体" w:hAnsi="宋体" w:cs="宋体"/>
          <w:color w:val="auto"/>
          <w:sz w:val="24"/>
          <w:szCs w:val="24"/>
          <w:lang w:eastAsia="zh-CN"/>
        </w:rPr>
        <w:t>2</w:t>
      </w:r>
      <w:r>
        <w:rPr>
          <w:rFonts w:hint="eastAsia" w:ascii="宋体" w:hAnsi="宋体" w:cs="宋体"/>
          <w:color w:val="auto"/>
          <w:sz w:val="24"/>
          <w:szCs w:val="24"/>
        </w:rPr>
        <w:t>、</w:t>
      </w:r>
      <w:r>
        <w:rPr>
          <w:rFonts w:hint="eastAsia" w:ascii="宋体" w:hAnsi="宋体" w:cs="宋体"/>
          <w:color w:val="auto"/>
          <w:sz w:val="24"/>
          <w:szCs w:val="24"/>
          <w:lang w:val="en-US" w:eastAsia="zh-CN"/>
        </w:rPr>
        <w:t>中标人</w:t>
      </w:r>
      <w:r>
        <w:rPr>
          <w:rFonts w:hint="eastAsia" w:ascii="宋体" w:hAnsi="宋体" w:cs="宋体"/>
          <w:color w:val="auto"/>
          <w:sz w:val="24"/>
          <w:szCs w:val="24"/>
        </w:rPr>
        <w:t>将货物送达</w:t>
      </w:r>
      <w:r>
        <w:rPr>
          <w:rFonts w:hint="eastAsia" w:ascii="宋体" w:hAnsi="宋体" w:cs="宋体"/>
          <w:color w:val="auto"/>
          <w:sz w:val="24"/>
          <w:szCs w:val="24"/>
          <w:lang w:val="en-US" w:eastAsia="zh-CN"/>
        </w:rPr>
        <w:t>采购人</w:t>
      </w:r>
      <w:r>
        <w:rPr>
          <w:rFonts w:hint="eastAsia" w:ascii="宋体" w:hAnsi="宋体" w:cs="宋体"/>
          <w:color w:val="auto"/>
          <w:sz w:val="24"/>
          <w:szCs w:val="24"/>
        </w:rPr>
        <w:t>指定地点，</w:t>
      </w:r>
      <w:r>
        <w:rPr>
          <w:rFonts w:hint="eastAsia" w:ascii="宋体" w:hAnsi="宋体" w:cs="宋体"/>
          <w:color w:val="auto"/>
          <w:sz w:val="24"/>
          <w:szCs w:val="24"/>
          <w:lang w:val="en-US" w:eastAsia="zh-CN"/>
        </w:rPr>
        <w:t>在</w:t>
      </w:r>
      <w:r>
        <w:rPr>
          <w:rFonts w:hint="eastAsia" w:ascii="宋体" w:hAnsi="宋体" w:cs="宋体"/>
          <w:color w:val="auto"/>
          <w:sz w:val="24"/>
          <w:szCs w:val="24"/>
        </w:rPr>
        <w:t>通过</w:t>
      </w:r>
      <w:r>
        <w:rPr>
          <w:rFonts w:hint="eastAsia" w:ascii="宋体" w:hAnsi="宋体" w:cs="宋体"/>
          <w:color w:val="auto"/>
          <w:sz w:val="24"/>
          <w:szCs w:val="24"/>
          <w:lang w:val="en-US" w:eastAsia="zh-CN"/>
        </w:rPr>
        <w:t>采购人</w:t>
      </w:r>
      <w:r>
        <w:rPr>
          <w:rFonts w:hint="eastAsia" w:ascii="宋体" w:hAnsi="宋体" w:cs="宋体"/>
          <w:color w:val="auto"/>
          <w:sz w:val="24"/>
          <w:szCs w:val="24"/>
        </w:rPr>
        <w:t>组织的验收合格并经计量部门计量合格后，</w:t>
      </w:r>
      <w:r>
        <w:rPr>
          <w:rFonts w:hint="eastAsia" w:ascii="宋体" w:hAnsi="宋体" w:cs="宋体"/>
          <w:color w:val="auto"/>
          <w:sz w:val="24"/>
          <w:szCs w:val="24"/>
          <w:lang w:val="en-US" w:eastAsia="zh-CN"/>
        </w:rPr>
        <w:t>中标人</w:t>
      </w:r>
      <w:r>
        <w:rPr>
          <w:rFonts w:hint="eastAsia" w:ascii="宋体" w:hAnsi="宋体" w:cs="宋体"/>
          <w:color w:val="auto"/>
          <w:sz w:val="24"/>
          <w:szCs w:val="24"/>
        </w:rPr>
        <w:t>开具增值税专用发票，</w:t>
      </w:r>
      <w:r>
        <w:rPr>
          <w:rFonts w:hint="eastAsia" w:ascii="宋体" w:hAnsi="宋体" w:cs="宋体"/>
          <w:color w:val="auto"/>
          <w:sz w:val="24"/>
          <w:szCs w:val="24"/>
          <w:lang w:val="en-US" w:eastAsia="zh-CN"/>
        </w:rPr>
        <w:t>采购人</w:t>
      </w:r>
      <w:r>
        <w:rPr>
          <w:rFonts w:hint="eastAsia" w:ascii="宋体" w:hAnsi="宋体" w:cs="宋体"/>
          <w:color w:val="auto"/>
          <w:sz w:val="24"/>
          <w:szCs w:val="24"/>
        </w:rPr>
        <w:t>支付全部货款。</w:t>
      </w:r>
    </w:p>
    <w:p>
      <w:pPr>
        <w:pStyle w:val="2"/>
        <w:spacing w:line="360" w:lineRule="auto"/>
        <w:rPr>
          <w:rFonts w:hint="default" w:eastAsia="宋体"/>
          <w:color w:val="auto"/>
          <w:lang w:val="en-US" w:eastAsia="zh-CN"/>
        </w:rPr>
      </w:pPr>
      <w:r>
        <w:rPr>
          <w:rFonts w:hint="eastAsia" w:ascii="宋体" w:hAnsi="宋体" w:cs="宋体"/>
          <w:color w:val="auto"/>
          <w:sz w:val="24"/>
          <w:szCs w:val="24"/>
          <w:lang w:val="en-US" w:eastAsia="zh-CN"/>
        </w:rPr>
        <w:t>6.3、在验收合格</w:t>
      </w:r>
      <w:r>
        <w:rPr>
          <w:rFonts w:hint="eastAsia" w:ascii="宋体" w:hAnsi="宋体" w:cs="宋体"/>
          <w:color w:val="auto"/>
          <w:sz w:val="24"/>
          <w:szCs w:val="24"/>
        </w:rPr>
        <w:t>并经计量部门计量合格</w:t>
      </w:r>
      <w:r>
        <w:rPr>
          <w:rFonts w:hint="eastAsia" w:ascii="宋体" w:hAnsi="宋体" w:cs="宋体"/>
          <w:color w:val="auto"/>
          <w:sz w:val="24"/>
          <w:szCs w:val="24"/>
          <w:lang w:val="en-US" w:eastAsia="zh-CN"/>
        </w:rPr>
        <w:t>满36个月且没有遗留问题后，采购人向中标人退还履约保函原件。</w:t>
      </w:r>
    </w:p>
    <w:p>
      <w:pPr>
        <w:pStyle w:val="2"/>
        <w:spacing w:line="360" w:lineRule="auto"/>
        <w:ind w:firstLine="0"/>
        <w:rPr>
          <w:rFonts w:hint="default" w:ascii="宋体" w:hAnsi="宋体" w:eastAsia="宋体" w:cs="宋体"/>
          <w:color w:val="auto"/>
          <w:sz w:val="24"/>
          <w:szCs w:val="24"/>
          <w:lang w:val="en-US" w:eastAsia="zh-CN"/>
        </w:rPr>
      </w:pPr>
    </w:p>
    <w:p>
      <w:pPr>
        <w:spacing w:line="360" w:lineRule="auto"/>
        <w:ind w:firstLine="420" w:firstLineChars="175"/>
        <w:rPr>
          <w:rFonts w:hint="eastAsia" w:ascii="宋体" w:hAnsi="宋体" w:cs="宋体"/>
          <w:color w:val="auto"/>
          <w:sz w:val="24"/>
          <w:szCs w:val="24"/>
        </w:rPr>
      </w:pPr>
      <w:r>
        <w:rPr>
          <w:rFonts w:hint="eastAsia" w:ascii="宋体" w:hAnsi="宋体" w:cs="宋体"/>
          <w:color w:val="auto"/>
          <w:sz w:val="24"/>
          <w:szCs w:val="24"/>
        </w:rPr>
        <w:br w:type="page"/>
      </w: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pStyle w:val="3"/>
        <w:numPr>
          <w:ilvl w:val="0"/>
          <w:numId w:val="3"/>
        </w:numPr>
        <w:spacing w:before="0" w:after="0" w:line="360" w:lineRule="auto"/>
        <w:ind w:left="0" w:firstLine="0"/>
        <w:jc w:val="center"/>
        <w:rPr>
          <w:rFonts w:ascii="宋体" w:hAnsi="宋体"/>
          <w:color w:val="auto"/>
          <w:kern w:val="0"/>
          <w:sz w:val="36"/>
          <w:szCs w:val="36"/>
        </w:rPr>
      </w:pPr>
      <w:r>
        <w:rPr>
          <w:rFonts w:hint="eastAsia" w:ascii="宋体" w:hAnsi="宋体"/>
          <w:color w:val="auto"/>
          <w:kern w:val="0"/>
          <w:sz w:val="36"/>
          <w:szCs w:val="36"/>
        </w:rPr>
        <w:t xml:space="preserve">  </w:t>
      </w:r>
      <w:bookmarkStart w:id="100" w:name="_Toc20294"/>
      <w:r>
        <w:rPr>
          <w:rFonts w:hint="eastAsia" w:ascii="宋体" w:hAnsi="宋体"/>
          <w:color w:val="auto"/>
          <w:kern w:val="0"/>
          <w:sz w:val="36"/>
          <w:szCs w:val="36"/>
        </w:rPr>
        <w:t>投标人须知</w:t>
      </w:r>
      <w:bookmarkEnd w:id="100"/>
    </w:p>
    <w:p>
      <w:pPr>
        <w:pStyle w:val="4"/>
        <w:jc w:val="center"/>
        <w:rPr>
          <w:color w:val="auto"/>
        </w:rPr>
      </w:pPr>
      <w:r>
        <w:rPr>
          <w:color w:val="auto"/>
          <w:sz w:val="24"/>
          <w:szCs w:val="24"/>
        </w:rPr>
        <w:br w:type="page"/>
      </w:r>
      <w:bookmarkStart w:id="101" w:name="_Toc54335384"/>
      <w:bookmarkStart w:id="102" w:name="_Toc15205"/>
      <w:r>
        <w:rPr>
          <w:rFonts w:hint="eastAsia"/>
          <w:color w:val="auto"/>
        </w:rPr>
        <w:t>投标人须知前附表</w:t>
      </w:r>
      <w:bookmarkEnd w:id="101"/>
      <w:bookmarkEnd w:id="102"/>
    </w:p>
    <w:p>
      <w:pPr>
        <w:ind w:firstLine="240" w:firstLineChars="100"/>
        <w:rPr>
          <w:rFonts w:ascii="宋体" w:hAnsi="宋体"/>
          <w:color w:val="auto"/>
          <w:sz w:val="24"/>
          <w:szCs w:val="24"/>
        </w:rPr>
      </w:pPr>
      <w:r>
        <w:rPr>
          <w:rFonts w:hint="eastAsia" w:ascii="宋体" w:hAnsi="宋体"/>
          <w:color w:val="auto"/>
          <w:sz w:val="24"/>
          <w:szCs w:val="24"/>
        </w:rPr>
        <w:t>本表中相关选择项，以在“□”中标黑“■”或打勾“</w:t>
      </w:r>
      <w:r>
        <w:rPr>
          <w:rFonts w:hint="eastAsia" w:ascii="宋体" w:hAnsi="宋体"/>
          <w:b/>
          <w:color w:val="auto"/>
          <w:sz w:val="24"/>
          <w:szCs w:val="24"/>
          <w:bdr w:val="single" w:color="auto" w:sz="4" w:space="0"/>
        </w:rPr>
        <w:t>√</w:t>
      </w:r>
      <w:r>
        <w:rPr>
          <w:rFonts w:hint="eastAsia" w:ascii="宋体" w:hAnsi="宋体"/>
          <w:color w:val="auto"/>
          <w:sz w:val="24"/>
          <w:szCs w:val="24"/>
        </w:rPr>
        <w:t>”为准。</w:t>
      </w:r>
      <w:r>
        <w:rPr>
          <w:rFonts w:hint="eastAsia" w:ascii="宋体" w:hAnsi="宋体" w:cs="宋体"/>
          <w:bCs/>
          <w:color w:val="auto"/>
          <w:sz w:val="24"/>
          <w:szCs w:val="24"/>
        </w:rPr>
        <w:t>本表内容须与《投标人须知》正文对应条款的内容一起阅读理解，《</w:t>
      </w:r>
      <w:r>
        <w:rPr>
          <w:rFonts w:hint="eastAsia" w:ascii="宋体" w:hAnsi="宋体"/>
          <w:bCs/>
          <w:color w:val="auto"/>
          <w:sz w:val="24"/>
          <w:szCs w:val="24"/>
        </w:rPr>
        <w:t>投</w:t>
      </w:r>
      <w:r>
        <w:rPr>
          <w:rFonts w:hint="eastAsia" w:ascii="宋体" w:hAnsi="宋体"/>
          <w:color w:val="auto"/>
          <w:sz w:val="24"/>
          <w:szCs w:val="24"/>
        </w:rPr>
        <w:t>标人须知</w:t>
      </w:r>
      <w:r>
        <w:rPr>
          <w:rFonts w:hint="eastAsia" w:ascii="宋体" w:hAnsi="宋体" w:cs="宋体"/>
          <w:bCs/>
          <w:color w:val="auto"/>
          <w:sz w:val="24"/>
          <w:szCs w:val="24"/>
        </w:rPr>
        <w:t>》</w:t>
      </w:r>
      <w:r>
        <w:rPr>
          <w:rFonts w:hint="eastAsia" w:ascii="宋体" w:hAnsi="宋体"/>
          <w:color w:val="auto"/>
          <w:sz w:val="24"/>
          <w:szCs w:val="24"/>
        </w:rPr>
        <w:t>正文与《投标人须知前附表》描述存在不一致之处，以《投标人须知前附表》为准。</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179"/>
        <w:gridCol w:w="1985"/>
        <w:gridCol w:w="5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23" w:type="dxa"/>
            <w:vAlign w:val="center"/>
          </w:tcPr>
          <w:p>
            <w:pPr>
              <w:autoSpaceDE w:val="0"/>
              <w:autoSpaceDN w:val="0"/>
              <w:spacing w:line="312" w:lineRule="auto"/>
              <w:jc w:val="center"/>
              <w:rPr>
                <w:rFonts w:ascii="宋体" w:hAnsi="宋体"/>
                <w:b/>
                <w:color w:val="auto"/>
                <w:sz w:val="24"/>
                <w:szCs w:val="24"/>
              </w:rPr>
            </w:pPr>
            <w:r>
              <w:rPr>
                <w:rFonts w:hint="eastAsia" w:ascii="宋体" w:hAnsi="宋体"/>
                <w:b/>
                <w:color w:val="auto"/>
                <w:sz w:val="24"/>
                <w:szCs w:val="24"/>
              </w:rPr>
              <w:t>序号</w:t>
            </w:r>
          </w:p>
        </w:tc>
        <w:tc>
          <w:tcPr>
            <w:tcW w:w="1179" w:type="dxa"/>
            <w:vAlign w:val="center"/>
          </w:tcPr>
          <w:p>
            <w:pPr>
              <w:autoSpaceDE w:val="0"/>
              <w:autoSpaceDN w:val="0"/>
              <w:spacing w:line="312" w:lineRule="auto"/>
              <w:jc w:val="center"/>
              <w:rPr>
                <w:rFonts w:ascii="宋体" w:hAnsi="宋体"/>
                <w:b/>
                <w:color w:val="auto"/>
                <w:sz w:val="24"/>
                <w:szCs w:val="24"/>
              </w:rPr>
            </w:pPr>
            <w:r>
              <w:rPr>
                <w:rFonts w:hint="eastAsia" w:ascii="宋体" w:hAnsi="宋体"/>
                <w:b/>
                <w:color w:val="auto"/>
                <w:sz w:val="24"/>
                <w:szCs w:val="24"/>
              </w:rPr>
              <w:t>条款号</w:t>
            </w:r>
          </w:p>
        </w:tc>
        <w:tc>
          <w:tcPr>
            <w:tcW w:w="1985" w:type="dxa"/>
            <w:vAlign w:val="center"/>
          </w:tcPr>
          <w:p>
            <w:pPr>
              <w:autoSpaceDE w:val="0"/>
              <w:autoSpaceDN w:val="0"/>
              <w:spacing w:line="312" w:lineRule="auto"/>
              <w:jc w:val="center"/>
              <w:rPr>
                <w:rFonts w:ascii="宋体" w:hAnsi="宋体"/>
                <w:b/>
                <w:color w:val="auto"/>
                <w:sz w:val="24"/>
                <w:szCs w:val="24"/>
              </w:rPr>
            </w:pPr>
            <w:r>
              <w:rPr>
                <w:rFonts w:hint="eastAsia" w:ascii="宋体" w:hAnsi="宋体"/>
                <w:b/>
                <w:color w:val="auto"/>
                <w:sz w:val="24"/>
                <w:szCs w:val="24"/>
              </w:rPr>
              <w:t>内容</w:t>
            </w:r>
          </w:p>
        </w:tc>
        <w:tc>
          <w:tcPr>
            <w:tcW w:w="5512" w:type="dxa"/>
            <w:vAlign w:val="center"/>
          </w:tcPr>
          <w:p>
            <w:pPr>
              <w:autoSpaceDE w:val="0"/>
              <w:autoSpaceDN w:val="0"/>
              <w:spacing w:line="312" w:lineRule="auto"/>
              <w:jc w:val="center"/>
              <w:rPr>
                <w:rFonts w:ascii="宋体" w:hAnsi="宋体"/>
                <w:b/>
                <w:color w:val="auto"/>
                <w:sz w:val="24"/>
                <w:szCs w:val="24"/>
              </w:rPr>
            </w:pPr>
            <w:r>
              <w:rPr>
                <w:rFonts w:hint="eastAsia" w:ascii="宋体" w:hAnsi="宋体"/>
                <w:b/>
                <w:color w:val="auto"/>
                <w:sz w:val="24"/>
                <w:szCs w:val="24"/>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Merge w:val="restart"/>
            <w:vAlign w:val="center"/>
          </w:tcPr>
          <w:p>
            <w:pPr>
              <w:numPr>
                <w:ilvl w:val="0"/>
                <w:numId w:val="13"/>
              </w:numPr>
              <w:autoSpaceDE w:val="0"/>
              <w:autoSpaceDN w:val="0"/>
              <w:spacing w:line="312" w:lineRule="auto"/>
              <w:ind w:left="0" w:firstLine="0"/>
              <w:rPr>
                <w:rFonts w:ascii="宋体" w:hAnsi="宋体"/>
                <w:color w:val="auto"/>
                <w:sz w:val="24"/>
                <w:szCs w:val="24"/>
              </w:rPr>
            </w:pPr>
          </w:p>
        </w:tc>
        <w:tc>
          <w:tcPr>
            <w:tcW w:w="1179" w:type="dxa"/>
            <w:vMerge w:val="restart"/>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1.1</w:t>
            </w:r>
          </w:p>
        </w:tc>
        <w:tc>
          <w:tcPr>
            <w:tcW w:w="1985" w:type="dxa"/>
            <w:vMerge w:val="restart"/>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采购包情况</w:t>
            </w:r>
          </w:p>
        </w:tc>
        <w:tc>
          <w:tcPr>
            <w:tcW w:w="5512" w:type="dxa"/>
            <w:vAlign w:val="center"/>
          </w:tcPr>
          <w:p>
            <w:pPr>
              <w:autoSpaceDE w:val="0"/>
              <w:autoSpaceDN w:val="0"/>
              <w:spacing w:line="312" w:lineRule="auto"/>
              <w:rPr>
                <w:rFonts w:ascii="宋体" w:hAnsi="宋体"/>
                <w:color w:val="auto"/>
                <w:sz w:val="24"/>
                <w:szCs w:val="24"/>
              </w:rPr>
            </w:pPr>
            <w:r>
              <w:rPr>
                <w:rFonts w:hint="eastAsia" w:ascii="宋体" w:hAnsi="宋体"/>
                <w:color w:val="auto"/>
                <w:sz w:val="24"/>
                <w:szCs w:val="24"/>
              </w:rPr>
              <w:t>本项目共</w:t>
            </w:r>
            <w:r>
              <w:rPr>
                <w:rFonts w:hint="eastAsia" w:ascii="宋体" w:hAnsi="宋体"/>
                <w:color w:val="auto"/>
                <w:sz w:val="24"/>
                <w:szCs w:val="24"/>
                <w:u w:val="single"/>
              </w:rPr>
              <w:t xml:space="preserve"> </w:t>
            </w:r>
            <w:r>
              <w:rPr>
                <w:rFonts w:hint="eastAsia" w:ascii="宋体" w:hAnsi="宋体"/>
                <w:color w:val="auto"/>
                <w:sz w:val="24"/>
                <w:szCs w:val="24"/>
                <w:u w:val="single"/>
                <w:lang w:val="en-US" w:eastAsia="zh-CN"/>
              </w:rPr>
              <w:t>1</w:t>
            </w:r>
            <w:r>
              <w:rPr>
                <w:rFonts w:hint="eastAsia" w:ascii="宋体" w:hAnsi="宋体"/>
                <w:color w:val="auto"/>
                <w:sz w:val="24"/>
                <w:szCs w:val="24"/>
                <w:u w:val="single"/>
              </w:rPr>
              <w:t xml:space="preserve"> </w:t>
            </w:r>
            <w:r>
              <w:rPr>
                <w:rFonts w:hint="eastAsia" w:ascii="宋体" w:hAnsi="宋体"/>
                <w:color w:val="auto"/>
                <w:sz w:val="24"/>
                <w:szCs w:val="24"/>
              </w:rPr>
              <w:t>采购包。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Merge w:val="continue"/>
            <w:vAlign w:val="center"/>
          </w:tcPr>
          <w:p>
            <w:pPr>
              <w:numPr>
                <w:ilvl w:val="0"/>
                <w:numId w:val="13"/>
              </w:numPr>
              <w:autoSpaceDE w:val="0"/>
              <w:autoSpaceDN w:val="0"/>
              <w:spacing w:line="312" w:lineRule="auto"/>
              <w:ind w:left="0" w:firstLine="0"/>
              <w:rPr>
                <w:rFonts w:ascii="宋体" w:hAnsi="宋体"/>
                <w:color w:val="auto"/>
                <w:sz w:val="24"/>
                <w:szCs w:val="24"/>
              </w:rPr>
            </w:pPr>
          </w:p>
        </w:tc>
        <w:tc>
          <w:tcPr>
            <w:tcW w:w="1179" w:type="dxa"/>
            <w:vMerge w:val="continue"/>
            <w:vAlign w:val="center"/>
          </w:tcPr>
          <w:p>
            <w:pPr>
              <w:autoSpaceDE w:val="0"/>
              <w:autoSpaceDN w:val="0"/>
              <w:spacing w:line="312" w:lineRule="auto"/>
              <w:jc w:val="center"/>
              <w:rPr>
                <w:rFonts w:ascii="宋体" w:hAnsi="宋体"/>
                <w:color w:val="auto"/>
                <w:sz w:val="24"/>
                <w:szCs w:val="24"/>
              </w:rPr>
            </w:pPr>
          </w:p>
        </w:tc>
        <w:tc>
          <w:tcPr>
            <w:tcW w:w="1985" w:type="dxa"/>
            <w:vMerge w:val="continue"/>
            <w:vAlign w:val="center"/>
          </w:tcPr>
          <w:p>
            <w:pPr>
              <w:autoSpaceDE w:val="0"/>
              <w:autoSpaceDN w:val="0"/>
              <w:spacing w:line="312" w:lineRule="auto"/>
              <w:jc w:val="center"/>
              <w:rPr>
                <w:rFonts w:ascii="宋体" w:hAnsi="宋体"/>
                <w:color w:val="auto"/>
                <w:sz w:val="24"/>
                <w:szCs w:val="24"/>
              </w:rPr>
            </w:pPr>
          </w:p>
        </w:tc>
        <w:tc>
          <w:tcPr>
            <w:tcW w:w="5512" w:type="dxa"/>
            <w:vAlign w:val="center"/>
          </w:tcPr>
          <w:p>
            <w:pPr>
              <w:autoSpaceDE w:val="0"/>
              <w:autoSpaceDN w:val="0"/>
              <w:spacing w:line="312" w:lineRule="auto"/>
              <w:rPr>
                <w:rFonts w:ascii="宋体" w:hAnsi="宋体"/>
                <w:color w:val="auto"/>
                <w:sz w:val="24"/>
                <w:szCs w:val="24"/>
              </w:rPr>
            </w:pPr>
            <w:r>
              <w:rPr>
                <w:rFonts w:hint="eastAsia" w:ascii="宋体" w:hAnsi="宋体"/>
                <w:color w:val="auto"/>
                <w:sz w:val="24"/>
                <w:szCs w:val="24"/>
              </w:rPr>
              <w:t>本项目采购标的对应的中小企业划分标准所属行业为：</w:t>
            </w:r>
            <w:r>
              <w:rPr>
                <w:rFonts w:hint="eastAsia" w:ascii="宋体" w:hAnsi="宋体"/>
                <w:color w:val="auto"/>
                <w:sz w:val="24"/>
                <w:szCs w:val="24"/>
                <w:u w:val="single"/>
              </w:rPr>
              <w:t xml:space="preserve"> 工业 </w:t>
            </w:r>
            <w:r>
              <w:rPr>
                <w:rFonts w:hint="eastAsia" w:ascii="宋体" w:hAnsi="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13"/>
              </w:numPr>
              <w:autoSpaceDE w:val="0"/>
              <w:autoSpaceDN w:val="0"/>
              <w:spacing w:line="312" w:lineRule="auto"/>
              <w:ind w:left="0" w:firstLine="0"/>
              <w:rPr>
                <w:rFonts w:ascii="宋体" w:hAnsi="宋体"/>
                <w:color w:val="auto"/>
                <w:sz w:val="24"/>
                <w:szCs w:val="24"/>
              </w:rPr>
            </w:pPr>
          </w:p>
        </w:tc>
        <w:tc>
          <w:tcPr>
            <w:tcW w:w="1179"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2.10</w:t>
            </w:r>
          </w:p>
        </w:tc>
        <w:tc>
          <w:tcPr>
            <w:tcW w:w="1985"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进口产品</w:t>
            </w:r>
          </w:p>
        </w:tc>
        <w:tc>
          <w:tcPr>
            <w:tcW w:w="5512" w:type="dxa"/>
            <w:vAlign w:val="center"/>
          </w:tcPr>
          <w:p>
            <w:pPr>
              <w:autoSpaceDE w:val="0"/>
              <w:autoSpaceDN w:val="0"/>
              <w:spacing w:line="312" w:lineRule="auto"/>
              <w:rPr>
                <w:rFonts w:ascii="宋体" w:hAnsi="宋体"/>
                <w:color w:val="auto"/>
                <w:sz w:val="24"/>
                <w:szCs w:val="24"/>
              </w:rPr>
            </w:pPr>
            <w:r>
              <w:rPr>
                <w:rFonts w:hint="eastAsia" w:ascii="宋体" w:hAnsi="宋体"/>
                <w:color w:val="auto"/>
                <w:sz w:val="24"/>
                <w:szCs w:val="24"/>
              </w:rPr>
              <w:t>本项目所有标的采购本国产品。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13"/>
              </w:numPr>
              <w:autoSpaceDE w:val="0"/>
              <w:autoSpaceDN w:val="0"/>
              <w:spacing w:line="312" w:lineRule="auto"/>
              <w:ind w:left="0" w:firstLine="0"/>
              <w:rPr>
                <w:rFonts w:ascii="宋体" w:hAnsi="宋体"/>
                <w:color w:val="auto"/>
                <w:sz w:val="24"/>
                <w:szCs w:val="24"/>
              </w:rPr>
            </w:pPr>
          </w:p>
        </w:tc>
        <w:tc>
          <w:tcPr>
            <w:tcW w:w="1179"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4.2</w:t>
            </w:r>
          </w:p>
        </w:tc>
        <w:tc>
          <w:tcPr>
            <w:tcW w:w="1985"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投标费用</w:t>
            </w:r>
          </w:p>
        </w:tc>
        <w:tc>
          <w:tcPr>
            <w:tcW w:w="5512" w:type="dxa"/>
            <w:vAlign w:val="center"/>
          </w:tcPr>
          <w:p>
            <w:pPr>
              <w:autoSpaceDE w:val="0"/>
              <w:autoSpaceDN w:val="0"/>
              <w:spacing w:line="312" w:lineRule="auto"/>
              <w:rPr>
                <w:rFonts w:ascii="宋体" w:hAnsi="宋体"/>
                <w:color w:val="auto"/>
                <w:sz w:val="24"/>
                <w:szCs w:val="24"/>
              </w:rPr>
            </w:pPr>
            <w:r>
              <w:rPr>
                <w:rFonts w:hint="eastAsia" w:ascii="宋体" w:hAnsi="宋体"/>
                <w:color w:val="auto"/>
                <w:sz w:val="24"/>
                <w:szCs w:val="24"/>
              </w:rPr>
              <w:t>采购人不对投标人提供任何投标补偿。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13"/>
              </w:numPr>
              <w:autoSpaceDE w:val="0"/>
              <w:autoSpaceDN w:val="0"/>
              <w:spacing w:line="312" w:lineRule="auto"/>
              <w:ind w:left="0" w:firstLine="0"/>
              <w:rPr>
                <w:rFonts w:ascii="宋体" w:hAnsi="宋体"/>
                <w:color w:val="auto"/>
                <w:sz w:val="24"/>
                <w:szCs w:val="24"/>
              </w:rPr>
            </w:pPr>
          </w:p>
        </w:tc>
        <w:tc>
          <w:tcPr>
            <w:tcW w:w="1179"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4.3</w:t>
            </w:r>
          </w:p>
        </w:tc>
        <w:tc>
          <w:tcPr>
            <w:tcW w:w="1985"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采购代理服务费</w:t>
            </w:r>
          </w:p>
        </w:tc>
        <w:tc>
          <w:tcPr>
            <w:tcW w:w="5512" w:type="dxa"/>
            <w:vAlign w:val="center"/>
          </w:tcPr>
          <w:p>
            <w:pPr>
              <w:autoSpaceDE w:val="0"/>
              <w:autoSpaceDN w:val="0"/>
              <w:spacing w:line="312" w:lineRule="auto"/>
              <w:rPr>
                <w:rFonts w:ascii="宋体" w:hAnsi="宋体" w:cs="宋体"/>
                <w:color w:val="auto"/>
                <w:sz w:val="24"/>
                <w:szCs w:val="24"/>
              </w:rPr>
            </w:pPr>
            <w:r>
              <w:rPr>
                <w:rFonts w:hint="eastAsia" w:ascii="宋体" w:hAnsi="宋体" w:cs="宋体"/>
                <w:color w:val="auto"/>
                <w:sz w:val="24"/>
                <w:szCs w:val="24"/>
              </w:rPr>
              <w:t>1.收费标准：</w:t>
            </w:r>
          </w:p>
          <w:p>
            <w:pPr>
              <w:autoSpaceDE w:val="0"/>
              <w:autoSpaceDN w:val="0"/>
              <w:spacing w:line="312" w:lineRule="auto"/>
              <w:jc w:val="left"/>
              <w:rPr>
                <w:rFonts w:ascii="宋体" w:hAnsi="宋体" w:cs="宋体"/>
                <w:color w:val="auto"/>
                <w:sz w:val="24"/>
              </w:rPr>
            </w:pPr>
            <w:r>
              <w:rPr>
                <w:rFonts w:hint="eastAsia" w:ascii="宋体" w:hAnsi="宋体" w:cs="宋体"/>
                <w:color w:val="auto"/>
                <w:sz w:val="24"/>
                <w:szCs w:val="24"/>
              </w:rPr>
              <w:t>参照国家计委《招标代理服务收费管理暂行办法》（计价格[2002]1980号）、国家发改委[2003]857号及发改价格[2011]534号文件中规定的计算方法和计费标准</w:t>
            </w:r>
            <w:r>
              <w:rPr>
                <w:rFonts w:hint="eastAsia" w:ascii="宋体" w:hAnsi="宋体" w:cs="宋体"/>
                <w:color w:val="auto"/>
                <w:sz w:val="24"/>
              </w:rPr>
              <w:t>下浮40%后收取。</w:t>
            </w:r>
          </w:p>
          <w:p>
            <w:pPr>
              <w:autoSpaceDE w:val="0"/>
              <w:autoSpaceDN w:val="0"/>
              <w:spacing w:line="312" w:lineRule="auto"/>
              <w:jc w:val="left"/>
              <w:rPr>
                <w:rFonts w:ascii="宋体" w:hAnsi="宋体" w:cs="宋体"/>
                <w:color w:val="auto"/>
                <w:sz w:val="24"/>
                <w:szCs w:val="24"/>
              </w:rPr>
            </w:pPr>
            <w:r>
              <w:rPr>
                <w:rFonts w:hint="eastAsia" w:ascii="宋体" w:hAnsi="宋体" w:cs="宋体"/>
                <w:color w:val="auto"/>
                <w:sz w:val="24"/>
                <w:szCs w:val="24"/>
              </w:rPr>
              <w:t>2.收费对象：中标人。</w:t>
            </w:r>
          </w:p>
          <w:p>
            <w:pPr>
              <w:autoSpaceDE w:val="0"/>
              <w:autoSpaceDN w:val="0"/>
              <w:spacing w:line="312" w:lineRule="auto"/>
              <w:jc w:val="left"/>
              <w:rPr>
                <w:rFonts w:ascii="宋体" w:hAnsi="宋体" w:cs="宋体"/>
                <w:color w:val="auto"/>
                <w:sz w:val="24"/>
                <w:szCs w:val="24"/>
              </w:rPr>
            </w:pPr>
            <w:r>
              <w:rPr>
                <w:rFonts w:hint="eastAsia" w:ascii="宋体" w:hAnsi="宋体" w:cs="宋体"/>
                <w:color w:val="auto"/>
                <w:sz w:val="24"/>
                <w:szCs w:val="24"/>
              </w:rPr>
              <w:t>3.项目类型：货物类。</w:t>
            </w:r>
          </w:p>
          <w:p>
            <w:pPr>
              <w:autoSpaceDE w:val="0"/>
              <w:autoSpaceDN w:val="0"/>
              <w:spacing w:line="312" w:lineRule="auto"/>
              <w:jc w:val="left"/>
              <w:rPr>
                <w:rFonts w:ascii="宋体" w:hAnsi="宋体"/>
                <w:i/>
                <w:color w:val="auto"/>
                <w:sz w:val="24"/>
                <w:szCs w:val="24"/>
              </w:rPr>
            </w:pPr>
            <w:r>
              <w:rPr>
                <w:rFonts w:hint="eastAsia" w:ascii="宋体" w:hAnsi="宋体" w:cs="宋体"/>
                <w:color w:val="auto"/>
                <w:sz w:val="24"/>
                <w:szCs w:val="24"/>
              </w:rPr>
              <w:t>4.计费基数：中标金额。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13"/>
              </w:numPr>
              <w:autoSpaceDE w:val="0"/>
              <w:autoSpaceDN w:val="0"/>
              <w:spacing w:line="312" w:lineRule="auto"/>
              <w:ind w:left="0" w:firstLine="0"/>
              <w:rPr>
                <w:rFonts w:ascii="宋体" w:hAnsi="宋体"/>
                <w:color w:val="auto"/>
                <w:sz w:val="24"/>
                <w:szCs w:val="24"/>
              </w:rPr>
            </w:pPr>
          </w:p>
        </w:tc>
        <w:tc>
          <w:tcPr>
            <w:tcW w:w="1179"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4.4</w:t>
            </w:r>
          </w:p>
        </w:tc>
        <w:tc>
          <w:tcPr>
            <w:tcW w:w="1985"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其他费用</w:t>
            </w:r>
          </w:p>
        </w:tc>
        <w:tc>
          <w:tcPr>
            <w:tcW w:w="5512" w:type="dxa"/>
            <w:vAlign w:val="center"/>
          </w:tcPr>
          <w:p>
            <w:pPr>
              <w:autoSpaceDE w:val="0"/>
              <w:autoSpaceDN w:val="0"/>
              <w:spacing w:line="312" w:lineRule="auto"/>
              <w:rPr>
                <w:rFonts w:ascii="宋体" w:hAnsi="宋体"/>
                <w:color w:val="auto"/>
                <w:sz w:val="24"/>
                <w:szCs w:val="24"/>
              </w:rPr>
            </w:pPr>
            <w:r>
              <w:rPr>
                <w:rFonts w:hint="eastAsia" w:ascii="宋体" w:hAnsi="宋体"/>
                <w:color w:val="auto"/>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13"/>
              </w:numPr>
              <w:autoSpaceDE w:val="0"/>
              <w:autoSpaceDN w:val="0"/>
              <w:spacing w:line="312" w:lineRule="auto"/>
              <w:ind w:left="0" w:firstLine="0"/>
              <w:rPr>
                <w:rFonts w:ascii="宋体" w:hAnsi="宋体"/>
                <w:color w:val="auto"/>
                <w:sz w:val="24"/>
                <w:szCs w:val="24"/>
              </w:rPr>
            </w:pPr>
          </w:p>
        </w:tc>
        <w:tc>
          <w:tcPr>
            <w:tcW w:w="1179"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11.5</w:t>
            </w:r>
          </w:p>
        </w:tc>
        <w:tc>
          <w:tcPr>
            <w:tcW w:w="1985"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报价形式</w:t>
            </w:r>
          </w:p>
        </w:tc>
        <w:tc>
          <w:tcPr>
            <w:tcW w:w="5512" w:type="dxa"/>
            <w:vAlign w:val="center"/>
          </w:tcPr>
          <w:p>
            <w:pPr>
              <w:autoSpaceDE w:val="0"/>
              <w:autoSpaceDN w:val="0"/>
              <w:spacing w:line="312" w:lineRule="auto"/>
              <w:rPr>
                <w:rFonts w:ascii="宋体" w:hAnsi="宋体" w:cs="宋体"/>
                <w:color w:val="auto"/>
                <w:sz w:val="24"/>
                <w:lang w:val="zh-CN"/>
              </w:rPr>
            </w:pPr>
            <w:r>
              <w:rPr>
                <w:rFonts w:hint="eastAsia" w:ascii="宋体" w:hAnsi="宋体"/>
                <w:color w:val="auto"/>
                <w:sz w:val="24"/>
                <w:szCs w:val="24"/>
              </w:rPr>
              <w:t>☑</w:t>
            </w:r>
            <w:r>
              <w:rPr>
                <w:rFonts w:hint="eastAsia" w:ascii="宋体" w:hAnsi="宋体" w:cs="宋体"/>
                <w:color w:val="auto"/>
                <w:sz w:val="24"/>
                <w:lang w:val="zh-CN"/>
              </w:rPr>
              <w:t>总价。</w:t>
            </w:r>
          </w:p>
          <w:p>
            <w:pPr>
              <w:autoSpaceDE w:val="0"/>
              <w:autoSpaceDN w:val="0"/>
              <w:spacing w:line="312" w:lineRule="auto"/>
              <w:rPr>
                <w:rFonts w:ascii="宋体" w:hAnsi="宋体"/>
                <w:color w:val="auto"/>
                <w:sz w:val="24"/>
                <w:szCs w:val="24"/>
              </w:rPr>
            </w:pPr>
            <w:r>
              <w:rPr>
                <w:rFonts w:hint="eastAsia" w:ascii="宋体" w:hAnsi="宋体"/>
                <w:color w:val="auto"/>
                <w:sz w:val="24"/>
                <w:szCs w:val="24"/>
              </w:rPr>
              <w:t>□单价。</w:t>
            </w:r>
          </w:p>
          <w:p>
            <w:pPr>
              <w:autoSpaceDE w:val="0"/>
              <w:autoSpaceDN w:val="0"/>
              <w:spacing w:line="312" w:lineRule="auto"/>
              <w:rPr>
                <w:rFonts w:ascii="宋体" w:hAnsi="宋体"/>
                <w:color w:val="auto"/>
                <w:sz w:val="24"/>
                <w:szCs w:val="24"/>
              </w:rPr>
            </w:pPr>
            <w:r>
              <w:rPr>
                <w:rFonts w:hint="eastAsia" w:ascii="宋体" w:hAnsi="宋体"/>
                <w:color w:val="auto"/>
                <w:sz w:val="24"/>
                <w:szCs w:val="24"/>
              </w:rPr>
              <w:t>□</w:t>
            </w:r>
            <w:r>
              <w:rPr>
                <w:rFonts w:hint="eastAsia" w:ascii="宋体" w:hAnsi="宋体"/>
                <w:i/>
                <w:color w:val="auto"/>
                <w:sz w:val="24"/>
                <w:szCs w:val="24"/>
                <w:u w:val="single"/>
              </w:rPr>
              <w:t>折扣率/下浮率。(</w:t>
            </w:r>
            <w:r>
              <w:rPr>
                <w:rFonts w:hint="eastAsia" w:ascii="宋体" w:hAnsi="宋体" w:cs="宋体"/>
                <w:i/>
                <w:color w:val="auto"/>
                <w:sz w:val="24"/>
                <w:szCs w:val="24"/>
                <w:lang w:bidi="ar"/>
              </w:rPr>
              <w:t>0%—100%，保留最多两位小数）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13"/>
              </w:numPr>
              <w:autoSpaceDE w:val="0"/>
              <w:autoSpaceDN w:val="0"/>
              <w:spacing w:line="312" w:lineRule="auto"/>
              <w:ind w:left="0" w:firstLine="0"/>
              <w:rPr>
                <w:rFonts w:ascii="宋体" w:hAnsi="宋体"/>
                <w:color w:val="auto"/>
                <w:sz w:val="24"/>
                <w:szCs w:val="24"/>
              </w:rPr>
            </w:pPr>
          </w:p>
        </w:tc>
        <w:tc>
          <w:tcPr>
            <w:tcW w:w="1179"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11.6</w:t>
            </w:r>
          </w:p>
        </w:tc>
        <w:tc>
          <w:tcPr>
            <w:tcW w:w="1985" w:type="dxa"/>
            <w:vAlign w:val="center"/>
          </w:tcPr>
          <w:p>
            <w:pPr>
              <w:jc w:val="center"/>
              <w:rPr>
                <w:rFonts w:ascii="宋体" w:hAnsi="宋体"/>
                <w:color w:val="auto"/>
                <w:sz w:val="24"/>
                <w:szCs w:val="24"/>
              </w:rPr>
            </w:pPr>
            <w:r>
              <w:rPr>
                <w:rFonts w:hint="eastAsia" w:ascii="宋体" w:hAnsi="宋体" w:cs="宋体"/>
                <w:color w:val="auto"/>
                <w:sz w:val="24"/>
                <w:szCs w:val="24"/>
                <w:lang w:eastAsia="en-US"/>
              </w:rPr>
              <w:t>报价要求</w:t>
            </w:r>
          </w:p>
        </w:tc>
        <w:tc>
          <w:tcPr>
            <w:tcW w:w="5512" w:type="dxa"/>
          </w:tcPr>
          <w:p>
            <w:pPr>
              <w:rPr>
                <w:rFonts w:ascii="宋体" w:hAnsi="宋体"/>
                <w:color w:val="auto"/>
                <w:sz w:val="24"/>
                <w:szCs w:val="24"/>
              </w:rPr>
            </w:pPr>
            <w:r>
              <w:rPr>
                <w:rFonts w:hint="eastAsia" w:ascii="宋体" w:hAnsi="宋体" w:cs="宋体"/>
                <w:iCs/>
                <w:color w:val="auto"/>
                <w:sz w:val="24"/>
                <w:szCs w:val="24"/>
              </w:rPr>
              <w:t>总价报价不超过最高限价总价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13"/>
              </w:numPr>
              <w:autoSpaceDE w:val="0"/>
              <w:autoSpaceDN w:val="0"/>
              <w:spacing w:line="312" w:lineRule="auto"/>
              <w:ind w:left="0" w:firstLine="0"/>
              <w:rPr>
                <w:rFonts w:ascii="宋体" w:hAnsi="宋体"/>
                <w:color w:val="auto"/>
                <w:sz w:val="24"/>
                <w:szCs w:val="24"/>
              </w:rPr>
            </w:pPr>
          </w:p>
        </w:tc>
        <w:tc>
          <w:tcPr>
            <w:tcW w:w="1179"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12.1；12.2</w:t>
            </w:r>
          </w:p>
        </w:tc>
        <w:tc>
          <w:tcPr>
            <w:tcW w:w="1985"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是否接受备选投标方案</w:t>
            </w:r>
          </w:p>
        </w:tc>
        <w:tc>
          <w:tcPr>
            <w:tcW w:w="5512" w:type="dxa"/>
            <w:vAlign w:val="center"/>
          </w:tcPr>
          <w:p>
            <w:pPr>
              <w:autoSpaceDE w:val="0"/>
              <w:autoSpaceDN w:val="0"/>
              <w:spacing w:line="312" w:lineRule="auto"/>
              <w:rPr>
                <w:rFonts w:ascii="宋体" w:hAnsi="宋体"/>
                <w:color w:val="auto"/>
                <w:sz w:val="24"/>
                <w:szCs w:val="24"/>
              </w:rPr>
            </w:pPr>
            <w:r>
              <w:rPr>
                <w:rFonts w:hint="eastAsia" w:ascii="宋体" w:hAnsi="宋体"/>
                <w:color w:val="auto"/>
                <w:sz w:val="24"/>
                <w:szCs w:val="24"/>
              </w:rPr>
              <w:t>☑不接受。</w:t>
            </w:r>
          </w:p>
          <w:p>
            <w:pPr>
              <w:autoSpaceDE w:val="0"/>
              <w:autoSpaceDN w:val="0"/>
              <w:spacing w:line="312" w:lineRule="auto"/>
              <w:rPr>
                <w:rFonts w:ascii="宋体" w:hAnsi="宋体"/>
                <w:color w:val="auto"/>
                <w:sz w:val="24"/>
                <w:szCs w:val="24"/>
              </w:rPr>
            </w:pPr>
            <w:r>
              <w:rPr>
                <w:rFonts w:hint="eastAsia" w:ascii="宋体" w:hAnsi="宋体"/>
                <w:color w:val="auto"/>
                <w:sz w:val="24"/>
                <w:szCs w:val="24"/>
              </w:rPr>
              <w:t>□接受。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13"/>
              </w:numPr>
              <w:autoSpaceDE w:val="0"/>
              <w:autoSpaceDN w:val="0"/>
              <w:spacing w:line="312" w:lineRule="auto"/>
              <w:ind w:left="0" w:firstLine="0"/>
              <w:rPr>
                <w:rFonts w:ascii="宋体" w:hAnsi="宋体"/>
                <w:color w:val="auto"/>
                <w:sz w:val="24"/>
                <w:szCs w:val="24"/>
              </w:rPr>
            </w:pPr>
          </w:p>
        </w:tc>
        <w:tc>
          <w:tcPr>
            <w:tcW w:w="1179"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12.3</w:t>
            </w:r>
          </w:p>
        </w:tc>
        <w:tc>
          <w:tcPr>
            <w:tcW w:w="1985"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是否允许分包</w:t>
            </w:r>
          </w:p>
        </w:tc>
        <w:tc>
          <w:tcPr>
            <w:tcW w:w="5512" w:type="dxa"/>
            <w:vAlign w:val="center"/>
          </w:tcPr>
          <w:p>
            <w:pPr>
              <w:autoSpaceDE w:val="0"/>
              <w:autoSpaceDN w:val="0"/>
              <w:spacing w:line="312" w:lineRule="auto"/>
              <w:rPr>
                <w:rFonts w:ascii="宋体" w:hAnsi="宋体"/>
                <w:color w:val="auto"/>
                <w:sz w:val="24"/>
                <w:szCs w:val="24"/>
              </w:rPr>
            </w:pPr>
            <w:r>
              <w:rPr>
                <w:rFonts w:hint="eastAsia" w:ascii="宋体" w:hAnsi="宋体"/>
                <w:color w:val="auto"/>
                <w:sz w:val="24"/>
                <w:szCs w:val="24"/>
              </w:rPr>
              <w:t>☑不允许。</w:t>
            </w:r>
          </w:p>
          <w:p>
            <w:pPr>
              <w:autoSpaceDE w:val="0"/>
              <w:autoSpaceDN w:val="0"/>
              <w:spacing w:line="312" w:lineRule="auto"/>
              <w:rPr>
                <w:rFonts w:ascii="宋体" w:hAnsi="宋体"/>
                <w:color w:val="auto"/>
                <w:sz w:val="24"/>
                <w:szCs w:val="24"/>
                <w:u w:val="single"/>
              </w:rPr>
            </w:pPr>
            <w:r>
              <w:rPr>
                <w:rFonts w:hint="eastAsia" w:ascii="宋体" w:hAnsi="宋体"/>
                <w:color w:val="auto"/>
                <w:sz w:val="24"/>
                <w:szCs w:val="24"/>
              </w:rPr>
              <w:t>□允许。</w:t>
            </w:r>
            <w:r>
              <w:rPr>
                <w:rFonts w:hint="eastAsia" w:ascii="宋体" w:hAnsi="宋体"/>
                <w:color w:val="auto"/>
                <w:sz w:val="24"/>
                <w:szCs w:val="24"/>
                <w:u w:val="single"/>
              </w:rPr>
              <w:t>（详见《采购需求》）</w:t>
            </w:r>
          </w:p>
          <w:p>
            <w:pPr>
              <w:autoSpaceDE w:val="0"/>
              <w:autoSpaceDN w:val="0"/>
              <w:spacing w:line="312" w:lineRule="auto"/>
              <w:rPr>
                <w:rFonts w:ascii="宋体" w:hAnsi="宋体"/>
                <w:color w:val="auto"/>
                <w:sz w:val="24"/>
                <w:szCs w:val="24"/>
              </w:rPr>
            </w:pPr>
            <w:r>
              <w:rPr>
                <w:rFonts w:hint="eastAsia" w:ascii="宋体" w:hAnsi="宋体"/>
                <w:color w:val="auto"/>
                <w:sz w:val="24"/>
                <w:szCs w:val="24"/>
              </w:rPr>
              <w:t>□允许。采用预留份额（合同分包形式）专门面向中小企业采购，详见《投标邀请》。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3" w:type="dxa"/>
            <w:vAlign w:val="center"/>
          </w:tcPr>
          <w:p>
            <w:pPr>
              <w:numPr>
                <w:ilvl w:val="0"/>
                <w:numId w:val="13"/>
              </w:numPr>
              <w:autoSpaceDE w:val="0"/>
              <w:autoSpaceDN w:val="0"/>
              <w:spacing w:line="312" w:lineRule="auto"/>
              <w:ind w:left="0" w:firstLine="0"/>
              <w:rPr>
                <w:rFonts w:ascii="宋体" w:hAnsi="宋体"/>
                <w:color w:val="auto"/>
                <w:sz w:val="24"/>
                <w:szCs w:val="24"/>
              </w:rPr>
            </w:pPr>
          </w:p>
        </w:tc>
        <w:tc>
          <w:tcPr>
            <w:tcW w:w="1179"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13.1</w:t>
            </w:r>
          </w:p>
        </w:tc>
        <w:tc>
          <w:tcPr>
            <w:tcW w:w="1985"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联合体投标</w:t>
            </w:r>
          </w:p>
        </w:tc>
        <w:tc>
          <w:tcPr>
            <w:tcW w:w="5512" w:type="dxa"/>
            <w:vAlign w:val="center"/>
          </w:tcPr>
          <w:p>
            <w:pPr>
              <w:autoSpaceDE w:val="0"/>
              <w:autoSpaceDN w:val="0"/>
              <w:spacing w:line="312" w:lineRule="auto"/>
              <w:ind w:left="240" w:hanging="240" w:hangingChars="100"/>
              <w:rPr>
                <w:rFonts w:ascii="宋体" w:hAnsi="宋体"/>
                <w:color w:val="auto"/>
                <w:sz w:val="24"/>
                <w:szCs w:val="24"/>
              </w:rPr>
            </w:pPr>
            <w:r>
              <w:rPr>
                <w:rFonts w:hint="eastAsia" w:ascii="宋体" w:hAnsi="宋体"/>
                <w:color w:val="auto"/>
                <w:sz w:val="24"/>
                <w:szCs w:val="24"/>
              </w:rPr>
              <w:t>☑不接受。所有有关联合体的条款内容不适用。</w:t>
            </w:r>
          </w:p>
          <w:p>
            <w:pPr>
              <w:autoSpaceDE w:val="0"/>
              <w:autoSpaceDN w:val="0"/>
              <w:spacing w:line="312" w:lineRule="auto"/>
              <w:rPr>
                <w:rFonts w:ascii="宋体" w:hAnsi="宋体"/>
                <w:color w:val="auto"/>
                <w:sz w:val="24"/>
                <w:szCs w:val="24"/>
              </w:rPr>
            </w:pPr>
            <w:r>
              <w:rPr>
                <w:rFonts w:hint="eastAsia" w:ascii="宋体" w:hAnsi="宋体"/>
                <w:color w:val="auto"/>
                <w:sz w:val="24"/>
                <w:szCs w:val="24"/>
              </w:rPr>
              <w:t>□接受。详见</w:t>
            </w:r>
            <w:r>
              <w:rPr>
                <w:rFonts w:hint="eastAsia" w:ascii="宋体" w:hAnsi="宋体"/>
                <w:color w:val="auto"/>
                <w:kern w:val="0"/>
                <w:sz w:val="24"/>
                <w:szCs w:val="24"/>
              </w:rPr>
              <w:t>本项目《投标邀请》及第13条。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Merge w:val="restart"/>
            <w:vAlign w:val="center"/>
          </w:tcPr>
          <w:p>
            <w:pPr>
              <w:numPr>
                <w:ilvl w:val="0"/>
                <w:numId w:val="13"/>
              </w:numPr>
              <w:autoSpaceDE w:val="0"/>
              <w:autoSpaceDN w:val="0"/>
              <w:spacing w:line="312" w:lineRule="auto"/>
              <w:ind w:left="0" w:firstLine="0"/>
              <w:rPr>
                <w:rFonts w:ascii="宋体" w:hAnsi="宋体"/>
                <w:color w:val="auto"/>
                <w:sz w:val="24"/>
                <w:szCs w:val="24"/>
              </w:rPr>
            </w:pPr>
          </w:p>
        </w:tc>
        <w:tc>
          <w:tcPr>
            <w:tcW w:w="1179" w:type="dxa"/>
            <w:vMerge w:val="restart"/>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15</w:t>
            </w:r>
          </w:p>
        </w:tc>
        <w:tc>
          <w:tcPr>
            <w:tcW w:w="1985" w:type="dxa"/>
            <w:vMerge w:val="restart"/>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投标保证金</w:t>
            </w:r>
          </w:p>
        </w:tc>
        <w:tc>
          <w:tcPr>
            <w:tcW w:w="5512" w:type="dxa"/>
            <w:vAlign w:val="center"/>
          </w:tcPr>
          <w:p>
            <w:pPr>
              <w:autoSpaceDE w:val="0"/>
              <w:autoSpaceDN w:val="0"/>
              <w:spacing w:line="312" w:lineRule="auto"/>
              <w:ind w:left="240" w:hanging="240" w:hangingChars="100"/>
              <w:rPr>
                <w:rFonts w:ascii="宋体" w:hAnsi="宋体"/>
                <w:color w:val="auto"/>
                <w:sz w:val="24"/>
                <w:szCs w:val="24"/>
              </w:rPr>
            </w:pPr>
            <w:r>
              <w:rPr>
                <w:rFonts w:hint="eastAsia" w:ascii="宋体" w:hAnsi="宋体"/>
                <w:color w:val="auto"/>
                <w:sz w:val="24"/>
                <w:szCs w:val="24"/>
              </w:rPr>
              <w:t>□不收取。所有有关投标保证金的条款内容不适用。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Merge w:val="continue"/>
            <w:vAlign w:val="center"/>
          </w:tcPr>
          <w:p>
            <w:pPr>
              <w:numPr>
                <w:ilvl w:val="0"/>
                <w:numId w:val="13"/>
              </w:numPr>
              <w:autoSpaceDE w:val="0"/>
              <w:autoSpaceDN w:val="0"/>
              <w:spacing w:line="312" w:lineRule="auto"/>
              <w:ind w:left="0" w:firstLine="0"/>
              <w:rPr>
                <w:rFonts w:ascii="宋体" w:hAnsi="宋体"/>
                <w:color w:val="auto"/>
                <w:sz w:val="24"/>
                <w:szCs w:val="24"/>
              </w:rPr>
            </w:pPr>
          </w:p>
        </w:tc>
        <w:tc>
          <w:tcPr>
            <w:tcW w:w="1179" w:type="dxa"/>
            <w:vMerge w:val="continue"/>
            <w:vAlign w:val="center"/>
          </w:tcPr>
          <w:p>
            <w:pPr>
              <w:autoSpaceDE w:val="0"/>
              <w:autoSpaceDN w:val="0"/>
              <w:spacing w:line="312" w:lineRule="auto"/>
              <w:jc w:val="center"/>
              <w:rPr>
                <w:rFonts w:ascii="宋体" w:hAnsi="宋体"/>
                <w:color w:val="auto"/>
                <w:sz w:val="24"/>
                <w:szCs w:val="24"/>
              </w:rPr>
            </w:pPr>
          </w:p>
        </w:tc>
        <w:tc>
          <w:tcPr>
            <w:tcW w:w="1985" w:type="dxa"/>
            <w:vMerge w:val="continue"/>
            <w:vAlign w:val="center"/>
          </w:tcPr>
          <w:p>
            <w:pPr>
              <w:autoSpaceDE w:val="0"/>
              <w:autoSpaceDN w:val="0"/>
              <w:spacing w:line="312" w:lineRule="auto"/>
              <w:jc w:val="center"/>
              <w:rPr>
                <w:rFonts w:ascii="宋体" w:hAnsi="宋体"/>
                <w:color w:val="auto"/>
                <w:sz w:val="24"/>
                <w:szCs w:val="24"/>
              </w:rPr>
            </w:pPr>
          </w:p>
        </w:tc>
        <w:tc>
          <w:tcPr>
            <w:tcW w:w="5512" w:type="dxa"/>
            <w:vAlign w:val="center"/>
          </w:tcPr>
          <w:p>
            <w:pPr>
              <w:autoSpaceDE w:val="0"/>
              <w:autoSpaceDN w:val="0"/>
              <w:spacing w:line="312" w:lineRule="auto"/>
              <w:rPr>
                <w:rFonts w:ascii="宋体" w:hAnsi="宋体"/>
                <w:color w:val="auto"/>
                <w:sz w:val="24"/>
                <w:szCs w:val="24"/>
              </w:rPr>
            </w:pPr>
            <w:r>
              <w:rPr>
                <w:rFonts w:hint="eastAsia" w:ascii="宋体" w:hAnsi="宋体"/>
                <w:color w:val="auto"/>
                <w:sz w:val="24"/>
                <w:szCs w:val="24"/>
              </w:rPr>
              <w:t>☑收取。</w:t>
            </w:r>
          </w:p>
          <w:p>
            <w:pPr>
              <w:pStyle w:val="62"/>
              <w:kinsoku w:val="0"/>
              <w:overflowPunct w:val="0"/>
              <w:spacing w:line="312" w:lineRule="auto"/>
              <w:rPr>
                <w:rFonts w:hAnsi="宋体"/>
                <w:color w:val="auto"/>
              </w:rPr>
            </w:pPr>
            <w:r>
              <w:rPr>
                <w:rFonts w:hint="eastAsia" w:hAnsi="宋体"/>
                <w:color w:val="auto"/>
              </w:rPr>
              <w:t>（1）金额：人民币</w:t>
            </w:r>
            <w:r>
              <w:rPr>
                <w:rFonts w:hint="eastAsia" w:hAnsi="宋体"/>
                <w:color w:val="auto"/>
                <w:u w:val="single"/>
              </w:rPr>
              <w:t xml:space="preserve"> </w:t>
            </w:r>
            <w:r>
              <w:rPr>
                <w:rFonts w:hint="eastAsia" w:hAnsi="宋体"/>
                <w:color w:val="auto"/>
                <w:u w:val="single"/>
                <w:lang w:val="en-US" w:eastAsia="zh-CN"/>
              </w:rPr>
              <w:t>43</w:t>
            </w:r>
            <w:r>
              <w:rPr>
                <w:rFonts w:hint="eastAsia" w:hAnsi="宋体"/>
                <w:color w:val="auto"/>
                <w:u w:val="single"/>
              </w:rPr>
              <w:t xml:space="preserve">0,000.00 </w:t>
            </w:r>
            <w:r>
              <w:rPr>
                <w:rFonts w:hint="eastAsia" w:hAnsi="宋体"/>
                <w:color w:val="auto"/>
              </w:rPr>
              <w:t>元</w:t>
            </w:r>
          </w:p>
          <w:p>
            <w:pPr>
              <w:pStyle w:val="62"/>
              <w:wordWrap w:val="0"/>
              <w:spacing w:line="312" w:lineRule="auto"/>
              <w:rPr>
                <w:rFonts w:hAnsi="宋体"/>
                <w:color w:val="auto"/>
              </w:rPr>
            </w:pPr>
            <w:r>
              <w:rPr>
                <w:rFonts w:hint="eastAsia" w:hAnsi="宋体"/>
                <w:color w:val="auto"/>
              </w:rPr>
              <w:t>（2）递交时间：提交投标文件截止时间前完成缴纳或递交。投标人必须提前办理缴纳投标保证金的事宜，否则需自行承担保证金无法成功缴纳的风险。</w:t>
            </w:r>
          </w:p>
          <w:p>
            <w:pPr>
              <w:pStyle w:val="62"/>
              <w:wordWrap w:val="0"/>
              <w:spacing w:line="312" w:lineRule="auto"/>
              <w:rPr>
                <w:rFonts w:hAnsi="宋体"/>
                <w:i/>
                <w:color w:val="auto"/>
              </w:rPr>
            </w:pPr>
            <w:r>
              <w:rPr>
                <w:rFonts w:hint="eastAsia" w:hAnsi="宋体"/>
                <w:color w:val="auto"/>
              </w:rPr>
              <w:t>（3）形式（可自行选择）：银行转账、支票、汇票、本票、投标保函或担保函或保证保险函</w:t>
            </w:r>
            <w:r>
              <w:rPr>
                <w:rFonts w:hint="eastAsia" w:hAnsi="宋体"/>
                <w:i/>
                <w:color w:val="auto"/>
              </w:rPr>
              <w:t>。</w:t>
            </w:r>
          </w:p>
          <w:p>
            <w:pPr>
              <w:pStyle w:val="62"/>
              <w:wordWrap w:val="0"/>
              <w:spacing w:line="312" w:lineRule="auto"/>
              <w:rPr>
                <w:rFonts w:hAnsi="宋体"/>
                <w:color w:val="auto"/>
              </w:rPr>
            </w:pPr>
            <w:r>
              <w:rPr>
                <w:rFonts w:hint="eastAsia" w:hAnsi="宋体"/>
                <w:color w:val="auto"/>
              </w:rPr>
              <w:t>（4）有效期：与投标有效期一致。</w:t>
            </w:r>
          </w:p>
          <w:p>
            <w:pPr>
              <w:pStyle w:val="62"/>
              <w:wordWrap w:val="0"/>
              <w:spacing w:line="312" w:lineRule="auto"/>
              <w:rPr>
                <w:rFonts w:hAnsi="宋体"/>
                <w:color w:val="auto"/>
              </w:rPr>
            </w:pPr>
            <w:r>
              <w:rPr>
                <w:rFonts w:hint="eastAsia" w:hAnsi="宋体"/>
                <w:color w:val="auto"/>
              </w:rPr>
              <w:t>（5）缴纳方式：</w:t>
            </w:r>
          </w:p>
          <w:p>
            <w:pPr>
              <w:pStyle w:val="62"/>
              <w:wordWrap w:val="0"/>
              <w:spacing w:line="312" w:lineRule="auto"/>
              <w:ind w:firstLine="480" w:firstLineChars="200"/>
              <w:rPr>
                <w:rFonts w:hAnsi="宋体"/>
                <w:color w:val="auto"/>
              </w:rPr>
            </w:pPr>
            <w:r>
              <w:rPr>
                <w:rFonts w:hint="eastAsia" w:hAnsi="宋体" w:cs="仿宋"/>
                <w:color w:val="auto"/>
                <w:kern w:val="2"/>
              </w:rPr>
              <w:t>①如采用银行转账形式提交的，</w:t>
            </w:r>
            <w:r>
              <w:rPr>
                <w:rFonts w:hint="eastAsia" w:hAnsi="宋体"/>
                <w:color w:val="auto"/>
              </w:rPr>
              <w:t>请供应商自行登录广东华伦招标有限公司网站“供应商在线服务”查询由系统随机为每个项目每位供应商随机分配的投标保证金缴纳账号</w:t>
            </w:r>
            <w:r>
              <w:rPr>
                <w:rFonts w:hint="eastAsia" w:hAnsi="宋体" w:cs="仿宋"/>
                <w:color w:val="auto"/>
                <w:kern w:val="2"/>
              </w:rPr>
              <w:t>（</w:t>
            </w:r>
            <w:r>
              <w:rPr>
                <w:rFonts w:hint="eastAsia" w:hAnsi="宋体"/>
                <w:b/>
                <w:color w:val="auto"/>
              </w:rPr>
              <w:t>此账号仅限收取投标保证金）</w:t>
            </w:r>
            <w:r>
              <w:rPr>
                <w:rFonts w:hint="eastAsia" w:hAnsi="宋体"/>
                <w:color w:val="auto"/>
              </w:rPr>
              <w:t>。详细操作详见广东华伦招标有限公司网站</w:t>
            </w:r>
            <w:r>
              <w:rPr>
                <w:rFonts w:hint="eastAsia" w:hAnsi="宋体"/>
                <w:color w:val="auto"/>
                <w:u w:val="single"/>
              </w:rPr>
              <w:t>（http:// 120.25.193.109/）</w:t>
            </w:r>
            <w:r>
              <w:rPr>
                <w:rFonts w:hint="eastAsia" w:hAnsi="宋体"/>
                <w:color w:val="auto"/>
              </w:rPr>
              <w:t>“通知公告”栏中《供应商操作指南》。缴纳凭证的原件可单独封装或放在《开标信封》中，复印件或打印件放在投标文件中，注明事由：</w:t>
            </w:r>
            <w:r>
              <w:rPr>
                <w:rFonts w:hint="eastAsia" w:hAnsi="宋体"/>
                <w:b/>
                <w:bCs/>
                <w:color w:val="auto"/>
                <w:u w:val="single"/>
              </w:rPr>
              <w:t>（项目文件编号0809-XXXXXXXXXXXX）</w:t>
            </w:r>
            <w:r>
              <w:rPr>
                <w:rFonts w:hint="eastAsia" w:hAnsi="宋体"/>
                <w:color w:val="auto"/>
              </w:rPr>
              <w:t>投标保证金。到账情况以提交投标文件截止时间时广东华伦招标有限公司查询的信息为准。</w:t>
            </w:r>
          </w:p>
          <w:p>
            <w:pPr>
              <w:pStyle w:val="62"/>
              <w:wordWrap w:val="0"/>
              <w:spacing w:line="312" w:lineRule="auto"/>
              <w:ind w:firstLine="480" w:firstLineChars="200"/>
              <w:rPr>
                <w:rFonts w:hAnsi="宋体"/>
                <w:color w:val="auto"/>
              </w:rPr>
            </w:pPr>
            <w:r>
              <w:rPr>
                <w:rFonts w:hint="eastAsia" w:hAnsi="宋体"/>
                <w:color w:val="auto"/>
              </w:rPr>
              <w:t>②</w:t>
            </w:r>
            <w:r>
              <w:rPr>
                <w:rFonts w:hint="eastAsia" w:hAnsi="宋体" w:cs="仿宋"/>
                <w:color w:val="auto"/>
                <w:kern w:val="2"/>
              </w:rPr>
              <w:t>如采用</w:t>
            </w:r>
            <w:r>
              <w:rPr>
                <w:rFonts w:hint="eastAsia" w:ascii="Times New Roman" w:hAnsi="宋体" w:cs="仿宋"/>
                <w:color w:val="auto"/>
                <w:kern w:val="2"/>
              </w:rPr>
              <w:t>支票、汇票、本票形式提</w:t>
            </w:r>
            <w:r>
              <w:rPr>
                <w:rFonts w:hint="eastAsia" w:hAnsi="宋体" w:cs="仿宋"/>
                <w:color w:val="auto"/>
                <w:kern w:val="2"/>
              </w:rPr>
              <w:t>交的：</w:t>
            </w:r>
            <w:r>
              <w:rPr>
                <w:rFonts w:hint="eastAsia" w:hAnsi="宋体"/>
                <w:color w:val="auto"/>
              </w:rPr>
              <w:t>请供应商自行登录广东华伦招标有限公司网站“供应商在线服务”查询由系统随机为每个项目每位供应商随机分配的投标保证金缴纳账号</w:t>
            </w:r>
            <w:r>
              <w:rPr>
                <w:rFonts w:hint="eastAsia" w:hAnsi="宋体" w:cs="仿宋"/>
                <w:color w:val="auto"/>
                <w:kern w:val="2"/>
              </w:rPr>
              <w:t>（</w:t>
            </w:r>
            <w:r>
              <w:rPr>
                <w:rFonts w:hint="eastAsia" w:hAnsi="宋体"/>
                <w:b/>
                <w:color w:val="auto"/>
              </w:rPr>
              <w:t>此账号仅限收取投标保证金）</w:t>
            </w:r>
            <w:r>
              <w:rPr>
                <w:rFonts w:hint="eastAsia" w:hAnsi="宋体"/>
                <w:color w:val="auto"/>
              </w:rPr>
              <w:t>。详细操作详见广东华伦招标有限公司网站</w:t>
            </w:r>
            <w:r>
              <w:rPr>
                <w:rFonts w:hint="eastAsia" w:hAnsi="宋体"/>
                <w:color w:val="auto"/>
                <w:u w:val="single"/>
              </w:rPr>
              <w:t>（http:// 120.25.193.109/）</w:t>
            </w:r>
            <w:r>
              <w:rPr>
                <w:rFonts w:hint="eastAsia" w:hAnsi="宋体"/>
                <w:color w:val="auto"/>
              </w:rPr>
              <w:t>“通知公告”栏中《供应商操作指南》。</w:t>
            </w:r>
            <w:r>
              <w:rPr>
                <w:rFonts w:hint="eastAsia" w:ascii="Times New Roman" w:hAnsi="宋体" w:cs="Times New Roman"/>
                <w:color w:val="auto"/>
              </w:rPr>
              <w:t>票据原件可单独封装或放入《开标信封》内，与投标文件同时送达指定的投标文件递交地点，票据复印件或打印件放入投标文件中。</w:t>
            </w:r>
            <w:r>
              <w:rPr>
                <w:rFonts w:hint="eastAsia" w:hAnsi="宋体"/>
                <w:color w:val="auto"/>
              </w:rPr>
              <w:t>注明事由：</w:t>
            </w:r>
            <w:r>
              <w:rPr>
                <w:rFonts w:hint="eastAsia" w:hAnsi="宋体"/>
                <w:b/>
                <w:bCs/>
                <w:color w:val="auto"/>
                <w:u w:val="single"/>
              </w:rPr>
              <w:t>（项目文件编号0809-XXXXXXXXXXXX）</w:t>
            </w:r>
            <w:r>
              <w:rPr>
                <w:rFonts w:hint="eastAsia" w:hAnsi="宋体"/>
                <w:color w:val="auto"/>
              </w:rPr>
              <w:t>投标保证金。</w:t>
            </w:r>
          </w:p>
          <w:p>
            <w:pPr>
              <w:pStyle w:val="27"/>
              <w:spacing w:before="0" w:beforeAutospacing="0" w:after="0" w:afterAutospacing="0" w:line="312" w:lineRule="auto"/>
              <w:ind w:firstLine="420"/>
              <w:rPr>
                <w:rFonts w:cs="宋体"/>
                <w:color w:val="auto"/>
              </w:rPr>
            </w:pPr>
            <w:r>
              <w:rPr>
                <w:rFonts w:hint="eastAsia" w:cs="宋体"/>
                <w:color w:val="auto"/>
              </w:rPr>
              <w:t>③如采用金融机构、担保公司或保险机构开具的投标保函或担保函或保证保险函等形式提交的，保函或担保函或保证保险函须开具给采购人（保险受益人须为采购人），并与投标文件一同递交（原件可单独封装或放在《开标信封》中，复印件或打印件放在投标文件中）。</w:t>
            </w:r>
          </w:p>
          <w:p>
            <w:pPr>
              <w:widowControl/>
              <w:wordWrap w:val="0"/>
              <w:autoSpaceDE w:val="0"/>
              <w:autoSpaceDN w:val="0"/>
              <w:spacing w:line="312" w:lineRule="auto"/>
              <w:ind w:firstLine="480" w:firstLineChars="200"/>
              <w:rPr>
                <w:rFonts w:ascii="宋体" w:hAnsi="宋体"/>
                <w:color w:val="auto"/>
                <w:sz w:val="24"/>
                <w:szCs w:val="24"/>
              </w:rPr>
            </w:pPr>
            <w:r>
              <w:rPr>
                <w:rFonts w:hint="eastAsia" w:ascii="宋体" w:hAnsi="宋体" w:cs="宋体"/>
                <w:color w:val="auto"/>
                <w:kern w:val="0"/>
                <w:sz w:val="24"/>
                <w:szCs w:val="24"/>
              </w:rPr>
              <w:t>如供应商</w:t>
            </w:r>
            <w:r>
              <w:rPr>
                <w:rFonts w:hint="eastAsia" w:ascii="Calibri" w:hAnsi="Calibri" w:cs="宋体"/>
                <w:color w:val="auto"/>
                <w:kern w:val="0"/>
                <w:sz w:val="24"/>
                <w:szCs w:val="24"/>
              </w:rPr>
              <w:t>根据相关规定</w:t>
            </w:r>
            <w:r>
              <w:rPr>
                <w:rFonts w:hint="eastAsia" w:ascii="宋体" w:hAnsi="宋体" w:cs="宋体"/>
                <w:color w:val="auto"/>
                <w:kern w:val="0"/>
                <w:sz w:val="24"/>
                <w:szCs w:val="24"/>
              </w:rPr>
              <w:t>可办理电子保函</w:t>
            </w:r>
            <w:r>
              <w:rPr>
                <w:rFonts w:hint="eastAsia" w:ascii="Calibri" w:hAnsi="Calibri" w:cs="宋体"/>
                <w:color w:val="auto"/>
                <w:kern w:val="0"/>
                <w:sz w:val="24"/>
                <w:szCs w:val="24"/>
              </w:rPr>
              <w:t>的</w:t>
            </w:r>
            <w:r>
              <w:rPr>
                <w:rFonts w:hint="eastAsia" w:ascii="宋体" w:hAnsi="宋体" w:cs="宋体"/>
                <w:color w:val="auto"/>
                <w:kern w:val="0"/>
                <w:sz w:val="24"/>
                <w:szCs w:val="24"/>
              </w:rPr>
              <w:t>，电子保函与纸质保函具有同样效力。供应商须提供电子保函打印件或购买凭证作为核验凭证，并与投标文件一同递交（可单独封装或放在《开标信封》中）。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13"/>
              </w:numPr>
              <w:autoSpaceDE w:val="0"/>
              <w:autoSpaceDN w:val="0"/>
              <w:spacing w:line="312" w:lineRule="auto"/>
              <w:ind w:left="0" w:firstLine="0"/>
              <w:rPr>
                <w:rFonts w:ascii="宋体" w:hAnsi="宋体"/>
                <w:color w:val="auto"/>
                <w:sz w:val="24"/>
                <w:szCs w:val="24"/>
              </w:rPr>
            </w:pPr>
          </w:p>
        </w:tc>
        <w:tc>
          <w:tcPr>
            <w:tcW w:w="1179"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16.1</w:t>
            </w:r>
          </w:p>
        </w:tc>
        <w:tc>
          <w:tcPr>
            <w:tcW w:w="1985"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投标有效期</w:t>
            </w:r>
          </w:p>
        </w:tc>
        <w:tc>
          <w:tcPr>
            <w:tcW w:w="5512" w:type="dxa"/>
            <w:vAlign w:val="center"/>
          </w:tcPr>
          <w:p>
            <w:pPr>
              <w:spacing w:line="312" w:lineRule="auto"/>
              <w:rPr>
                <w:rFonts w:ascii="宋体" w:hAnsi="宋体"/>
                <w:color w:val="auto"/>
                <w:sz w:val="24"/>
                <w:szCs w:val="24"/>
              </w:rPr>
            </w:pPr>
            <w:r>
              <w:rPr>
                <w:rFonts w:hint="eastAsia" w:ascii="宋体" w:hAnsi="宋体"/>
                <w:color w:val="auto"/>
                <w:sz w:val="24"/>
                <w:szCs w:val="24"/>
              </w:rPr>
              <w:t>从提交投标文件的截止之日起</w:t>
            </w:r>
            <w:r>
              <w:rPr>
                <w:rFonts w:hint="eastAsia" w:ascii="宋体" w:hAnsi="宋体"/>
                <w:color w:val="auto"/>
                <w:sz w:val="24"/>
                <w:szCs w:val="24"/>
                <w:u w:val="single"/>
              </w:rPr>
              <w:t>90</w:t>
            </w:r>
            <w:r>
              <w:rPr>
                <w:rFonts w:hint="eastAsia" w:ascii="宋体" w:hAnsi="宋体"/>
                <w:color w:val="auto"/>
                <w:sz w:val="24"/>
                <w:szCs w:val="24"/>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13"/>
              </w:numPr>
              <w:autoSpaceDE w:val="0"/>
              <w:autoSpaceDN w:val="0"/>
              <w:spacing w:line="312" w:lineRule="auto"/>
              <w:ind w:left="0" w:firstLine="0"/>
              <w:rPr>
                <w:rFonts w:ascii="宋体" w:hAnsi="宋体"/>
                <w:color w:val="auto"/>
                <w:sz w:val="24"/>
                <w:szCs w:val="24"/>
              </w:rPr>
            </w:pPr>
          </w:p>
        </w:tc>
        <w:tc>
          <w:tcPr>
            <w:tcW w:w="1179"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17.1；17.4；17.5</w:t>
            </w:r>
          </w:p>
        </w:tc>
        <w:tc>
          <w:tcPr>
            <w:tcW w:w="1985" w:type="dxa"/>
            <w:vAlign w:val="center"/>
          </w:tcPr>
          <w:p>
            <w:pPr>
              <w:autoSpaceDE w:val="0"/>
              <w:autoSpaceDN w:val="0"/>
              <w:spacing w:line="312" w:lineRule="auto"/>
              <w:jc w:val="left"/>
              <w:rPr>
                <w:rFonts w:ascii="宋体" w:hAnsi="宋体"/>
                <w:color w:val="auto"/>
                <w:sz w:val="24"/>
                <w:szCs w:val="24"/>
              </w:rPr>
            </w:pPr>
            <w:r>
              <w:rPr>
                <w:rFonts w:hint="eastAsia" w:ascii="宋体" w:hAnsi="宋体"/>
                <w:color w:val="auto"/>
                <w:sz w:val="24"/>
                <w:szCs w:val="24"/>
              </w:rPr>
              <w:t>投标文件组成及份数；</w:t>
            </w:r>
          </w:p>
          <w:p>
            <w:pPr>
              <w:autoSpaceDE w:val="0"/>
              <w:autoSpaceDN w:val="0"/>
              <w:spacing w:line="312" w:lineRule="auto"/>
              <w:jc w:val="left"/>
              <w:rPr>
                <w:rFonts w:ascii="宋体" w:hAnsi="宋体"/>
                <w:color w:val="auto"/>
                <w:sz w:val="24"/>
                <w:szCs w:val="24"/>
              </w:rPr>
            </w:pPr>
            <w:r>
              <w:rPr>
                <w:rFonts w:hint="eastAsia" w:ascii="宋体" w:hAnsi="宋体"/>
                <w:color w:val="auto"/>
                <w:sz w:val="24"/>
                <w:szCs w:val="24"/>
              </w:rPr>
              <w:t>投标文件的封装</w:t>
            </w:r>
          </w:p>
        </w:tc>
        <w:tc>
          <w:tcPr>
            <w:tcW w:w="5512" w:type="dxa"/>
            <w:vAlign w:val="center"/>
          </w:tcPr>
          <w:p>
            <w:pPr>
              <w:spacing w:line="312" w:lineRule="auto"/>
              <w:rPr>
                <w:rFonts w:ascii="宋体" w:hAnsi="宋体"/>
                <w:color w:val="auto"/>
                <w:sz w:val="24"/>
                <w:szCs w:val="24"/>
              </w:rPr>
            </w:pPr>
          </w:p>
          <w:tbl>
            <w:tblPr>
              <w:tblStyle w:val="29"/>
              <w:tblW w:w="0" w:type="auto"/>
              <w:tblInd w:w="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621"/>
              <w:gridCol w:w="1134"/>
              <w:gridCol w:w="1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687" w:type="dxa"/>
                </w:tcPr>
                <w:p>
                  <w:pPr>
                    <w:jc w:val="center"/>
                    <w:rPr>
                      <w:rFonts w:ascii="宋体" w:hAnsi="宋体"/>
                      <w:b/>
                      <w:color w:val="auto"/>
                      <w:szCs w:val="21"/>
                    </w:rPr>
                  </w:pPr>
                  <w:r>
                    <w:rPr>
                      <w:rFonts w:hint="eastAsia" w:ascii="宋体" w:hAnsi="宋体"/>
                      <w:b/>
                      <w:color w:val="auto"/>
                      <w:szCs w:val="21"/>
                    </w:rPr>
                    <w:t>序号</w:t>
                  </w:r>
                </w:p>
              </w:tc>
              <w:tc>
                <w:tcPr>
                  <w:tcW w:w="1621" w:type="dxa"/>
                </w:tcPr>
                <w:p>
                  <w:pPr>
                    <w:jc w:val="center"/>
                    <w:rPr>
                      <w:rFonts w:ascii="宋体" w:hAnsi="宋体"/>
                      <w:b/>
                      <w:color w:val="auto"/>
                      <w:szCs w:val="21"/>
                    </w:rPr>
                  </w:pPr>
                  <w:r>
                    <w:rPr>
                      <w:rFonts w:hint="eastAsia" w:ascii="宋体" w:hAnsi="宋体"/>
                      <w:b/>
                      <w:color w:val="auto"/>
                      <w:szCs w:val="21"/>
                    </w:rPr>
                    <w:t>投标文件组成</w:t>
                  </w:r>
                </w:p>
              </w:tc>
              <w:tc>
                <w:tcPr>
                  <w:tcW w:w="1134" w:type="dxa"/>
                </w:tcPr>
                <w:p>
                  <w:pPr>
                    <w:jc w:val="center"/>
                    <w:rPr>
                      <w:rFonts w:ascii="宋体" w:hAnsi="宋体"/>
                      <w:b/>
                      <w:color w:val="auto"/>
                      <w:szCs w:val="21"/>
                    </w:rPr>
                  </w:pPr>
                  <w:r>
                    <w:rPr>
                      <w:rFonts w:hint="eastAsia" w:ascii="宋体" w:hAnsi="宋体"/>
                      <w:b/>
                      <w:color w:val="auto"/>
                      <w:szCs w:val="21"/>
                    </w:rPr>
                    <w:t>数量</w:t>
                  </w:r>
                </w:p>
              </w:tc>
              <w:tc>
                <w:tcPr>
                  <w:tcW w:w="1807" w:type="dxa"/>
                </w:tcPr>
                <w:p>
                  <w:pPr>
                    <w:jc w:val="center"/>
                    <w:rPr>
                      <w:rFonts w:ascii="宋体" w:hAnsi="宋体"/>
                      <w:b/>
                      <w:color w:val="auto"/>
                      <w:szCs w:val="21"/>
                    </w:rPr>
                  </w:pPr>
                  <w:r>
                    <w:rPr>
                      <w:rFonts w:hint="eastAsia" w:ascii="宋体" w:hAnsi="宋体"/>
                      <w:b/>
                      <w:color w:val="auto"/>
                      <w:szCs w:val="21"/>
                    </w:rPr>
                    <w:t>封装要求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 w:hRule="atLeast"/>
              </w:trPr>
              <w:tc>
                <w:tcPr>
                  <w:tcW w:w="687" w:type="dxa"/>
                  <w:vMerge w:val="restart"/>
                  <w:vAlign w:val="center"/>
                </w:tcPr>
                <w:p>
                  <w:pPr>
                    <w:jc w:val="center"/>
                    <w:rPr>
                      <w:rFonts w:ascii="宋体" w:hAnsi="宋体"/>
                      <w:color w:val="auto"/>
                      <w:szCs w:val="21"/>
                    </w:rPr>
                  </w:pPr>
                  <w:r>
                    <w:rPr>
                      <w:rFonts w:hint="eastAsia" w:ascii="宋体" w:hAnsi="宋体"/>
                      <w:color w:val="auto"/>
                      <w:szCs w:val="21"/>
                    </w:rPr>
                    <w:t>1</w:t>
                  </w:r>
                </w:p>
              </w:tc>
              <w:tc>
                <w:tcPr>
                  <w:tcW w:w="1621" w:type="dxa"/>
                  <w:vAlign w:val="center"/>
                </w:tcPr>
                <w:p>
                  <w:pPr>
                    <w:jc w:val="center"/>
                    <w:rPr>
                      <w:rFonts w:ascii="宋体" w:hAnsi="宋体"/>
                      <w:color w:val="auto"/>
                      <w:szCs w:val="21"/>
                    </w:rPr>
                  </w:pPr>
                  <w:r>
                    <w:rPr>
                      <w:rFonts w:hint="eastAsia" w:ascii="宋体" w:hAnsi="宋体"/>
                      <w:color w:val="auto"/>
                      <w:szCs w:val="21"/>
                    </w:rPr>
                    <w:t>纸质正本</w:t>
                  </w:r>
                </w:p>
              </w:tc>
              <w:tc>
                <w:tcPr>
                  <w:tcW w:w="1134" w:type="dxa"/>
                  <w:vAlign w:val="center"/>
                </w:tcPr>
                <w:p>
                  <w:pPr>
                    <w:jc w:val="center"/>
                    <w:rPr>
                      <w:rFonts w:ascii="宋体" w:hAnsi="宋体"/>
                      <w:color w:val="auto"/>
                      <w:szCs w:val="21"/>
                    </w:rPr>
                  </w:pPr>
                  <w:r>
                    <w:rPr>
                      <w:rFonts w:hint="eastAsia" w:ascii="宋体" w:hAnsi="宋体"/>
                      <w:color w:val="auto"/>
                      <w:szCs w:val="21"/>
                    </w:rPr>
                    <w:t>1份</w:t>
                  </w:r>
                </w:p>
              </w:tc>
              <w:tc>
                <w:tcPr>
                  <w:tcW w:w="1807" w:type="dxa"/>
                  <w:vMerge w:val="restart"/>
                  <w:vAlign w:val="center"/>
                </w:tcPr>
                <w:p>
                  <w:pPr>
                    <w:jc w:val="center"/>
                    <w:rPr>
                      <w:rFonts w:ascii="宋体" w:hAnsi="宋体"/>
                      <w:color w:val="auto"/>
                      <w:szCs w:val="21"/>
                    </w:rPr>
                  </w:pPr>
                  <w:r>
                    <w:rPr>
                      <w:rFonts w:hint="eastAsia" w:ascii="宋体" w:hAnsi="宋体"/>
                      <w:color w:val="auto"/>
                      <w:szCs w:val="21"/>
                    </w:rPr>
                    <w:t>一个包装</w:t>
                  </w:r>
                </w:p>
                <w:p>
                  <w:pPr>
                    <w:jc w:val="center"/>
                    <w:rPr>
                      <w:rFonts w:ascii="宋体" w:hAnsi="宋体"/>
                      <w:color w:val="auto"/>
                      <w:szCs w:val="21"/>
                    </w:rPr>
                  </w:pPr>
                  <w:r>
                    <w:rPr>
                      <w:rFonts w:hint="eastAsia" w:ascii="宋体" w:hAnsi="宋体"/>
                      <w:color w:val="auto"/>
                      <w:szCs w:val="21"/>
                    </w:rPr>
                    <w:t>（封装在一起）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 w:hRule="atLeast"/>
              </w:trPr>
              <w:tc>
                <w:tcPr>
                  <w:tcW w:w="687" w:type="dxa"/>
                  <w:vMerge w:val="continue"/>
                  <w:vAlign w:val="center"/>
                </w:tcPr>
                <w:p>
                  <w:pPr>
                    <w:jc w:val="center"/>
                    <w:rPr>
                      <w:rFonts w:ascii="宋体" w:hAnsi="宋体"/>
                      <w:color w:val="auto"/>
                      <w:szCs w:val="21"/>
                    </w:rPr>
                  </w:pPr>
                </w:p>
              </w:tc>
              <w:tc>
                <w:tcPr>
                  <w:tcW w:w="1621" w:type="dxa"/>
                  <w:vAlign w:val="center"/>
                </w:tcPr>
                <w:p>
                  <w:pPr>
                    <w:jc w:val="center"/>
                    <w:rPr>
                      <w:rFonts w:ascii="宋体" w:hAnsi="宋体"/>
                      <w:color w:val="auto"/>
                      <w:szCs w:val="21"/>
                    </w:rPr>
                  </w:pPr>
                  <w:r>
                    <w:rPr>
                      <w:rFonts w:hint="eastAsia" w:ascii="宋体" w:hAnsi="宋体"/>
                      <w:color w:val="auto"/>
                      <w:szCs w:val="21"/>
                    </w:rPr>
                    <w:t>电子文件</w:t>
                  </w:r>
                </w:p>
              </w:tc>
              <w:tc>
                <w:tcPr>
                  <w:tcW w:w="1134" w:type="dxa"/>
                  <w:vAlign w:val="center"/>
                </w:tcPr>
                <w:p>
                  <w:pPr>
                    <w:jc w:val="center"/>
                    <w:rPr>
                      <w:rFonts w:ascii="宋体" w:hAnsi="宋体"/>
                      <w:color w:val="auto"/>
                      <w:szCs w:val="21"/>
                    </w:rPr>
                  </w:pPr>
                  <w:r>
                    <w:rPr>
                      <w:rFonts w:hint="eastAsia" w:ascii="宋体" w:hAnsi="宋体"/>
                      <w:color w:val="auto"/>
                      <w:szCs w:val="21"/>
                    </w:rPr>
                    <w:t>1份</w:t>
                  </w:r>
                </w:p>
              </w:tc>
              <w:tc>
                <w:tcPr>
                  <w:tcW w:w="1807" w:type="dxa"/>
                  <w:vMerge w:val="continue"/>
                  <w:vAlign w:val="center"/>
                </w:tcPr>
                <w:p>
                  <w:pPr>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 w:hRule="atLeast"/>
              </w:trPr>
              <w:tc>
                <w:tcPr>
                  <w:tcW w:w="687" w:type="dxa"/>
                  <w:vAlign w:val="center"/>
                </w:tcPr>
                <w:p>
                  <w:pPr>
                    <w:jc w:val="center"/>
                    <w:rPr>
                      <w:rFonts w:ascii="宋体" w:hAnsi="宋体"/>
                      <w:color w:val="auto"/>
                      <w:szCs w:val="21"/>
                    </w:rPr>
                  </w:pPr>
                  <w:r>
                    <w:rPr>
                      <w:rFonts w:hint="eastAsia" w:ascii="宋体" w:hAnsi="宋体"/>
                      <w:color w:val="auto"/>
                      <w:szCs w:val="21"/>
                    </w:rPr>
                    <w:t>2</w:t>
                  </w:r>
                </w:p>
              </w:tc>
              <w:tc>
                <w:tcPr>
                  <w:tcW w:w="1621" w:type="dxa"/>
                  <w:vAlign w:val="center"/>
                </w:tcPr>
                <w:p>
                  <w:pPr>
                    <w:jc w:val="center"/>
                    <w:rPr>
                      <w:rFonts w:ascii="宋体" w:hAnsi="宋体"/>
                      <w:color w:val="auto"/>
                      <w:szCs w:val="21"/>
                    </w:rPr>
                  </w:pPr>
                  <w:r>
                    <w:rPr>
                      <w:rFonts w:hint="eastAsia" w:ascii="宋体" w:hAnsi="宋体"/>
                      <w:color w:val="auto"/>
                      <w:szCs w:val="21"/>
                    </w:rPr>
                    <w:t>纸质副本</w:t>
                  </w:r>
                </w:p>
              </w:tc>
              <w:tc>
                <w:tcPr>
                  <w:tcW w:w="1134" w:type="dxa"/>
                  <w:vAlign w:val="center"/>
                </w:tcPr>
                <w:p>
                  <w:pPr>
                    <w:jc w:val="center"/>
                    <w:rPr>
                      <w:rFonts w:ascii="宋体" w:hAnsi="宋体"/>
                      <w:color w:val="auto"/>
                      <w:szCs w:val="21"/>
                    </w:rPr>
                  </w:pPr>
                  <w:r>
                    <w:rPr>
                      <w:rFonts w:hint="eastAsia" w:ascii="宋体" w:hAnsi="宋体"/>
                      <w:color w:val="auto"/>
                      <w:szCs w:val="21"/>
                    </w:rPr>
                    <w:t>6份</w:t>
                  </w:r>
                </w:p>
              </w:tc>
              <w:tc>
                <w:tcPr>
                  <w:tcW w:w="1807" w:type="dxa"/>
                  <w:vAlign w:val="center"/>
                </w:tcPr>
                <w:p>
                  <w:pPr>
                    <w:jc w:val="center"/>
                    <w:rPr>
                      <w:rFonts w:ascii="宋体" w:hAnsi="宋体"/>
                      <w:color w:val="auto"/>
                      <w:szCs w:val="21"/>
                    </w:rPr>
                  </w:pPr>
                  <w:r>
                    <w:rPr>
                      <w:rFonts w:hint="eastAsia" w:ascii="宋体" w:hAnsi="宋体"/>
                      <w:color w:val="auto"/>
                      <w:szCs w:val="21"/>
                    </w:rPr>
                    <w:t>一个或多个包装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 w:hRule="atLeast"/>
              </w:trPr>
              <w:tc>
                <w:tcPr>
                  <w:tcW w:w="687" w:type="dxa"/>
                  <w:vAlign w:val="center"/>
                </w:tcPr>
                <w:p>
                  <w:pPr>
                    <w:jc w:val="center"/>
                    <w:rPr>
                      <w:rFonts w:ascii="宋体" w:hAnsi="宋体"/>
                      <w:color w:val="auto"/>
                      <w:szCs w:val="21"/>
                    </w:rPr>
                  </w:pPr>
                  <w:r>
                    <w:rPr>
                      <w:rFonts w:hint="eastAsia" w:ascii="宋体" w:hAnsi="宋体"/>
                      <w:color w:val="auto"/>
                      <w:szCs w:val="21"/>
                    </w:rPr>
                    <w:t>3</w:t>
                  </w:r>
                </w:p>
              </w:tc>
              <w:tc>
                <w:tcPr>
                  <w:tcW w:w="1621" w:type="dxa"/>
                  <w:vAlign w:val="center"/>
                </w:tcPr>
                <w:p>
                  <w:pPr>
                    <w:jc w:val="center"/>
                    <w:rPr>
                      <w:rFonts w:ascii="宋体" w:hAnsi="宋体"/>
                      <w:color w:val="auto"/>
                      <w:szCs w:val="21"/>
                    </w:rPr>
                  </w:pPr>
                  <w:r>
                    <w:rPr>
                      <w:rFonts w:hint="eastAsia" w:ascii="宋体" w:hAnsi="宋体"/>
                      <w:color w:val="auto"/>
                      <w:szCs w:val="21"/>
                    </w:rPr>
                    <w:t>开标信封</w:t>
                  </w:r>
                </w:p>
              </w:tc>
              <w:tc>
                <w:tcPr>
                  <w:tcW w:w="1134" w:type="dxa"/>
                  <w:vAlign w:val="center"/>
                </w:tcPr>
                <w:p>
                  <w:pPr>
                    <w:jc w:val="center"/>
                    <w:rPr>
                      <w:rFonts w:ascii="宋体" w:hAnsi="宋体"/>
                      <w:color w:val="auto"/>
                      <w:szCs w:val="21"/>
                    </w:rPr>
                  </w:pPr>
                  <w:r>
                    <w:rPr>
                      <w:rFonts w:hint="eastAsia" w:ascii="宋体" w:hAnsi="宋体"/>
                      <w:color w:val="auto"/>
                      <w:szCs w:val="21"/>
                    </w:rPr>
                    <w:t>1份</w:t>
                  </w:r>
                </w:p>
              </w:tc>
              <w:tc>
                <w:tcPr>
                  <w:tcW w:w="1807" w:type="dxa"/>
                  <w:vAlign w:val="center"/>
                </w:tcPr>
                <w:p>
                  <w:pPr>
                    <w:jc w:val="center"/>
                    <w:rPr>
                      <w:rFonts w:ascii="宋体" w:hAnsi="宋体"/>
                      <w:color w:val="auto"/>
                      <w:szCs w:val="21"/>
                    </w:rPr>
                  </w:pPr>
                  <w:r>
                    <w:rPr>
                      <w:rFonts w:hint="eastAsia" w:ascii="宋体" w:hAnsi="宋体"/>
                      <w:color w:val="auto"/>
                      <w:szCs w:val="21"/>
                    </w:rPr>
                    <w:t>一个包装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 w:hRule="atLeast"/>
              </w:trPr>
              <w:tc>
                <w:tcPr>
                  <w:tcW w:w="687" w:type="dxa"/>
                  <w:vMerge w:val="restart"/>
                  <w:vAlign w:val="center"/>
                </w:tcPr>
                <w:p>
                  <w:pPr>
                    <w:jc w:val="center"/>
                    <w:rPr>
                      <w:rFonts w:ascii="宋体" w:hAnsi="宋体"/>
                      <w:color w:val="auto"/>
                      <w:szCs w:val="21"/>
                    </w:rPr>
                  </w:pPr>
                  <w:r>
                    <w:rPr>
                      <w:rFonts w:hint="eastAsia" w:ascii="宋体" w:hAnsi="宋体"/>
                      <w:color w:val="auto"/>
                      <w:szCs w:val="21"/>
                    </w:rPr>
                    <w:t>4</w:t>
                  </w:r>
                </w:p>
              </w:tc>
              <w:tc>
                <w:tcPr>
                  <w:tcW w:w="1621" w:type="dxa"/>
                  <w:vMerge w:val="restart"/>
                  <w:vAlign w:val="center"/>
                </w:tcPr>
                <w:p>
                  <w:pPr>
                    <w:jc w:val="center"/>
                    <w:rPr>
                      <w:rFonts w:ascii="宋体" w:hAnsi="宋体"/>
                      <w:color w:val="auto"/>
                      <w:szCs w:val="21"/>
                    </w:rPr>
                  </w:pPr>
                  <w:r>
                    <w:rPr>
                      <w:rFonts w:hint="eastAsia" w:ascii="宋体" w:hAnsi="宋体"/>
                      <w:color w:val="auto"/>
                      <w:szCs w:val="21"/>
                    </w:rPr>
                    <w:t>投标样品</w:t>
                  </w:r>
                </w:p>
              </w:tc>
              <w:tc>
                <w:tcPr>
                  <w:tcW w:w="1134" w:type="dxa"/>
                  <w:vAlign w:val="center"/>
                </w:tcPr>
                <w:p>
                  <w:pPr>
                    <w:jc w:val="left"/>
                    <w:rPr>
                      <w:rFonts w:ascii="宋体" w:hAnsi="宋体"/>
                      <w:color w:val="auto"/>
                      <w:szCs w:val="21"/>
                    </w:rPr>
                  </w:pPr>
                  <w:r>
                    <w:rPr>
                      <w:rFonts w:hint="eastAsia" w:ascii="宋体" w:hAnsi="宋体"/>
                      <w:color w:val="auto"/>
                      <w:szCs w:val="21"/>
                    </w:rPr>
                    <w:t>☑不要求</w:t>
                  </w:r>
                </w:p>
              </w:tc>
              <w:tc>
                <w:tcPr>
                  <w:tcW w:w="1807" w:type="dxa"/>
                  <w:vAlign w:val="center"/>
                </w:tcPr>
                <w:p>
                  <w:pPr>
                    <w:jc w:val="center"/>
                    <w:rPr>
                      <w:rFonts w:ascii="宋体" w:hAnsi="宋体"/>
                      <w:color w:val="auto"/>
                      <w:szCs w:val="21"/>
                    </w:rPr>
                  </w:pPr>
                  <w:r>
                    <w:rPr>
                      <w:rFonts w:hint="eastAsia" w:ascii="宋体" w:hAnsi="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 w:hRule="atLeast"/>
              </w:trPr>
              <w:tc>
                <w:tcPr>
                  <w:tcW w:w="687" w:type="dxa"/>
                  <w:vMerge w:val="continue"/>
                  <w:vAlign w:val="center"/>
                </w:tcPr>
                <w:p>
                  <w:pPr>
                    <w:jc w:val="center"/>
                    <w:rPr>
                      <w:rFonts w:ascii="宋体" w:hAnsi="宋体"/>
                      <w:color w:val="auto"/>
                      <w:szCs w:val="21"/>
                    </w:rPr>
                  </w:pPr>
                </w:p>
              </w:tc>
              <w:tc>
                <w:tcPr>
                  <w:tcW w:w="1621" w:type="dxa"/>
                  <w:vMerge w:val="continue"/>
                  <w:vAlign w:val="center"/>
                </w:tcPr>
                <w:p>
                  <w:pPr>
                    <w:jc w:val="center"/>
                    <w:rPr>
                      <w:rFonts w:ascii="宋体" w:hAnsi="宋体"/>
                      <w:color w:val="auto"/>
                      <w:szCs w:val="21"/>
                    </w:rPr>
                  </w:pPr>
                </w:p>
              </w:tc>
              <w:tc>
                <w:tcPr>
                  <w:tcW w:w="1134" w:type="dxa"/>
                  <w:vAlign w:val="center"/>
                </w:tcPr>
                <w:p>
                  <w:pPr>
                    <w:jc w:val="left"/>
                    <w:rPr>
                      <w:rFonts w:ascii="宋体" w:hAnsi="宋体"/>
                      <w:color w:val="auto"/>
                      <w:szCs w:val="21"/>
                    </w:rPr>
                  </w:pPr>
                  <w:r>
                    <w:rPr>
                      <w:rFonts w:hint="eastAsia" w:ascii="宋体" w:hAnsi="宋体"/>
                      <w:color w:val="auto"/>
                      <w:szCs w:val="21"/>
                    </w:rPr>
                    <w:t>□要求</w:t>
                  </w:r>
                </w:p>
              </w:tc>
              <w:tc>
                <w:tcPr>
                  <w:tcW w:w="1807" w:type="dxa"/>
                  <w:vAlign w:val="center"/>
                </w:tcPr>
                <w:p>
                  <w:pPr>
                    <w:jc w:val="center"/>
                    <w:rPr>
                      <w:rFonts w:ascii="宋体" w:hAnsi="宋体"/>
                      <w:color w:val="auto"/>
                      <w:szCs w:val="21"/>
                    </w:rPr>
                  </w:pPr>
                  <w:r>
                    <w:rPr>
                      <w:rFonts w:hint="eastAsia" w:ascii="宋体" w:hAnsi="宋体"/>
                      <w:color w:val="auto"/>
                      <w:szCs w:val="21"/>
                    </w:rPr>
                    <w:t>一个或多个包装</w:t>
                  </w:r>
                </w:p>
              </w:tc>
            </w:tr>
          </w:tbl>
          <w:p>
            <w:pPr>
              <w:rPr>
                <w:rFonts w:ascii="宋体" w:hAnsi="宋体"/>
                <w:color w:val="auto"/>
                <w:sz w:val="24"/>
                <w:szCs w:val="24"/>
              </w:rPr>
            </w:pPr>
            <w:r>
              <w:rPr>
                <w:rFonts w:hint="eastAsia" w:ascii="宋体" w:hAnsi="宋体"/>
                <w:color w:val="auto"/>
                <w:sz w:val="24"/>
                <w:szCs w:val="24"/>
              </w:rPr>
              <w:t>备注：</w:t>
            </w:r>
          </w:p>
          <w:p>
            <w:pPr>
              <w:rPr>
                <w:rFonts w:ascii="宋体" w:hAnsi="宋体"/>
                <w:color w:val="auto"/>
                <w:sz w:val="24"/>
                <w:szCs w:val="24"/>
              </w:rPr>
            </w:pPr>
            <w:r>
              <w:rPr>
                <w:rFonts w:hint="eastAsia" w:ascii="宋体" w:hAnsi="宋体"/>
                <w:color w:val="auto"/>
                <w:sz w:val="24"/>
                <w:szCs w:val="24"/>
              </w:rPr>
              <w:t>1.电子文件采用光盘或U盘，详见第17.3条。</w:t>
            </w:r>
          </w:p>
          <w:p>
            <w:pPr>
              <w:rPr>
                <w:rFonts w:ascii="宋体" w:hAnsi="宋体"/>
                <w:color w:val="auto"/>
                <w:sz w:val="24"/>
                <w:szCs w:val="24"/>
              </w:rPr>
            </w:pPr>
            <w:r>
              <w:rPr>
                <w:rFonts w:hint="eastAsia" w:ascii="宋体" w:hAnsi="宋体"/>
                <w:color w:val="auto"/>
                <w:sz w:val="24"/>
                <w:szCs w:val="24"/>
              </w:rPr>
              <w:t>2.投标样品（如要求）详见《采购需求》。</w:t>
            </w:r>
          </w:p>
          <w:p>
            <w:pPr>
              <w:rPr>
                <w:rFonts w:ascii="宋体" w:hAnsi="宋体"/>
                <w:color w:val="auto"/>
                <w:sz w:val="24"/>
                <w:szCs w:val="24"/>
              </w:rPr>
            </w:pPr>
            <w:r>
              <w:rPr>
                <w:rFonts w:hint="eastAsia" w:ascii="宋体" w:hAnsi="宋体"/>
                <w:color w:val="auto"/>
                <w:sz w:val="24"/>
                <w:szCs w:val="24"/>
              </w:rPr>
              <w:t>3.所有包装封面标注要求详见第17.5条。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13"/>
              </w:numPr>
              <w:autoSpaceDE w:val="0"/>
              <w:autoSpaceDN w:val="0"/>
              <w:spacing w:line="312" w:lineRule="auto"/>
              <w:ind w:left="0" w:firstLine="0"/>
              <w:rPr>
                <w:rFonts w:ascii="宋体" w:hAnsi="宋体"/>
                <w:color w:val="auto"/>
                <w:sz w:val="24"/>
                <w:szCs w:val="24"/>
              </w:rPr>
            </w:pPr>
          </w:p>
        </w:tc>
        <w:tc>
          <w:tcPr>
            <w:tcW w:w="1179"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17.2</w:t>
            </w:r>
          </w:p>
        </w:tc>
        <w:tc>
          <w:tcPr>
            <w:tcW w:w="1985" w:type="dxa"/>
            <w:vAlign w:val="center"/>
          </w:tcPr>
          <w:p>
            <w:pPr>
              <w:autoSpaceDE w:val="0"/>
              <w:autoSpaceDN w:val="0"/>
              <w:spacing w:line="312" w:lineRule="auto"/>
              <w:jc w:val="left"/>
              <w:rPr>
                <w:rFonts w:ascii="宋体" w:hAnsi="宋体"/>
                <w:color w:val="auto"/>
                <w:sz w:val="24"/>
                <w:szCs w:val="24"/>
              </w:rPr>
            </w:pPr>
            <w:r>
              <w:rPr>
                <w:rFonts w:hint="eastAsia" w:ascii="宋体" w:hAnsi="宋体"/>
                <w:color w:val="auto"/>
                <w:sz w:val="24"/>
                <w:szCs w:val="24"/>
              </w:rPr>
              <w:t>投标文件盖章、签署</w:t>
            </w:r>
          </w:p>
        </w:tc>
        <w:tc>
          <w:tcPr>
            <w:tcW w:w="5512" w:type="dxa"/>
            <w:vAlign w:val="center"/>
          </w:tcPr>
          <w:p>
            <w:pPr>
              <w:rPr>
                <w:rFonts w:ascii="宋体" w:hAnsi="宋体"/>
                <w:color w:val="auto"/>
                <w:kern w:val="0"/>
                <w:sz w:val="24"/>
                <w:szCs w:val="24"/>
              </w:rPr>
            </w:pPr>
            <w:r>
              <w:rPr>
                <w:rFonts w:hint="eastAsia" w:ascii="宋体" w:hAnsi="宋体"/>
                <w:color w:val="auto"/>
                <w:sz w:val="24"/>
                <w:szCs w:val="24"/>
              </w:rPr>
              <w:t>1.如接受联合体投标的：</w:t>
            </w:r>
            <w:r>
              <w:rPr>
                <w:rFonts w:hint="eastAsia" w:ascii="宋体" w:hAnsi="宋体"/>
                <w:color w:val="auto"/>
                <w:kern w:val="0"/>
                <w:sz w:val="24"/>
                <w:szCs w:val="24"/>
              </w:rPr>
              <w:t>详见第13.5条。</w:t>
            </w:r>
          </w:p>
          <w:p>
            <w:pPr>
              <w:rPr>
                <w:rStyle w:val="56"/>
                <w:rFonts w:ascii="Calibri" w:hAnsi="宋体"/>
                <w:color w:val="auto"/>
                <w:sz w:val="24"/>
                <w:szCs w:val="24"/>
              </w:rPr>
            </w:pPr>
            <w:r>
              <w:rPr>
                <w:rFonts w:hint="eastAsia" w:ascii="宋体" w:hAnsi="宋体"/>
                <w:color w:val="auto"/>
                <w:sz w:val="24"/>
                <w:szCs w:val="24"/>
              </w:rPr>
              <w:t>2.如</w:t>
            </w:r>
            <w:r>
              <w:rPr>
                <w:rStyle w:val="56"/>
                <w:rFonts w:hint="eastAsia" w:ascii="Calibri" w:hAnsi="宋体"/>
                <w:color w:val="auto"/>
                <w:sz w:val="24"/>
                <w:szCs w:val="24"/>
              </w:rPr>
              <w:t>接受分支机构投标的：详见第14.4条、17.6条。</w:t>
            </w:r>
          </w:p>
          <w:p>
            <w:pPr>
              <w:rPr>
                <w:rFonts w:ascii="宋体" w:hAnsi="宋体"/>
                <w:color w:val="auto"/>
                <w:sz w:val="24"/>
                <w:szCs w:val="24"/>
              </w:rPr>
            </w:pPr>
            <w:r>
              <w:rPr>
                <w:rStyle w:val="56"/>
                <w:rFonts w:hint="eastAsia" w:ascii="Calibri" w:hAnsi="宋体"/>
                <w:color w:val="auto"/>
                <w:sz w:val="24"/>
                <w:szCs w:val="24"/>
              </w:rPr>
              <w:t>3.如要求以合同分包形式投标的：详见第17.6条。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13"/>
              </w:numPr>
              <w:autoSpaceDE w:val="0"/>
              <w:autoSpaceDN w:val="0"/>
              <w:spacing w:line="312" w:lineRule="auto"/>
              <w:ind w:left="0" w:firstLine="0"/>
              <w:rPr>
                <w:rFonts w:ascii="宋体" w:hAnsi="宋体"/>
                <w:color w:val="auto"/>
                <w:sz w:val="24"/>
                <w:szCs w:val="24"/>
              </w:rPr>
            </w:pPr>
          </w:p>
        </w:tc>
        <w:tc>
          <w:tcPr>
            <w:tcW w:w="1179"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20.2</w:t>
            </w:r>
          </w:p>
        </w:tc>
        <w:tc>
          <w:tcPr>
            <w:tcW w:w="1985"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是否授权评标委员会确定中标人</w:t>
            </w:r>
          </w:p>
        </w:tc>
        <w:tc>
          <w:tcPr>
            <w:tcW w:w="5512" w:type="dxa"/>
            <w:vAlign w:val="center"/>
          </w:tcPr>
          <w:p>
            <w:pPr>
              <w:autoSpaceDE w:val="0"/>
              <w:autoSpaceDN w:val="0"/>
              <w:spacing w:line="312" w:lineRule="auto"/>
              <w:rPr>
                <w:rFonts w:ascii="宋体" w:hAnsi="宋体"/>
                <w:color w:val="auto"/>
                <w:sz w:val="24"/>
                <w:szCs w:val="24"/>
              </w:rPr>
            </w:pPr>
            <w:r>
              <w:rPr>
                <w:rFonts w:hint="eastAsia" w:ascii="宋体" w:hAnsi="宋体"/>
                <w:color w:val="auto"/>
                <w:sz w:val="24"/>
                <w:szCs w:val="24"/>
              </w:rPr>
              <w:t>☑否</w:t>
            </w:r>
          </w:p>
          <w:p>
            <w:pPr>
              <w:autoSpaceDE w:val="0"/>
              <w:autoSpaceDN w:val="0"/>
              <w:spacing w:line="312" w:lineRule="auto"/>
              <w:rPr>
                <w:rFonts w:ascii="宋体" w:hAnsi="宋体"/>
                <w:color w:val="auto"/>
                <w:sz w:val="24"/>
                <w:szCs w:val="24"/>
              </w:rPr>
            </w:pPr>
            <w:r>
              <w:rPr>
                <w:rFonts w:hint="eastAsia" w:ascii="宋体" w:hAnsi="宋体"/>
                <w:color w:val="auto"/>
                <w:sz w:val="24"/>
                <w:szCs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13"/>
              </w:numPr>
              <w:autoSpaceDE w:val="0"/>
              <w:autoSpaceDN w:val="0"/>
              <w:spacing w:line="312" w:lineRule="auto"/>
              <w:ind w:left="0" w:firstLine="0"/>
              <w:rPr>
                <w:rFonts w:ascii="宋体" w:hAnsi="宋体"/>
                <w:color w:val="auto"/>
                <w:sz w:val="24"/>
                <w:szCs w:val="24"/>
              </w:rPr>
            </w:pPr>
          </w:p>
        </w:tc>
        <w:tc>
          <w:tcPr>
            <w:tcW w:w="1179"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21.1</w:t>
            </w:r>
          </w:p>
        </w:tc>
        <w:tc>
          <w:tcPr>
            <w:tcW w:w="1985" w:type="dxa"/>
            <w:vAlign w:val="center"/>
          </w:tcPr>
          <w:p>
            <w:pPr>
              <w:autoSpaceDE w:val="0"/>
              <w:autoSpaceDN w:val="0"/>
              <w:spacing w:line="312" w:lineRule="auto"/>
              <w:rPr>
                <w:rFonts w:ascii="宋体" w:hAnsi="宋体"/>
                <w:color w:val="auto"/>
                <w:sz w:val="24"/>
                <w:szCs w:val="24"/>
              </w:rPr>
            </w:pPr>
            <w:r>
              <w:rPr>
                <w:rFonts w:hint="eastAsia" w:ascii="宋体" w:hAnsi="宋体"/>
                <w:color w:val="auto"/>
                <w:sz w:val="24"/>
                <w:szCs w:val="24"/>
              </w:rPr>
              <w:t>合同签订时间</w:t>
            </w:r>
          </w:p>
        </w:tc>
        <w:tc>
          <w:tcPr>
            <w:tcW w:w="5512" w:type="dxa"/>
            <w:vAlign w:val="center"/>
          </w:tcPr>
          <w:p>
            <w:pPr>
              <w:autoSpaceDE w:val="0"/>
              <w:autoSpaceDN w:val="0"/>
              <w:spacing w:line="312" w:lineRule="auto"/>
              <w:rPr>
                <w:rFonts w:ascii="宋体" w:hAnsi="宋体"/>
                <w:color w:val="auto"/>
                <w:sz w:val="24"/>
                <w:szCs w:val="24"/>
              </w:rPr>
            </w:pPr>
            <w:r>
              <w:rPr>
                <w:rFonts w:hint="eastAsia" w:ascii="宋体" w:hAnsi="宋体"/>
                <w:color w:val="auto"/>
                <w:sz w:val="24"/>
                <w:szCs w:val="24"/>
              </w:rPr>
              <w:t>自中标通知书发出之日起</w:t>
            </w:r>
            <w:r>
              <w:rPr>
                <w:rFonts w:hint="eastAsia" w:ascii="宋体" w:hAnsi="宋体"/>
                <w:color w:val="auto"/>
                <w:sz w:val="24"/>
                <w:szCs w:val="24"/>
                <w:u w:val="single"/>
              </w:rPr>
              <w:t xml:space="preserve"> 30</w:t>
            </w:r>
            <w:r>
              <w:rPr>
                <w:rFonts w:hint="eastAsia" w:ascii="宋体" w:hAnsi="宋体"/>
                <w:color w:val="auto"/>
                <w:sz w:val="24"/>
                <w:szCs w:val="24"/>
              </w:rPr>
              <w:t>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13"/>
              </w:numPr>
              <w:autoSpaceDE w:val="0"/>
              <w:autoSpaceDN w:val="0"/>
              <w:spacing w:line="312" w:lineRule="auto"/>
              <w:ind w:left="0" w:firstLine="0"/>
              <w:rPr>
                <w:rFonts w:ascii="宋体" w:hAnsi="宋体"/>
                <w:color w:val="auto"/>
                <w:sz w:val="24"/>
                <w:szCs w:val="24"/>
              </w:rPr>
            </w:pPr>
          </w:p>
        </w:tc>
        <w:tc>
          <w:tcPr>
            <w:tcW w:w="1179"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22</w:t>
            </w:r>
          </w:p>
        </w:tc>
        <w:tc>
          <w:tcPr>
            <w:tcW w:w="1985"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履约保证金</w:t>
            </w:r>
          </w:p>
        </w:tc>
        <w:tc>
          <w:tcPr>
            <w:tcW w:w="5512" w:type="dxa"/>
            <w:vAlign w:val="center"/>
          </w:tcPr>
          <w:p>
            <w:pPr>
              <w:pStyle w:val="62"/>
              <w:kinsoku w:val="0"/>
              <w:overflowPunct w:val="0"/>
              <w:spacing w:line="312" w:lineRule="auto"/>
              <w:rPr>
                <w:rFonts w:hAnsi="宋体"/>
                <w:color w:val="auto"/>
              </w:rPr>
            </w:pPr>
            <w:r>
              <w:rPr>
                <w:rFonts w:hint="eastAsia" w:hAnsi="宋体"/>
                <w:color w:val="auto"/>
              </w:rPr>
              <w:sym w:font="Wingdings 2" w:char="0052"/>
            </w:r>
            <w:r>
              <w:rPr>
                <w:rFonts w:hint="eastAsia" w:hAnsi="宋体"/>
                <w:color w:val="auto"/>
              </w:rPr>
              <w:t>要求，履约保证金的形式：</w:t>
            </w:r>
            <w:r>
              <w:rPr>
                <w:rFonts w:hint="eastAsia" w:hAnsi="宋体"/>
                <w:color w:val="auto"/>
                <w:u w:val="single"/>
              </w:rPr>
              <w:t>银行保函原件</w:t>
            </w:r>
          </w:p>
          <w:p>
            <w:pPr>
              <w:pStyle w:val="62"/>
              <w:kinsoku w:val="0"/>
              <w:overflowPunct w:val="0"/>
              <w:spacing w:line="312" w:lineRule="auto"/>
              <w:ind w:left="943"/>
              <w:rPr>
                <w:rFonts w:hAnsi="宋体"/>
                <w:color w:val="auto"/>
              </w:rPr>
            </w:pPr>
            <w:r>
              <w:rPr>
                <w:rFonts w:hint="eastAsia" w:hAnsi="宋体"/>
                <w:color w:val="auto"/>
              </w:rPr>
              <w:t>履约保证金的金额：</w:t>
            </w:r>
            <w:r>
              <w:rPr>
                <w:rFonts w:hint="eastAsia" w:hAnsi="宋体"/>
                <w:color w:val="auto"/>
                <w:u w:val="single"/>
                <w:lang w:val="en-US" w:eastAsia="zh-CN"/>
              </w:rPr>
              <w:t>合同</w:t>
            </w:r>
            <w:r>
              <w:rPr>
                <w:rFonts w:hint="eastAsia" w:hAnsi="宋体"/>
                <w:color w:val="auto"/>
                <w:u w:val="single"/>
              </w:rPr>
              <w:t>总价</w:t>
            </w:r>
            <w:r>
              <w:rPr>
                <w:rFonts w:hint="eastAsia" w:hAnsi="宋体"/>
                <w:color w:val="auto"/>
                <w:u w:val="single"/>
                <w:lang w:eastAsia="zh-CN"/>
              </w:rPr>
              <w:t>的</w:t>
            </w:r>
            <w:r>
              <w:rPr>
                <w:rFonts w:hAnsi="宋体"/>
                <w:color w:val="auto"/>
                <w:u w:val="single"/>
              </w:rPr>
              <w:t>10%</w:t>
            </w:r>
          </w:p>
          <w:p>
            <w:pPr>
              <w:autoSpaceDE w:val="0"/>
              <w:autoSpaceDN w:val="0"/>
              <w:spacing w:line="312" w:lineRule="auto"/>
              <w:rPr>
                <w:rFonts w:ascii="宋体" w:hAnsi="宋体"/>
                <w:color w:val="auto"/>
                <w:sz w:val="24"/>
                <w:szCs w:val="24"/>
              </w:rPr>
            </w:pPr>
            <w:r>
              <w:rPr>
                <w:rFonts w:hint="eastAsia" w:ascii="宋体" w:hAnsi="宋体"/>
                <w:color w:val="auto"/>
                <w:sz w:val="24"/>
                <w:szCs w:val="24"/>
              </w:rPr>
              <w:t>□不要求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13"/>
              </w:numPr>
              <w:autoSpaceDE w:val="0"/>
              <w:autoSpaceDN w:val="0"/>
              <w:spacing w:line="312" w:lineRule="auto"/>
              <w:ind w:left="0" w:firstLine="0"/>
              <w:rPr>
                <w:rFonts w:ascii="宋体" w:hAnsi="宋体"/>
                <w:color w:val="auto"/>
                <w:sz w:val="24"/>
                <w:szCs w:val="24"/>
              </w:rPr>
            </w:pPr>
          </w:p>
        </w:tc>
        <w:tc>
          <w:tcPr>
            <w:tcW w:w="1179"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29.1</w:t>
            </w:r>
          </w:p>
        </w:tc>
        <w:tc>
          <w:tcPr>
            <w:tcW w:w="1985"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采购信息发布网站</w:t>
            </w:r>
          </w:p>
        </w:tc>
        <w:tc>
          <w:tcPr>
            <w:tcW w:w="5512" w:type="dxa"/>
            <w:vAlign w:val="center"/>
          </w:tcPr>
          <w:p>
            <w:pPr>
              <w:spacing w:line="312" w:lineRule="auto"/>
              <w:rPr>
                <w:rFonts w:ascii="宋体" w:hAnsi="宋体"/>
                <w:color w:val="auto"/>
                <w:sz w:val="24"/>
                <w:szCs w:val="24"/>
              </w:rPr>
            </w:pPr>
            <w:r>
              <w:rPr>
                <w:rFonts w:hint="eastAsia" w:ascii="宋体" w:hAnsi="宋体"/>
                <w:color w:val="auto"/>
                <w:sz w:val="24"/>
                <w:szCs w:val="24"/>
              </w:rPr>
              <w:t>中国政府采购网（</w:t>
            </w:r>
            <w:r>
              <w:rPr>
                <w:color w:val="auto"/>
              </w:rPr>
              <w:fldChar w:fldCharType="begin"/>
            </w:r>
            <w:r>
              <w:rPr>
                <w:color w:val="auto"/>
              </w:rPr>
              <w:instrText xml:space="preserve"> HYPERLINK "http://www.ccgp.gov.cn" </w:instrText>
            </w:r>
            <w:r>
              <w:rPr>
                <w:color w:val="auto"/>
              </w:rPr>
              <w:fldChar w:fldCharType="separate"/>
            </w:r>
            <w:r>
              <w:rPr>
                <w:rStyle w:val="34"/>
                <w:rFonts w:hint="eastAsia" w:ascii="宋体" w:hAnsi="宋体"/>
                <w:color w:val="auto"/>
                <w:sz w:val="24"/>
                <w:szCs w:val="24"/>
                <w:u w:val="none"/>
              </w:rPr>
              <w:t>www.ccgp.g</w:t>
            </w:r>
            <w:bookmarkStart w:id="103" w:name="_Hlt48047322"/>
            <w:bookmarkStart w:id="104" w:name="_Hlt48047327"/>
            <w:bookmarkStart w:id="105" w:name="_Hlt48047321"/>
            <w:r>
              <w:rPr>
                <w:rStyle w:val="34"/>
                <w:rFonts w:hint="eastAsia" w:ascii="宋体" w:hAnsi="宋体"/>
                <w:color w:val="auto"/>
                <w:sz w:val="24"/>
                <w:szCs w:val="24"/>
                <w:u w:val="none"/>
              </w:rPr>
              <w:t>o</w:t>
            </w:r>
            <w:bookmarkEnd w:id="103"/>
            <w:bookmarkEnd w:id="104"/>
            <w:bookmarkEnd w:id="105"/>
            <w:r>
              <w:rPr>
                <w:rStyle w:val="34"/>
                <w:rFonts w:hint="eastAsia" w:ascii="宋体" w:hAnsi="宋体"/>
                <w:color w:val="auto"/>
                <w:sz w:val="24"/>
                <w:szCs w:val="24"/>
                <w:u w:val="none"/>
              </w:rPr>
              <w:t>v.cn</w:t>
            </w:r>
            <w:r>
              <w:rPr>
                <w:rStyle w:val="34"/>
                <w:rFonts w:hint="eastAsia" w:ascii="宋体" w:hAnsi="宋体"/>
                <w:color w:val="auto"/>
                <w:sz w:val="24"/>
                <w:szCs w:val="24"/>
                <w:u w:val="none"/>
              </w:rPr>
              <w:fldChar w:fldCharType="end"/>
            </w:r>
            <w:r>
              <w:rPr>
                <w:rStyle w:val="34"/>
                <w:rFonts w:hint="eastAsia" w:ascii="Calibri" w:hAnsi="Calibri"/>
                <w:color w:val="auto"/>
                <w:u w:val="none"/>
              </w:rPr>
              <w:t>）；</w:t>
            </w:r>
          </w:p>
          <w:p>
            <w:pPr>
              <w:wordWrap w:val="0"/>
              <w:spacing w:line="312" w:lineRule="auto"/>
              <w:rPr>
                <w:rStyle w:val="34"/>
                <w:rFonts w:ascii="宋体" w:hAnsi="宋体"/>
                <w:color w:val="auto"/>
                <w:szCs w:val="21"/>
                <w:u w:val="none"/>
              </w:rPr>
            </w:pPr>
            <w:r>
              <w:rPr>
                <w:rFonts w:hint="eastAsia" w:ascii="宋体" w:hAnsi="宋体"/>
                <w:color w:val="auto"/>
                <w:sz w:val="24"/>
                <w:szCs w:val="24"/>
              </w:rPr>
              <w:t>广东省政府采购网</w:t>
            </w:r>
            <w:r>
              <w:rPr>
                <w:rFonts w:hint="eastAsia" w:ascii="宋体" w:hAnsi="宋体"/>
                <w:color w:val="auto"/>
                <w:szCs w:val="21"/>
              </w:rPr>
              <w:t>（https://gdgpo.czt.gd.gov.cn/）；</w:t>
            </w:r>
          </w:p>
          <w:p>
            <w:pPr>
              <w:spacing w:line="312" w:lineRule="auto"/>
              <w:rPr>
                <w:rFonts w:ascii="宋体" w:hAnsi="宋体"/>
                <w:color w:val="auto"/>
                <w:sz w:val="24"/>
                <w:szCs w:val="24"/>
              </w:rPr>
            </w:pPr>
            <w:r>
              <w:rPr>
                <w:rFonts w:hint="eastAsia" w:ascii="宋体" w:hAnsi="宋体"/>
                <w:color w:val="auto"/>
                <w:sz w:val="24"/>
                <w:szCs w:val="24"/>
              </w:rPr>
              <w:t>广东华伦招标有限公司网站</w:t>
            </w:r>
            <w:r>
              <w:rPr>
                <w:rFonts w:hint="eastAsia" w:ascii="宋体" w:hAnsi="宋体"/>
                <w:color w:val="auto"/>
                <w:sz w:val="24"/>
                <w:szCs w:val="24"/>
                <w:u w:val="single"/>
              </w:rPr>
              <w:t>（http:// 120.25.193.109/）</w:t>
            </w:r>
            <w:r>
              <w:rPr>
                <w:rFonts w:hint="eastAsia" w:ascii="宋体" w:hAnsi="宋体"/>
                <w:color w:val="auto"/>
                <w:sz w:val="24"/>
                <w:szCs w:val="24"/>
              </w:rPr>
              <w:t>等。</w:t>
            </w:r>
          </w:p>
          <w:p>
            <w:pPr>
              <w:spacing w:line="312" w:lineRule="auto"/>
              <w:rPr>
                <w:rFonts w:ascii="宋体" w:hAnsi="宋体"/>
                <w:color w:val="auto"/>
                <w:sz w:val="24"/>
                <w:szCs w:val="24"/>
              </w:rPr>
            </w:pPr>
            <w:r>
              <w:rPr>
                <w:rFonts w:hint="eastAsia" w:ascii="宋体" w:hAnsi="宋体"/>
                <w:color w:val="auto"/>
                <w:sz w:val="24"/>
                <w:szCs w:val="24"/>
              </w:rPr>
              <w:t>相关公告在法定媒体上公布之日即视为有效送达，不再另行通知。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13"/>
              </w:numPr>
              <w:autoSpaceDE w:val="0"/>
              <w:autoSpaceDN w:val="0"/>
              <w:spacing w:line="312" w:lineRule="auto"/>
              <w:ind w:left="0" w:firstLine="0"/>
              <w:rPr>
                <w:rFonts w:ascii="宋体" w:hAnsi="宋体"/>
                <w:color w:val="auto"/>
                <w:sz w:val="24"/>
                <w:szCs w:val="24"/>
              </w:rPr>
            </w:pPr>
          </w:p>
        </w:tc>
        <w:tc>
          <w:tcPr>
            <w:tcW w:w="1179"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29.3</w:t>
            </w:r>
          </w:p>
        </w:tc>
        <w:tc>
          <w:tcPr>
            <w:tcW w:w="1985" w:type="dxa"/>
            <w:vAlign w:val="center"/>
          </w:tcPr>
          <w:p>
            <w:pPr>
              <w:autoSpaceDE w:val="0"/>
              <w:autoSpaceDN w:val="0"/>
              <w:spacing w:line="312" w:lineRule="auto"/>
              <w:jc w:val="center"/>
              <w:rPr>
                <w:rFonts w:ascii="宋体" w:hAnsi="宋体"/>
                <w:color w:val="auto"/>
                <w:sz w:val="24"/>
                <w:szCs w:val="24"/>
              </w:rPr>
            </w:pPr>
            <w:r>
              <w:rPr>
                <w:rFonts w:hint="eastAsia" w:ascii="Calibri" w:hAnsi="宋体"/>
                <w:color w:val="auto"/>
                <w:sz w:val="24"/>
                <w:szCs w:val="24"/>
              </w:rPr>
              <w:t>现场考察</w:t>
            </w:r>
          </w:p>
        </w:tc>
        <w:tc>
          <w:tcPr>
            <w:tcW w:w="5512" w:type="dxa"/>
            <w:vAlign w:val="center"/>
          </w:tcPr>
          <w:p>
            <w:pPr>
              <w:pStyle w:val="10"/>
              <w:tabs>
                <w:tab w:val="left" w:pos="7238"/>
                <w:tab w:val="left" w:pos="8393"/>
              </w:tabs>
              <w:spacing w:line="312" w:lineRule="auto"/>
              <w:rPr>
                <w:rFonts w:ascii="Calibri" w:hAnsi="宋体"/>
                <w:color w:val="auto"/>
                <w:sz w:val="24"/>
                <w:szCs w:val="24"/>
              </w:rPr>
            </w:pPr>
            <w:r>
              <w:rPr>
                <w:rFonts w:hint="eastAsia" w:ascii="宋体" w:hAnsi="宋体"/>
                <w:color w:val="auto"/>
                <w:sz w:val="24"/>
                <w:szCs w:val="24"/>
              </w:rPr>
              <w:t>☑</w:t>
            </w:r>
            <w:r>
              <w:rPr>
                <w:rFonts w:hint="eastAsia" w:ascii="Calibri" w:hAnsi="宋体"/>
                <w:color w:val="auto"/>
                <w:sz w:val="24"/>
                <w:szCs w:val="24"/>
              </w:rPr>
              <w:t>不组织。</w:t>
            </w:r>
          </w:p>
          <w:p>
            <w:pPr>
              <w:pStyle w:val="10"/>
              <w:tabs>
                <w:tab w:val="left" w:pos="7238"/>
                <w:tab w:val="left" w:pos="8393"/>
              </w:tabs>
              <w:spacing w:line="312" w:lineRule="auto"/>
              <w:rPr>
                <w:rFonts w:ascii="Calibri" w:hAnsi="宋体"/>
                <w:i/>
                <w:iCs/>
                <w:color w:val="auto"/>
                <w:sz w:val="24"/>
                <w:szCs w:val="24"/>
              </w:rPr>
            </w:pPr>
            <w:r>
              <w:rPr>
                <w:rFonts w:hint="eastAsia" w:ascii="宋体" w:hAnsi="宋体"/>
                <w:color w:val="auto"/>
                <w:sz w:val="24"/>
                <w:szCs w:val="24"/>
              </w:rPr>
              <w:t>□</w:t>
            </w:r>
            <w:r>
              <w:rPr>
                <w:rFonts w:hint="eastAsia" w:ascii="宋体" w:hAnsi="宋体"/>
                <w:i/>
                <w:iCs/>
                <w:color w:val="auto"/>
                <w:sz w:val="24"/>
                <w:szCs w:val="24"/>
              </w:rPr>
              <w:t>组织</w:t>
            </w:r>
            <w:r>
              <w:rPr>
                <w:rFonts w:hint="eastAsia" w:ascii="Calibri" w:hAnsi="宋体"/>
                <w:color w:val="auto"/>
                <w:sz w:val="24"/>
                <w:szCs w:val="24"/>
              </w:rPr>
              <w:t>，</w:t>
            </w:r>
            <w:r>
              <w:rPr>
                <w:rFonts w:hint="eastAsia" w:ascii="Calibri" w:hAnsi="宋体"/>
                <w:i/>
                <w:iCs/>
                <w:color w:val="auto"/>
                <w:sz w:val="24"/>
                <w:szCs w:val="24"/>
              </w:rPr>
              <w:t>安排如下：</w:t>
            </w:r>
          </w:p>
          <w:p>
            <w:pPr>
              <w:pStyle w:val="10"/>
              <w:tabs>
                <w:tab w:val="left" w:pos="7238"/>
                <w:tab w:val="left" w:pos="8393"/>
              </w:tabs>
              <w:spacing w:line="312" w:lineRule="auto"/>
              <w:rPr>
                <w:rFonts w:ascii="Calibri" w:hAnsi="宋体"/>
                <w:i/>
                <w:iCs/>
                <w:color w:val="auto"/>
                <w:sz w:val="24"/>
                <w:szCs w:val="24"/>
              </w:rPr>
            </w:pPr>
            <w:r>
              <w:rPr>
                <w:rFonts w:hint="eastAsia" w:ascii="Calibri" w:hAnsi="宋体"/>
                <w:i/>
                <w:iCs/>
                <w:color w:val="auto"/>
                <w:sz w:val="24"/>
                <w:szCs w:val="24"/>
              </w:rPr>
              <w:t>（1）集中时间：</w:t>
            </w:r>
            <w:r>
              <w:rPr>
                <w:rFonts w:hint="eastAsia" w:ascii="宋体" w:hAnsi="宋体" w:cs="宋体"/>
                <w:i/>
                <w:color w:val="auto"/>
                <w:sz w:val="24"/>
                <w:szCs w:val="24"/>
              </w:rPr>
              <w:t>XXXX年X月X日XX:XX（北京</w:t>
            </w:r>
            <w:r>
              <w:rPr>
                <w:rFonts w:hint="eastAsia" w:ascii="Calibri" w:hAnsi="宋体"/>
                <w:i/>
                <w:iCs/>
                <w:color w:val="auto"/>
                <w:sz w:val="24"/>
                <w:szCs w:val="24"/>
              </w:rPr>
              <w:t>时间）</w:t>
            </w:r>
          </w:p>
          <w:p>
            <w:pPr>
              <w:pStyle w:val="10"/>
              <w:tabs>
                <w:tab w:val="left" w:pos="7238"/>
                <w:tab w:val="left" w:pos="8393"/>
              </w:tabs>
              <w:spacing w:line="312" w:lineRule="auto"/>
              <w:rPr>
                <w:rFonts w:ascii="宋体" w:hAnsi="宋体"/>
                <w:color w:val="auto"/>
                <w:sz w:val="24"/>
                <w:szCs w:val="24"/>
              </w:rPr>
            </w:pPr>
            <w:r>
              <w:rPr>
                <w:rFonts w:hint="eastAsia" w:ascii="Calibri" w:hAnsi="宋体"/>
                <w:i/>
                <w:iCs/>
                <w:color w:val="auto"/>
                <w:sz w:val="24"/>
                <w:szCs w:val="24"/>
              </w:rPr>
              <w:t>（2）集中地点：</w:t>
            </w:r>
            <w:r>
              <w:rPr>
                <w:rFonts w:hint="eastAsia" w:ascii="Calibri" w:hAnsi="宋体"/>
                <w:i/>
                <w:color w:val="auto"/>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13"/>
              </w:numPr>
              <w:autoSpaceDE w:val="0"/>
              <w:autoSpaceDN w:val="0"/>
              <w:spacing w:line="312" w:lineRule="auto"/>
              <w:ind w:left="0" w:firstLine="0"/>
              <w:rPr>
                <w:rFonts w:ascii="宋体" w:hAnsi="宋体"/>
                <w:color w:val="auto"/>
                <w:sz w:val="24"/>
                <w:szCs w:val="24"/>
              </w:rPr>
            </w:pPr>
          </w:p>
        </w:tc>
        <w:tc>
          <w:tcPr>
            <w:tcW w:w="1179"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29.4</w:t>
            </w:r>
          </w:p>
        </w:tc>
        <w:tc>
          <w:tcPr>
            <w:tcW w:w="1985" w:type="dxa"/>
            <w:vAlign w:val="center"/>
          </w:tcPr>
          <w:p>
            <w:pPr>
              <w:autoSpaceDE w:val="0"/>
              <w:autoSpaceDN w:val="0"/>
              <w:spacing w:line="312" w:lineRule="auto"/>
              <w:jc w:val="center"/>
              <w:rPr>
                <w:rFonts w:ascii="宋体" w:hAnsi="宋体"/>
                <w:color w:val="auto"/>
                <w:sz w:val="24"/>
                <w:szCs w:val="24"/>
              </w:rPr>
            </w:pPr>
            <w:r>
              <w:rPr>
                <w:rFonts w:hint="eastAsia" w:ascii="Calibri" w:hAnsi="宋体"/>
                <w:color w:val="auto"/>
                <w:sz w:val="24"/>
                <w:szCs w:val="24"/>
              </w:rPr>
              <w:t>开标前答疑会</w:t>
            </w:r>
          </w:p>
        </w:tc>
        <w:tc>
          <w:tcPr>
            <w:tcW w:w="5512" w:type="dxa"/>
            <w:vAlign w:val="center"/>
          </w:tcPr>
          <w:p>
            <w:pPr>
              <w:pStyle w:val="10"/>
              <w:tabs>
                <w:tab w:val="left" w:pos="7238"/>
                <w:tab w:val="left" w:pos="8393"/>
              </w:tabs>
              <w:spacing w:line="312" w:lineRule="auto"/>
              <w:rPr>
                <w:rFonts w:ascii="宋体" w:hAnsi="宋体" w:cs="宋体"/>
                <w:color w:val="auto"/>
                <w:sz w:val="24"/>
                <w:szCs w:val="24"/>
              </w:rPr>
            </w:pPr>
            <w:r>
              <w:rPr>
                <w:rFonts w:hint="eastAsia" w:ascii="宋体" w:hAnsi="宋体"/>
                <w:color w:val="auto"/>
                <w:sz w:val="24"/>
                <w:szCs w:val="24"/>
              </w:rPr>
              <w:t>☑</w:t>
            </w:r>
            <w:r>
              <w:rPr>
                <w:rFonts w:hint="eastAsia" w:ascii="宋体" w:hAnsi="宋体" w:cs="宋体"/>
                <w:color w:val="auto"/>
                <w:sz w:val="24"/>
                <w:szCs w:val="24"/>
              </w:rPr>
              <w:t>不组织。</w:t>
            </w:r>
          </w:p>
          <w:p>
            <w:pPr>
              <w:pStyle w:val="10"/>
              <w:tabs>
                <w:tab w:val="left" w:pos="7238"/>
                <w:tab w:val="left" w:pos="8393"/>
              </w:tabs>
              <w:spacing w:line="312" w:lineRule="auto"/>
              <w:rPr>
                <w:rFonts w:ascii="宋体" w:hAnsi="宋体" w:cs="宋体"/>
                <w:i/>
                <w:color w:val="auto"/>
                <w:sz w:val="24"/>
                <w:szCs w:val="24"/>
              </w:rPr>
            </w:pPr>
            <w:r>
              <w:rPr>
                <w:rFonts w:hint="eastAsia" w:ascii="宋体" w:hAnsi="宋体"/>
                <w:color w:val="auto"/>
                <w:sz w:val="24"/>
                <w:szCs w:val="24"/>
              </w:rPr>
              <w:t>□</w:t>
            </w:r>
            <w:r>
              <w:rPr>
                <w:rFonts w:hint="eastAsia" w:ascii="宋体" w:hAnsi="宋体" w:cs="宋体"/>
                <w:i/>
                <w:color w:val="auto"/>
                <w:sz w:val="24"/>
                <w:szCs w:val="24"/>
              </w:rPr>
              <w:t>组织，安排如下：</w:t>
            </w:r>
          </w:p>
          <w:p>
            <w:pPr>
              <w:pStyle w:val="10"/>
              <w:tabs>
                <w:tab w:val="left" w:pos="7238"/>
                <w:tab w:val="left" w:pos="8393"/>
              </w:tabs>
              <w:spacing w:line="312" w:lineRule="auto"/>
              <w:rPr>
                <w:rFonts w:ascii="宋体" w:hAnsi="宋体" w:cs="宋体"/>
                <w:i/>
                <w:color w:val="auto"/>
                <w:sz w:val="24"/>
                <w:szCs w:val="24"/>
              </w:rPr>
            </w:pPr>
            <w:r>
              <w:rPr>
                <w:rFonts w:hint="eastAsia" w:ascii="宋体" w:hAnsi="宋体" w:cs="宋体"/>
                <w:i/>
                <w:color w:val="auto"/>
                <w:sz w:val="24"/>
                <w:szCs w:val="24"/>
              </w:rPr>
              <w:t>（1）集中时间：XXXX年X月X日XX:XX（北京时间）</w:t>
            </w:r>
          </w:p>
          <w:p>
            <w:pPr>
              <w:pStyle w:val="10"/>
              <w:tabs>
                <w:tab w:val="left" w:pos="7238"/>
                <w:tab w:val="left" w:pos="8393"/>
              </w:tabs>
              <w:spacing w:line="312" w:lineRule="auto"/>
              <w:rPr>
                <w:rFonts w:ascii="宋体" w:hAnsi="宋体"/>
                <w:color w:val="auto"/>
                <w:sz w:val="24"/>
                <w:szCs w:val="24"/>
              </w:rPr>
            </w:pPr>
            <w:r>
              <w:rPr>
                <w:rFonts w:hint="eastAsia" w:ascii="宋体" w:hAnsi="宋体" w:cs="宋体"/>
                <w:i/>
                <w:color w:val="auto"/>
                <w:sz w:val="24"/>
                <w:szCs w:val="24"/>
              </w:rPr>
              <w:t>（2）集中地点：</w:t>
            </w:r>
            <w:r>
              <w:rPr>
                <w:rFonts w:hint="eastAsia" w:ascii="宋体" w:hAnsi="宋体" w:cs="宋体"/>
                <w:i/>
                <w:color w:val="auto"/>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13"/>
              </w:numPr>
              <w:autoSpaceDE w:val="0"/>
              <w:autoSpaceDN w:val="0"/>
              <w:spacing w:line="312" w:lineRule="auto"/>
              <w:ind w:left="0" w:firstLine="0"/>
              <w:rPr>
                <w:rFonts w:ascii="宋体" w:hAnsi="宋体"/>
                <w:color w:val="auto"/>
                <w:sz w:val="24"/>
                <w:szCs w:val="24"/>
              </w:rPr>
            </w:pPr>
          </w:p>
        </w:tc>
        <w:tc>
          <w:tcPr>
            <w:tcW w:w="1179"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29.5</w:t>
            </w:r>
          </w:p>
        </w:tc>
        <w:tc>
          <w:tcPr>
            <w:tcW w:w="1985" w:type="dxa"/>
            <w:vAlign w:val="center"/>
          </w:tcPr>
          <w:p>
            <w:pPr>
              <w:autoSpaceDE w:val="0"/>
              <w:autoSpaceDN w:val="0"/>
              <w:spacing w:line="312" w:lineRule="auto"/>
              <w:jc w:val="center"/>
              <w:rPr>
                <w:rFonts w:ascii="宋体" w:hAnsi="宋体"/>
                <w:color w:val="auto"/>
                <w:sz w:val="24"/>
                <w:szCs w:val="24"/>
              </w:rPr>
            </w:pPr>
            <w:r>
              <w:rPr>
                <w:rFonts w:hint="eastAsia" w:ascii="宋体" w:hAnsi="宋体" w:cs="宋体"/>
                <w:color w:val="auto"/>
                <w:sz w:val="24"/>
                <w:szCs w:val="24"/>
              </w:rPr>
              <w:t>本项目需要落实的政府采购政策</w:t>
            </w:r>
          </w:p>
        </w:tc>
        <w:tc>
          <w:tcPr>
            <w:tcW w:w="5512" w:type="dxa"/>
            <w:vAlign w:val="center"/>
          </w:tcPr>
          <w:p>
            <w:pPr>
              <w:pStyle w:val="10"/>
              <w:tabs>
                <w:tab w:val="left" w:pos="7238"/>
                <w:tab w:val="left" w:pos="8393"/>
              </w:tabs>
              <w:spacing w:line="312" w:lineRule="auto"/>
              <w:rPr>
                <w:rFonts w:ascii="宋体" w:hAnsi="宋体" w:cs="宋体"/>
                <w:color w:val="auto"/>
                <w:sz w:val="24"/>
                <w:szCs w:val="24"/>
              </w:rPr>
            </w:pPr>
            <w:r>
              <w:rPr>
                <w:rFonts w:hint="eastAsia" w:ascii="宋体" w:hAnsi="宋体" w:cs="宋体"/>
                <w:color w:val="auto"/>
                <w:sz w:val="24"/>
                <w:szCs w:val="24"/>
              </w:rPr>
              <w:t>（1）《政府采购促进中小企业发展管理办法》的通知（财库[2020]46号）</w:t>
            </w:r>
          </w:p>
          <w:p>
            <w:pPr>
              <w:pStyle w:val="10"/>
              <w:tabs>
                <w:tab w:val="left" w:pos="7238"/>
                <w:tab w:val="left" w:pos="8393"/>
              </w:tabs>
              <w:spacing w:line="312" w:lineRule="auto"/>
              <w:rPr>
                <w:rFonts w:ascii="宋体" w:hAnsi="宋体" w:cs="宋体"/>
                <w:color w:val="auto"/>
                <w:sz w:val="24"/>
                <w:szCs w:val="24"/>
              </w:rPr>
            </w:pPr>
            <w:r>
              <w:rPr>
                <w:rFonts w:hint="eastAsia" w:ascii="宋体" w:hAnsi="宋体" w:cs="宋体"/>
                <w:color w:val="auto"/>
                <w:sz w:val="24"/>
                <w:szCs w:val="24"/>
              </w:rPr>
              <w:t>（2）《关于政府采购支持监狱企业发展有关问题的通知》（财库〔2014〕68号）</w:t>
            </w:r>
          </w:p>
          <w:p>
            <w:pPr>
              <w:pStyle w:val="10"/>
              <w:tabs>
                <w:tab w:val="left" w:pos="7238"/>
                <w:tab w:val="left" w:pos="8393"/>
              </w:tabs>
              <w:spacing w:line="312" w:lineRule="auto"/>
              <w:rPr>
                <w:rFonts w:ascii="宋体" w:hAnsi="宋体" w:cs="宋体"/>
                <w:color w:val="auto"/>
                <w:sz w:val="24"/>
                <w:szCs w:val="24"/>
              </w:rPr>
            </w:pPr>
            <w:r>
              <w:rPr>
                <w:rFonts w:hint="eastAsia" w:ascii="宋体" w:hAnsi="宋体" w:cs="宋体"/>
                <w:color w:val="auto"/>
                <w:sz w:val="24"/>
                <w:szCs w:val="24"/>
              </w:rPr>
              <w:t>（3）《关于促进残疾人就业政府采购政策的通知》（财库〔2017〕141号）</w:t>
            </w:r>
          </w:p>
          <w:p>
            <w:pPr>
              <w:pStyle w:val="10"/>
              <w:tabs>
                <w:tab w:val="left" w:pos="7238"/>
                <w:tab w:val="left" w:pos="8393"/>
              </w:tabs>
              <w:spacing w:line="312" w:lineRule="auto"/>
              <w:rPr>
                <w:rFonts w:ascii="宋体" w:hAnsi="宋体" w:cs="宋体"/>
                <w:color w:val="auto"/>
                <w:sz w:val="24"/>
                <w:szCs w:val="24"/>
              </w:rPr>
            </w:pPr>
            <w:r>
              <w:rPr>
                <w:rFonts w:hint="eastAsia" w:ascii="宋体" w:hAnsi="宋体" w:cs="宋体"/>
                <w:color w:val="auto"/>
                <w:sz w:val="24"/>
                <w:szCs w:val="24"/>
              </w:rPr>
              <w:t>（4）《关于环境标志产品政府采购实施的意见》（财库[2006]90号）</w:t>
            </w:r>
          </w:p>
          <w:p>
            <w:pPr>
              <w:pStyle w:val="10"/>
              <w:tabs>
                <w:tab w:val="left" w:pos="7238"/>
                <w:tab w:val="left" w:pos="8393"/>
              </w:tabs>
              <w:spacing w:line="312" w:lineRule="auto"/>
              <w:rPr>
                <w:rFonts w:ascii="宋体" w:hAnsi="宋体" w:cs="宋体"/>
                <w:color w:val="auto"/>
                <w:sz w:val="24"/>
                <w:szCs w:val="24"/>
              </w:rPr>
            </w:pPr>
            <w:r>
              <w:rPr>
                <w:rFonts w:hint="eastAsia" w:ascii="宋体" w:hAnsi="宋体" w:cs="宋体"/>
                <w:color w:val="auto"/>
                <w:sz w:val="24"/>
                <w:szCs w:val="24"/>
              </w:rPr>
              <w:t>（5）《节能产品政府采购实施意见》（财库［2004］185号）</w:t>
            </w:r>
          </w:p>
          <w:p>
            <w:pPr>
              <w:autoSpaceDE w:val="0"/>
              <w:autoSpaceDN w:val="0"/>
              <w:spacing w:line="312" w:lineRule="auto"/>
              <w:rPr>
                <w:rFonts w:ascii="宋体" w:hAnsi="宋体"/>
                <w:color w:val="auto"/>
                <w:sz w:val="24"/>
                <w:szCs w:val="24"/>
              </w:rPr>
            </w:pPr>
            <w:r>
              <w:rPr>
                <w:rFonts w:hint="eastAsia" w:ascii="宋体" w:hAnsi="宋体" w:cs="宋体"/>
                <w:color w:val="auto"/>
                <w:sz w:val="24"/>
                <w:szCs w:val="24"/>
              </w:rPr>
              <w:t>（6）《关于调整优化节能产品、环境标志产品政府采购执行机制的通知》（财库〔2019〕9号）等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13"/>
              </w:numPr>
              <w:autoSpaceDE w:val="0"/>
              <w:autoSpaceDN w:val="0"/>
              <w:spacing w:line="312" w:lineRule="auto"/>
              <w:ind w:left="0" w:firstLine="0"/>
              <w:rPr>
                <w:rFonts w:ascii="宋体" w:hAnsi="宋体"/>
                <w:color w:val="auto"/>
                <w:sz w:val="24"/>
                <w:szCs w:val="24"/>
              </w:rPr>
            </w:pPr>
          </w:p>
        </w:tc>
        <w:tc>
          <w:tcPr>
            <w:tcW w:w="1179"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29.6</w:t>
            </w:r>
          </w:p>
        </w:tc>
        <w:tc>
          <w:tcPr>
            <w:tcW w:w="1985" w:type="dxa"/>
            <w:vAlign w:val="center"/>
          </w:tcPr>
          <w:p>
            <w:pPr>
              <w:autoSpaceDE w:val="0"/>
              <w:autoSpaceDN w:val="0"/>
              <w:jc w:val="center"/>
              <w:rPr>
                <w:rFonts w:ascii="宋体" w:hAnsi="宋体" w:cs="宋体"/>
                <w:color w:val="auto"/>
                <w:sz w:val="24"/>
                <w:szCs w:val="24"/>
              </w:rPr>
            </w:pPr>
            <w:r>
              <w:rPr>
                <w:rFonts w:hint="eastAsia" w:ascii="宋体" w:hAnsi="宋体" w:cs="宋体"/>
                <w:color w:val="auto"/>
                <w:sz w:val="24"/>
                <w:szCs w:val="24"/>
              </w:rPr>
              <w:t>同级政府采购监督管理部门</w:t>
            </w:r>
          </w:p>
        </w:tc>
        <w:tc>
          <w:tcPr>
            <w:tcW w:w="5512" w:type="dxa"/>
            <w:vAlign w:val="center"/>
          </w:tcPr>
          <w:p>
            <w:pPr>
              <w:pStyle w:val="9"/>
              <w:rPr>
                <w:rFonts w:ascii="宋体" w:hAnsi="宋体" w:cs="宋体"/>
                <w:color w:val="auto"/>
                <w:sz w:val="24"/>
                <w:szCs w:val="24"/>
                <w:shd w:val="clear" w:color="auto" w:fill="FFFFFF"/>
              </w:rPr>
            </w:pPr>
            <w:r>
              <w:rPr>
                <w:rFonts w:hint="eastAsia" w:ascii="宋体" w:hAnsi="宋体" w:cs="宋体"/>
                <w:color w:val="auto"/>
                <w:sz w:val="24"/>
                <w:szCs w:val="24"/>
                <w:shd w:val="clear" w:color="auto" w:fill="FFFFFF"/>
              </w:rPr>
              <w:t xml:space="preserve">国家财政部国库司采购监管处   </w:t>
            </w:r>
          </w:p>
          <w:p>
            <w:pPr>
              <w:pStyle w:val="9"/>
              <w:rPr>
                <w:rFonts w:ascii="宋体" w:hAnsi="宋体" w:cs="宋体"/>
                <w:color w:val="auto"/>
                <w:sz w:val="24"/>
                <w:szCs w:val="24"/>
                <w:shd w:val="clear" w:color="auto" w:fill="FFFFFF"/>
              </w:rPr>
            </w:pPr>
            <w:r>
              <w:rPr>
                <w:rFonts w:hint="eastAsia" w:ascii="宋体" w:hAnsi="宋体" w:cs="宋体"/>
                <w:color w:val="auto"/>
                <w:sz w:val="24"/>
                <w:szCs w:val="24"/>
                <w:shd w:val="clear" w:color="auto" w:fill="FFFFFF"/>
              </w:rPr>
              <w:t>地 址：北京市玉渊潭南路晾果厂6号都邦大厦三层</w:t>
            </w:r>
          </w:p>
          <w:p>
            <w:pPr>
              <w:widowControl/>
              <w:jc w:val="left"/>
              <w:rPr>
                <w:rFonts w:ascii="宋体" w:hAnsi="宋体" w:cs="宋体"/>
                <w:color w:val="auto"/>
                <w:sz w:val="24"/>
                <w:szCs w:val="24"/>
              </w:rPr>
            </w:pPr>
            <w:r>
              <w:rPr>
                <w:rFonts w:hint="eastAsia" w:ascii="宋体" w:hAnsi="宋体" w:cs="宋体"/>
                <w:color w:val="auto"/>
                <w:sz w:val="24"/>
                <w:szCs w:val="24"/>
                <w:shd w:val="clear" w:color="auto" w:fill="FFFFFF"/>
              </w:rPr>
              <w:t>电 话：010-68513070、010-68519967</w:t>
            </w:r>
          </w:p>
        </w:tc>
      </w:tr>
    </w:tbl>
    <w:p>
      <w:pPr>
        <w:spacing w:line="400" w:lineRule="exact"/>
        <w:jc w:val="left"/>
        <w:rPr>
          <w:rFonts w:ascii="宋体" w:cs="宋体"/>
          <w:b/>
          <w:color w:val="auto"/>
          <w:sz w:val="24"/>
        </w:rPr>
      </w:pPr>
    </w:p>
    <w:p>
      <w:pPr>
        <w:autoSpaceDE w:val="0"/>
        <w:autoSpaceDN w:val="0"/>
        <w:spacing w:line="360" w:lineRule="auto"/>
        <w:jc w:val="center"/>
        <w:rPr>
          <w:rFonts w:ascii="宋体" w:hAnsi="宋体"/>
          <w:b/>
          <w:color w:val="auto"/>
          <w:sz w:val="32"/>
          <w:szCs w:val="32"/>
        </w:rPr>
      </w:pPr>
      <w:r>
        <w:rPr>
          <w:rFonts w:ascii="宋体" w:hAnsi="宋体"/>
          <w:color w:val="auto"/>
          <w:sz w:val="24"/>
          <w:szCs w:val="24"/>
        </w:rPr>
        <w:br w:type="page"/>
      </w:r>
      <w:r>
        <w:rPr>
          <w:rFonts w:hint="eastAsia" w:ascii="宋体" w:hAnsi="宋体"/>
          <w:b/>
          <w:color w:val="auto"/>
          <w:sz w:val="32"/>
          <w:szCs w:val="32"/>
        </w:rPr>
        <w:t>投标人须知</w:t>
      </w:r>
    </w:p>
    <w:p>
      <w:pPr>
        <w:pStyle w:val="4"/>
        <w:numPr>
          <w:ilvl w:val="0"/>
          <w:numId w:val="14"/>
        </w:numPr>
        <w:tabs>
          <w:tab w:val="left" w:pos="945"/>
        </w:tabs>
        <w:spacing w:before="0" w:after="0" w:line="360" w:lineRule="auto"/>
        <w:ind w:left="0" w:firstLine="0"/>
        <w:rPr>
          <w:rFonts w:ascii="宋体" w:hAnsi="宋体"/>
          <w:color w:val="auto"/>
          <w:sz w:val="28"/>
          <w:szCs w:val="28"/>
        </w:rPr>
      </w:pPr>
      <w:bookmarkStart w:id="106" w:name="_Toc54335385"/>
      <w:bookmarkStart w:id="107" w:name="_Toc22806120"/>
      <w:bookmarkStart w:id="108" w:name="_Toc18645"/>
      <w:r>
        <w:rPr>
          <w:rFonts w:hint="eastAsia" w:ascii="宋体" w:hAnsi="宋体"/>
          <w:color w:val="auto"/>
          <w:sz w:val="28"/>
          <w:szCs w:val="28"/>
        </w:rPr>
        <w:t>说明</w:t>
      </w:r>
      <w:bookmarkEnd w:id="106"/>
      <w:bookmarkEnd w:id="107"/>
      <w:bookmarkEnd w:id="108"/>
    </w:p>
    <w:p>
      <w:pPr>
        <w:pStyle w:val="5"/>
        <w:numPr>
          <w:ilvl w:val="0"/>
          <w:numId w:val="15"/>
        </w:numPr>
        <w:tabs>
          <w:tab w:val="left" w:pos="945"/>
        </w:tabs>
        <w:spacing w:before="0" w:after="0" w:line="360" w:lineRule="auto"/>
        <w:ind w:left="964" w:hanging="960" w:hangingChars="400"/>
        <w:rPr>
          <w:rFonts w:ascii="宋体" w:hAnsi="宋体"/>
          <w:color w:val="auto"/>
          <w:sz w:val="24"/>
          <w:szCs w:val="24"/>
        </w:rPr>
      </w:pPr>
      <w:bookmarkStart w:id="109" w:name="_Toc54335386"/>
      <w:bookmarkStart w:id="110" w:name="_Toc14025"/>
      <w:bookmarkStart w:id="111" w:name="_Toc22806121"/>
      <w:r>
        <w:rPr>
          <w:rFonts w:hint="eastAsia" w:ascii="宋体" w:hAnsi="宋体"/>
          <w:color w:val="auto"/>
          <w:sz w:val="24"/>
          <w:szCs w:val="24"/>
        </w:rPr>
        <w:t>适用范围</w:t>
      </w:r>
      <w:bookmarkEnd w:id="109"/>
      <w:bookmarkEnd w:id="110"/>
      <w:bookmarkEnd w:id="111"/>
    </w:p>
    <w:p>
      <w:pPr>
        <w:numPr>
          <w:ilvl w:val="1"/>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适用范围：本招标文件适用于本投标邀请中所述项目的政府采购活动。</w:t>
      </w:r>
    </w:p>
    <w:p>
      <w:pPr>
        <w:pStyle w:val="5"/>
        <w:numPr>
          <w:ilvl w:val="0"/>
          <w:numId w:val="15"/>
        </w:numPr>
        <w:tabs>
          <w:tab w:val="left" w:pos="945"/>
        </w:tabs>
        <w:spacing w:before="0" w:after="0" w:line="360" w:lineRule="auto"/>
        <w:ind w:left="964" w:hanging="960" w:hangingChars="400"/>
        <w:rPr>
          <w:rFonts w:ascii="宋体" w:hAnsi="宋体"/>
          <w:color w:val="auto"/>
          <w:sz w:val="24"/>
          <w:szCs w:val="24"/>
        </w:rPr>
      </w:pPr>
      <w:bookmarkStart w:id="112" w:name="_Toc22806122"/>
      <w:bookmarkStart w:id="113" w:name="_Toc18196"/>
      <w:bookmarkStart w:id="114" w:name="_Toc54335387"/>
      <w:r>
        <w:rPr>
          <w:rFonts w:hint="eastAsia" w:ascii="宋体" w:hAnsi="宋体"/>
          <w:color w:val="auto"/>
          <w:sz w:val="24"/>
          <w:szCs w:val="24"/>
        </w:rPr>
        <w:t>定义</w:t>
      </w:r>
      <w:bookmarkEnd w:id="112"/>
      <w:bookmarkEnd w:id="113"/>
      <w:bookmarkEnd w:id="114"/>
    </w:p>
    <w:p>
      <w:pPr>
        <w:numPr>
          <w:ilvl w:val="1"/>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“采购人”是指</w:t>
      </w:r>
      <w:r>
        <w:rPr>
          <w:rFonts w:hint="eastAsia" w:ascii="宋体" w:hAnsi="宋体"/>
          <w:color w:val="auto"/>
          <w:sz w:val="24"/>
        </w:rPr>
        <w:t>依法进行政府采购的国家机关、事业单位、团体组织</w:t>
      </w:r>
      <w:r>
        <w:rPr>
          <w:rFonts w:hint="eastAsia" w:ascii="宋体" w:hAnsi="宋体"/>
          <w:color w:val="auto"/>
          <w:sz w:val="24"/>
          <w:szCs w:val="24"/>
        </w:rPr>
        <w:t>，在合同签定后亦称为“甲方”或“买方”或“需方”或“发包人”。</w:t>
      </w:r>
    </w:p>
    <w:p>
      <w:pPr>
        <w:numPr>
          <w:ilvl w:val="1"/>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“供应商/投标人”</w:t>
      </w:r>
      <w:r>
        <w:rPr>
          <w:rFonts w:hint="eastAsia" w:ascii="宋体" w:hAnsi="宋体"/>
          <w:color w:val="auto"/>
          <w:sz w:val="24"/>
        </w:rPr>
        <w:t>是指按规定获取了招标文件并参加投标竞争的法人、其他组织或者自然人。</w:t>
      </w:r>
    </w:p>
    <w:p>
      <w:pPr>
        <w:numPr>
          <w:ilvl w:val="1"/>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“联合体”是指</w:t>
      </w:r>
      <w:r>
        <w:rPr>
          <w:rFonts w:hint="eastAsia" w:ascii="宋体" w:hAnsi="宋体"/>
          <w:color w:val="auto"/>
          <w:sz w:val="24"/>
        </w:rPr>
        <w:t>两个以上的自然人、法人或者其他组织组成一个联合体，以一个供应商的身份共同参加政府采购。</w:t>
      </w:r>
    </w:p>
    <w:p>
      <w:pPr>
        <w:numPr>
          <w:ilvl w:val="1"/>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“中标人”是指经过法定采购程序被依法确定并授予合同的投标人。在合同签定后亦称为“乙方”或“卖方”或“供方”或“承包人”。</w:t>
      </w:r>
    </w:p>
    <w:p>
      <w:pPr>
        <w:numPr>
          <w:ilvl w:val="1"/>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“监管部门”是指具有依法对本项目政府采购活动履行监督管理职责的政府行政部门。</w:t>
      </w:r>
    </w:p>
    <w:p>
      <w:pPr>
        <w:numPr>
          <w:ilvl w:val="1"/>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“采购代理机构”是指接受采购人委托，在委托的范围内依法办理政府采购事宜的专业中介机构，本项目是指</w:t>
      </w:r>
      <w:r>
        <w:rPr>
          <w:rFonts w:hint="eastAsia" w:ascii="宋体" w:hAnsi="宋体"/>
          <w:b/>
          <w:color w:val="auto"/>
          <w:sz w:val="24"/>
          <w:szCs w:val="24"/>
          <w:u w:val="single"/>
        </w:rPr>
        <w:t>广东华伦招标有限公司</w:t>
      </w:r>
      <w:r>
        <w:rPr>
          <w:rFonts w:hint="eastAsia" w:ascii="宋体" w:hAnsi="宋体"/>
          <w:color w:val="auto"/>
          <w:sz w:val="24"/>
          <w:szCs w:val="24"/>
        </w:rPr>
        <w:t>。</w:t>
      </w:r>
    </w:p>
    <w:p>
      <w:pPr>
        <w:numPr>
          <w:ilvl w:val="1"/>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“货物”是指各种形态和种类的物品，包括原材料、燃料、设备、产品等。</w:t>
      </w:r>
    </w:p>
    <w:p>
      <w:pPr>
        <w:numPr>
          <w:ilvl w:val="1"/>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“进口产品”是指通过中国海关报关验放进入中国境内且产自关境外的产品。</w:t>
      </w:r>
    </w:p>
    <w:p>
      <w:pPr>
        <w:numPr>
          <w:ilvl w:val="1"/>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综合评分法，是指投标文件满足招标文件全部实质性要求，且按照评审因素的量化指标评审得分最高的投标人为中标候选人的评标方法。</w:t>
      </w:r>
    </w:p>
    <w:p>
      <w:pPr>
        <w:numPr>
          <w:ilvl w:val="1"/>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最低评标价法，是指投标文件满足招标文件全部实质性要求，且投标报价最低的投标人为中标候选人的评标方法。</w:t>
      </w:r>
    </w:p>
    <w:p>
      <w:pPr>
        <w:pStyle w:val="5"/>
        <w:numPr>
          <w:ilvl w:val="0"/>
          <w:numId w:val="15"/>
        </w:numPr>
        <w:tabs>
          <w:tab w:val="left" w:pos="945"/>
        </w:tabs>
        <w:spacing w:before="0" w:after="0" w:line="360" w:lineRule="auto"/>
        <w:ind w:left="964" w:hanging="960" w:hangingChars="400"/>
        <w:rPr>
          <w:rFonts w:ascii="宋体" w:hAnsi="宋体"/>
          <w:color w:val="auto"/>
          <w:sz w:val="24"/>
          <w:szCs w:val="24"/>
        </w:rPr>
      </w:pPr>
      <w:bookmarkStart w:id="115" w:name="_Toc22806123"/>
      <w:bookmarkStart w:id="116" w:name="_Toc54335388"/>
      <w:bookmarkStart w:id="117" w:name="_Toc28905"/>
      <w:r>
        <w:rPr>
          <w:rFonts w:hint="eastAsia" w:ascii="宋体" w:hAnsi="宋体"/>
          <w:color w:val="auto"/>
          <w:sz w:val="24"/>
          <w:szCs w:val="24"/>
        </w:rPr>
        <w:t>合格的货物和服务</w:t>
      </w:r>
      <w:bookmarkEnd w:id="115"/>
      <w:bookmarkEnd w:id="116"/>
      <w:bookmarkEnd w:id="117"/>
    </w:p>
    <w:p>
      <w:pPr>
        <w:numPr>
          <w:ilvl w:val="1"/>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合格的货物：是指投标人提供符合招标文件要求的货物。投标标的必须是通过合法渠道生产及获得的符合国家、地方、行业现行有关强制性技术规范和标准规定的货物（本项目采购及合同履行过程中上述规范或标准出台新的或替代版本，按当时有效的版本执行），满足招标文件规定的规格、参数（指标）、功能、性能、质量、价格、有效期等要求，符合行业同类产品的一般技术及服务约定。招标文件中没有标注可以购买进口产品的，如投标人竞投该类标的时提供进口产品，则其投标无效；招标文件中标注经核准可以购买进口产品的，优先采购本国产品或向我国企业转让技术、与我国企业签订消化吸收再创新方案的供应商的进口产品。本项目优先采购节能、环境标志产品。</w:t>
      </w:r>
    </w:p>
    <w:p>
      <w:pPr>
        <w:numPr>
          <w:ilvl w:val="1"/>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合格的服务：是指与标的提供相配套的伴随服务、售后服务。伴随服务包括（但不限于）标的的设计、监造、运输、安装、调试、试车（试运行）、测试、验收；售后服务包括（但不限于）质保期按照国家有关“三包”政策及《采购需求》规定由投标人承担的维修、更换、退货、保养、技术支持、培训；上述服务内容及范围如在《采购需求》中还有其他明确约定的，从其约定。</w:t>
      </w:r>
    </w:p>
    <w:p>
      <w:pPr>
        <w:pStyle w:val="5"/>
        <w:numPr>
          <w:ilvl w:val="0"/>
          <w:numId w:val="15"/>
        </w:numPr>
        <w:tabs>
          <w:tab w:val="left" w:pos="945"/>
        </w:tabs>
        <w:spacing w:before="0" w:after="0" w:line="360" w:lineRule="auto"/>
        <w:ind w:left="964" w:hanging="960" w:hangingChars="400"/>
        <w:rPr>
          <w:rFonts w:ascii="宋体" w:hAnsi="宋体"/>
          <w:color w:val="auto"/>
          <w:sz w:val="24"/>
          <w:szCs w:val="24"/>
        </w:rPr>
      </w:pPr>
      <w:bookmarkStart w:id="118" w:name="_Toc26551"/>
      <w:bookmarkStart w:id="119" w:name="_Toc54335389"/>
      <w:bookmarkStart w:id="120" w:name="_Toc22806124"/>
      <w:r>
        <w:rPr>
          <w:rFonts w:hint="eastAsia" w:ascii="宋体" w:hAnsi="宋体"/>
          <w:color w:val="auto"/>
          <w:sz w:val="24"/>
          <w:szCs w:val="24"/>
        </w:rPr>
        <w:t>投标责任、风险及费用</w:t>
      </w:r>
      <w:bookmarkEnd w:id="118"/>
      <w:bookmarkEnd w:id="119"/>
      <w:bookmarkEnd w:id="120"/>
    </w:p>
    <w:p>
      <w:pPr>
        <w:numPr>
          <w:ilvl w:val="1"/>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投标责任、风险：投标人自愿参加本项目的投标，自行承担投标的相关工作、责任和风险，包括但不限于现场考察（不论是否由采购人或者采购代理机构组织或自行考察），投标文件及附件的编写、制作，投标、开标，采购结果等采购过程各环节涉及的人力、设备等全部投入及所有相关人员和财产的安全。</w:t>
      </w:r>
    </w:p>
    <w:p>
      <w:pPr>
        <w:numPr>
          <w:ilvl w:val="1"/>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投标费用：投标人应当自行承担其准备和参加投标有关的一切费用。不论采购结果如何，采购人和采购代理机构均无义务和责任承担这些费用，除非《投标人须知前附表》中已明确约定由采购人对投标人作出适当的投标补偿。</w:t>
      </w:r>
    </w:p>
    <w:p>
      <w:pPr>
        <w:numPr>
          <w:ilvl w:val="1"/>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采购代理服务费：本次招标中，采购代理机构向《投标人须知前附表》中约定的对象收取采购代理服务费（如未约定的，为中标人）。本项目采购代理服务费收费标准、收费服务类型、计费基数、收费折扣（如未约定的，为100%，即无折扣）及最低收费（如未约定的，为5000元）见《投标人须知前附表》。若本项目约定向中标人收取采购代理服务费且有两个或以上中标人的，采购代理服务费由所有中标人分摊（分摊比例见《投标人须知前附表》）。若项目有两个或以上采购包的，各采购包采购代理服务费分别按上述方法和标准独立计算和收取。如招标文件约定向中标供应商收取的，采购代理服务费不在投标报价中单列，由投标供应商综合考虑在报价中。</w:t>
      </w:r>
    </w:p>
    <w:p>
      <w:pPr>
        <w:numPr>
          <w:ilvl w:val="1"/>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政府采购信用担保：为进一步用好政府采购资金支持企业发展，投标人可以根据财政部门的相关规定，采取投标担保（不需缴交投标保证金的项目不适用）、履约担保（不需缴交履约保证金的项目不适用）参加政府采购活动，采取融资担保的形式为政府采购项目履约进行融资。</w:t>
      </w:r>
    </w:p>
    <w:p>
      <w:pPr>
        <w:pStyle w:val="4"/>
        <w:numPr>
          <w:ilvl w:val="0"/>
          <w:numId w:val="14"/>
        </w:numPr>
        <w:tabs>
          <w:tab w:val="left" w:pos="945"/>
        </w:tabs>
        <w:spacing w:before="0" w:after="0" w:line="360" w:lineRule="auto"/>
        <w:ind w:left="0" w:firstLine="0"/>
        <w:rPr>
          <w:rFonts w:ascii="宋体" w:hAnsi="宋体"/>
          <w:color w:val="auto"/>
          <w:sz w:val="28"/>
          <w:szCs w:val="28"/>
        </w:rPr>
      </w:pPr>
      <w:bookmarkStart w:id="121" w:name="_Toc22806125"/>
      <w:bookmarkStart w:id="122" w:name="_Toc22807"/>
      <w:bookmarkStart w:id="123" w:name="_Toc54335390"/>
      <w:r>
        <w:rPr>
          <w:rFonts w:hint="eastAsia" w:ascii="宋体" w:hAnsi="宋体"/>
          <w:color w:val="auto"/>
          <w:sz w:val="28"/>
          <w:szCs w:val="28"/>
        </w:rPr>
        <w:t>招标文件</w:t>
      </w:r>
      <w:bookmarkEnd w:id="121"/>
      <w:bookmarkEnd w:id="122"/>
      <w:bookmarkEnd w:id="123"/>
    </w:p>
    <w:p>
      <w:pPr>
        <w:pStyle w:val="5"/>
        <w:numPr>
          <w:ilvl w:val="0"/>
          <w:numId w:val="15"/>
        </w:numPr>
        <w:tabs>
          <w:tab w:val="left" w:pos="945"/>
        </w:tabs>
        <w:spacing w:before="0" w:after="0" w:line="360" w:lineRule="auto"/>
        <w:ind w:left="964" w:hanging="960" w:hangingChars="400"/>
        <w:rPr>
          <w:rFonts w:ascii="宋体" w:hAnsi="宋体"/>
          <w:color w:val="auto"/>
          <w:sz w:val="24"/>
          <w:szCs w:val="24"/>
        </w:rPr>
      </w:pPr>
      <w:bookmarkStart w:id="124" w:name="_Toc54335391"/>
      <w:bookmarkStart w:id="125" w:name="_Toc22806126"/>
      <w:bookmarkStart w:id="126" w:name="_Toc11149"/>
      <w:r>
        <w:rPr>
          <w:rFonts w:hint="eastAsia" w:ascii="宋体" w:hAnsi="宋体"/>
          <w:color w:val="auto"/>
          <w:sz w:val="24"/>
          <w:szCs w:val="24"/>
        </w:rPr>
        <w:t>招标文件的构成及解释</w:t>
      </w:r>
      <w:bookmarkEnd w:id="124"/>
      <w:bookmarkEnd w:id="125"/>
      <w:bookmarkEnd w:id="126"/>
    </w:p>
    <w:p>
      <w:pPr>
        <w:numPr>
          <w:ilvl w:val="1"/>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招标文件的构成：招标文件由下列部分以及在采购过程中发出的澄清、修改、答疑文件（如有）构成：</w:t>
      </w:r>
    </w:p>
    <w:p>
      <w:pPr>
        <w:numPr>
          <w:ilvl w:val="2"/>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投标邀请</w:t>
      </w:r>
    </w:p>
    <w:p>
      <w:pPr>
        <w:numPr>
          <w:ilvl w:val="2"/>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采购需求</w:t>
      </w:r>
    </w:p>
    <w:p>
      <w:pPr>
        <w:numPr>
          <w:ilvl w:val="2"/>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投标人须知</w:t>
      </w:r>
    </w:p>
    <w:p>
      <w:pPr>
        <w:numPr>
          <w:ilvl w:val="2"/>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评标办法</w:t>
      </w:r>
    </w:p>
    <w:p>
      <w:pPr>
        <w:numPr>
          <w:ilvl w:val="2"/>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拟签订的合同文本</w:t>
      </w:r>
    </w:p>
    <w:p>
      <w:pPr>
        <w:numPr>
          <w:ilvl w:val="2"/>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投标文件格式</w:t>
      </w:r>
    </w:p>
    <w:p>
      <w:pPr>
        <w:numPr>
          <w:ilvl w:val="2"/>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在采购过程中由采购人或者采购代理机构发出的澄清、修改、答疑文件等</w:t>
      </w:r>
    </w:p>
    <w:p>
      <w:pPr>
        <w:numPr>
          <w:ilvl w:val="1"/>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招标文件合规性：招标文件中凡不符合国内现行法律、行政法规、部门规章、规范性文件、强制性标准和技术规范、政府采购政策的部分均为无效。</w:t>
      </w:r>
    </w:p>
    <w:p>
      <w:pPr>
        <w:numPr>
          <w:ilvl w:val="1"/>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本招标文件的解释权归本招标文件中所述的采购人、采购代理机构所有。</w:t>
      </w:r>
    </w:p>
    <w:p>
      <w:pPr>
        <w:numPr>
          <w:ilvl w:val="1"/>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按采购人、采购代理机构解释后，招标文件中相关描述仍有歧义或前后不一致的地方或缺陷，由评标委员会评审进行评判。如上述歧义、重大缺陷导致评标工作无法进行，或者招标文件内容违反国家有关强制性规定的，应当停止评标工作；如上述歧义、缺陷不导致评标工作无法进行，由评标委员会按照合法、合规、公平和有利于项目实施的原则统一标准后进行评审，该标准适用于每个投标人。</w:t>
      </w:r>
    </w:p>
    <w:p>
      <w:pPr>
        <w:numPr>
          <w:ilvl w:val="1"/>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实质性要求：除非招标文件中另有约定允许偏离外，包括以下条款均为本项目的实质性要求，投标人应对其作出实质性响应，任何负偏离或不响应将可能导致其投标无效。（详见《投标文件格式》中的《实质性响应一览表》）</w:t>
      </w:r>
    </w:p>
    <w:p>
      <w:pPr>
        <w:numPr>
          <w:ilvl w:val="2"/>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招标文件中标记“★”号的要求（如有）；</w:t>
      </w:r>
    </w:p>
    <w:p>
      <w:pPr>
        <w:numPr>
          <w:ilvl w:val="2"/>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合同履行期限；</w:t>
      </w:r>
    </w:p>
    <w:p>
      <w:pPr>
        <w:numPr>
          <w:ilvl w:val="2"/>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质保期（服务期）（如有）；</w:t>
      </w:r>
    </w:p>
    <w:p>
      <w:pPr>
        <w:numPr>
          <w:ilvl w:val="2"/>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付款方式；</w:t>
      </w:r>
    </w:p>
    <w:p>
      <w:pPr>
        <w:numPr>
          <w:ilvl w:val="2"/>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 xml:space="preserve">属于政府强制采购节能产品类别的产品认证（如有）或实施强制性产品认证的产品认证（如有）； </w:t>
      </w:r>
    </w:p>
    <w:p>
      <w:pPr>
        <w:numPr>
          <w:ilvl w:val="2"/>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招标文件中已注明为实质性要求的其他内容。</w:t>
      </w:r>
    </w:p>
    <w:p>
      <w:pPr>
        <w:pStyle w:val="5"/>
        <w:numPr>
          <w:ilvl w:val="0"/>
          <w:numId w:val="15"/>
        </w:numPr>
        <w:tabs>
          <w:tab w:val="left" w:pos="945"/>
        </w:tabs>
        <w:spacing w:before="0" w:after="0" w:line="360" w:lineRule="auto"/>
        <w:ind w:left="964" w:hanging="960" w:hangingChars="400"/>
        <w:rPr>
          <w:rFonts w:ascii="宋体" w:hAnsi="宋体"/>
          <w:color w:val="auto"/>
          <w:sz w:val="24"/>
          <w:szCs w:val="24"/>
        </w:rPr>
      </w:pPr>
      <w:bookmarkStart w:id="127" w:name="_Toc54335392"/>
      <w:bookmarkStart w:id="128" w:name="_Toc2204"/>
      <w:bookmarkStart w:id="129" w:name="_Toc22806127"/>
      <w:r>
        <w:rPr>
          <w:rFonts w:hint="eastAsia" w:ascii="宋体" w:hAnsi="宋体"/>
          <w:color w:val="auto"/>
          <w:sz w:val="24"/>
          <w:szCs w:val="24"/>
        </w:rPr>
        <w:t>招标文件的澄清与修改</w:t>
      </w:r>
      <w:bookmarkEnd w:id="127"/>
      <w:bookmarkEnd w:id="128"/>
      <w:bookmarkEnd w:id="129"/>
    </w:p>
    <w:p>
      <w:pPr>
        <w:numPr>
          <w:ilvl w:val="1"/>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无论出于何种原因，采购人或者采购代理机构可主动地或在解答投标人提出的询问、质疑时对招标文件进行澄清或修改。澄清或修改在原公告发布媒体上发布。澄清或修改的内容为招标文件、投标邀请的组成部分，对潜在投标人具有与招标文件、投标邀请同等约束力。</w:t>
      </w:r>
    </w:p>
    <w:p>
      <w:pPr>
        <w:numPr>
          <w:ilvl w:val="1"/>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澄清或者修改的内容可能影响投标文件编制的，采购人或者采购代理机构在投标截止时间至少15日前，以书面形式通知所有获取招标文件的潜在投标人；不足15日的，采购人或者采购代理机构将顺延提交投标文件的截止时间；澄清或者修改的内容不影响投标文件编制的，或采购人或者采购代理机构在征得所有获取招标文件的潜在投标人确认不影响投标文件编制后，可不改变投标截止时间。</w:t>
      </w:r>
    </w:p>
    <w:p>
      <w:pPr>
        <w:numPr>
          <w:ilvl w:val="1"/>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为使潜在投标人准备投标时有充足时间对招标文件的澄清或修改部分进行研究，采购人或者采购代理机构可适当推迟提交投标文件的截止时间及开标时间，并将在原公告发布媒体上发布澄清/修改/更正公告。</w:t>
      </w:r>
    </w:p>
    <w:p>
      <w:pPr>
        <w:keepLines/>
        <w:numPr>
          <w:ilvl w:val="1"/>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潜在投标人在知悉或应当知悉上述相关公告、通知后，应立即以书面形式（纸质形式或电子形式中任意一种）向采购人或者采购代理机构予以确认。本项目一旦在原公告发布媒体上发布澄清/修改/更正公告，视为已经通知潜在投标人，若潜在投标人没有在24小时内以书面形式予以确认的，视为其同意澄清/修改/更正公告的内容。</w:t>
      </w:r>
    </w:p>
    <w:p>
      <w:pPr>
        <w:pStyle w:val="4"/>
        <w:numPr>
          <w:ilvl w:val="0"/>
          <w:numId w:val="14"/>
        </w:numPr>
        <w:tabs>
          <w:tab w:val="left" w:pos="945"/>
        </w:tabs>
        <w:spacing w:before="0" w:after="0" w:line="360" w:lineRule="auto"/>
        <w:ind w:left="0" w:firstLine="0"/>
        <w:rPr>
          <w:rFonts w:ascii="宋体" w:hAnsi="宋体"/>
          <w:color w:val="auto"/>
          <w:sz w:val="28"/>
          <w:szCs w:val="28"/>
        </w:rPr>
      </w:pPr>
      <w:bookmarkStart w:id="130" w:name="_Toc23431"/>
      <w:bookmarkStart w:id="131" w:name="_Toc22806128"/>
      <w:bookmarkStart w:id="132" w:name="_Toc54335393"/>
      <w:r>
        <w:rPr>
          <w:rFonts w:hint="eastAsia" w:ascii="宋体" w:hAnsi="宋体"/>
          <w:color w:val="auto"/>
          <w:sz w:val="28"/>
          <w:szCs w:val="28"/>
        </w:rPr>
        <w:t>投标文件</w:t>
      </w:r>
      <w:bookmarkEnd w:id="130"/>
      <w:bookmarkEnd w:id="131"/>
      <w:bookmarkEnd w:id="132"/>
    </w:p>
    <w:p>
      <w:pPr>
        <w:pStyle w:val="5"/>
        <w:numPr>
          <w:ilvl w:val="0"/>
          <w:numId w:val="15"/>
        </w:numPr>
        <w:tabs>
          <w:tab w:val="left" w:pos="945"/>
        </w:tabs>
        <w:spacing w:before="0" w:after="0" w:line="360" w:lineRule="auto"/>
        <w:ind w:left="964" w:hanging="960" w:hangingChars="400"/>
        <w:rPr>
          <w:rFonts w:ascii="宋体" w:hAnsi="宋体"/>
          <w:color w:val="auto"/>
          <w:sz w:val="24"/>
          <w:szCs w:val="24"/>
        </w:rPr>
      </w:pPr>
      <w:bookmarkStart w:id="133" w:name="_Toc11825"/>
      <w:bookmarkStart w:id="134" w:name="_Toc54335394"/>
      <w:bookmarkStart w:id="135" w:name="_Toc22806129"/>
      <w:r>
        <w:rPr>
          <w:rFonts w:hint="eastAsia" w:ascii="宋体" w:hAnsi="宋体"/>
          <w:color w:val="auto"/>
          <w:sz w:val="24"/>
          <w:szCs w:val="24"/>
        </w:rPr>
        <w:t>投标文件的构成</w:t>
      </w:r>
      <w:bookmarkEnd w:id="133"/>
      <w:bookmarkEnd w:id="134"/>
      <w:bookmarkEnd w:id="135"/>
    </w:p>
    <w:p>
      <w:pPr>
        <w:numPr>
          <w:ilvl w:val="1"/>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投标文件不限于由商务、技术、价格等部分构成，包括但不限于《采购需求》、《投标文件格式》要求的所有内容。供应商应当按照招标文件的要求编制投标文件，投标文件应当对招标文件提出的要求和条件作出明确响应，且符合法律法规的要求。</w:t>
      </w:r>
    </w:p>
    <w:p>
      <w:pPr>
        <w:pStyle w:val="5"/>
        <w:numPr>
          <w:ilvl w:val="0"/>
          <w:numId w:val="15"/>
        </w:numPr>
        <w:tabs>
          <w:tab w:val="left" w:pos="945"/>
        </w:tabs>
        <w:spacing w:before="0" w:after="0" w:line="360" w:lineRule="auto"/>
        <w:ind w:left="964" w:hanging="960" w:hangingChars="400"/>
        <w:rPr>
          <w:rFonts w:ascii="宋体" w:hAnsi="宋体"/>
          <w:color w:val="auto"/>
          <w:sz w:val="24"/>
          <w:szCs w:val="24"/>
        </w:rPr>
      </w:pPr>
      <w:bookmarkStart w:id="136" w:name="_Toc54335395"/>
      <w:bookmarkStart w:id="137" w:name="_Toc30433"/>
      <w:bookmarkStart w:id="138" w:name="_Toc22806130"/>
      <w:r>
        <w:rPr>
          <w:rFonts w:hint="eastAsia" w:ascii="宋体" w:hAnsi="宋体"/>
          <w:color w:val="auto"/>
          <w:sz w:val="24"/>
          <w:szCs w:val="24"/>
        </w:rPr>
        <w:t>投标的语言及计量单位</w:t>
      </w:r>
      <w:bookmarkEnd w:id="136"/>
      <w:bookmarkEnd w:id="137"/>
      <w:bookmarkEnd w:id="138"/>
    </w:p>
    <w:p>
      <w:pPr>
        <w:numPr>
          <w:ilvl w:val="1"/>
          <w:numId w:val="16"/>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投标人提交的投标文件以及投标人与采购人或者采购代理机构就与投标有关的所有来往函电均应使用简体中文。投标人提交的各类支持文件或印刷资料可以用另一种语言，但应附有简体中文翻译本（该翻译本应与原语言本内容保持一致，不得隐瞒和修改），在解释投标文件内容时以简体中文翻译本为准；如对简体中文翻译有不同解释的，以权威机构的译本为准；如投标人未提供简体中文翻译本或翻译本与原语言本存在明显隐瞒或错漏，采购人或者采购代理机构或者评标委员会将有可能作出不利于投标人的理解，从而可能影响对其的评审结果，严重时可能导致其投标无效。</w:t>
      </w:r>
    </w:p>
    <w:p>
      <w:pPr>
        <w:numPr>
          <w:ilvl w:val="1"/>
          <w:numId w:val="16"/>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除非招标文件的《采购需求》中另有规定，投标人在投标文件中及其与采购人或者采购代理机构的所有往来文件中的计量单位均应采用中华人民共和国法定计量单位。</w:t>
      </w:r>
    </w:p>
    <w:p>
      <w:pPr>
        <w:pStyle w:val="5"/>
        <w:numPr>
          <w:ilvl w:val="0"/>
          <w:numId w:val="15"/>
        </w:numPr>
        <w:tabs>
          <w:tab w:val="left" w:pos="945"/>
        </w:tabs>
        <w:spacing w:before="0" w:after="0" w:line="360" w:lineRule="auto"/>
        <w:ind w:left="964" w:hanging="960" w:hangingChars="400"/>
        <w:rPr>
          <w:rFonts w:ascii="宋体" w:hAnsi="宋体"/>
          <w:color w:val="auto"/>
          <w:sz w:val="24"/>
          <w:szCs w:val="24"/>
        </w:rPr>
      </w:pPr>
      <w:bookmarkStart w:id="139" w:name="_Toc12796"/>
      <w:bookmarkStart w:id="140" w:name="_Toc54335396"/>
      <w:bookmarkStart w:id="141" w:name="_Toc22806131"/>
      <w:r>
        <w:rPr>
          <w:rFonts w:hint="eastAsia" w:ascii="宋体" w:hAnsi="宋体"/>
          <w:color w:val="auto"/>
          <w:sz w:val="24"/>
          <w:szCs w:val="24"/>
        </w:rPr>
        <w:t>投标文件合规性</w:t>
      </w:r>
      <w:bookmarkEnd w:id="139"/>
      <w:bookmarkEnd w:id="140"/>
      <w:bookmarkEnd w:id="141"/>
    </w:p>
    <w:p>
      <w:pPr>
        <w:numPr>
          <w:ilvl w:val="1"/>
          <w:numId w:val="17"/>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投标文件的编制应符合相关法律、法规、部门规章、规范性文件及招标文件的要求，技术及服务方案应符合国家、地方和行业相关强制性标准和规范。投标文件中凡不符合上述规定的部分将视为无效，采购人或者采购代理机构或者评标委员会可能据此作出对投标人不利处理。</w:t>
      </w:r>
    </w:p>
    <w:p>
      <w:pPr>
        <w:pStyle w:val="5"/>
        <w:numPr>
          <w:ilvl w:val="0"/>
          <w:numId w:val="15"/>
        </w:numPr>
        <w:tabs>
          <w:tab w:val="left" w:pos="945"/>
        </w:tabs>
        <w:spacing w:before="0" w:after="0" w:line="360" w:lineRule="auto"/>
        <w:ind w:left="964" w:hanging="960" w:hangingChars="400"/>
        <w:rPr>
          <w:rFonts w:ascii="宋体" w:hAnsi="宋体"/>
          <w:color w:val="auto"/>
          <w:sz w:val="24"/>
          <w:szCs w:val="24"/>
        </w:rPr>
      </w:pPr>
      <w:bookmarkStart w:id="142" w:name="_Toc31639"/>
      <w:bookmarkStart w:id="143" w:name="_Toc22806132"/>
      <w:bookmarkStart w:id="144" w:name="_Toc54335397"/>
      <w:r>
        <w:rPr>
          <w:rFonts w:hint="eastAsia" w:ascii="宋体" w:hAnsi="宋体"/>
          <w:color w:val="auto"/>
          <w:sz w:val="24"/>
          <w:szCs w:val="24"/>
        </w:rPr>
        <w:t>投标文件的编制</w:t>
      </w:r>
      <w:bookmarkEnd w:id="142"/>
      <w:bookmarkEnd w:id="143"/>
      <w:bookmarkEnd w:id="144"/>
    </w:p>
    <w:p>
      <w:pPr>
        <w:numPr>
          <w:ilvl w:val="1"/>
          <w:numId w:val="18"/>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投标人应按照招标文件要求完整、真实、准确、无隐瞒地编制其投标文件。</w:t>
      </w:r>
      <w:r>
        <w:rPr>
          <w:rFonts w:hint="eastAsia" w:ascii="宋体" w:hAnsi="宋体"/>
          <w:color w:val="auto"/>
          <w:sz w:val="24"/>
          <w:szCs w:val="24"/>
        </w:rPr>
        <w:tab/>
      </w:r>
      <w:r>
        <w:rPr>
          <w:rFonts w:hint="eastAsia" w:ascii="宋体" w:hAnsi="宋体"/>
          <w:color w:val="auto"/>
          <w:sz w:val="24"/>
          <w:szCs w:val="24"/>
        </w:rPr>
        <w:t>投标人应认真阅读、并充分理解招标文件的全部内容（包括所有的澄清、修改、答疑、更正内容、重要事项、格式、条款和技术、商务要求等）。投标人没有按照招标文件要求（包括形式要求和内容要求）提交全部资料，或者其投标没有对招标文件的所有要求做出实质性响应，由此造成的一切风险及后果均由投标人自行承担。上述风险及后果包括有可能导致其投标被拒绝或被认定为无效投标或投标无效；如项目采用综合评分法评审的，也有可能造成对其不利评审得分的结果。</w:t>
      </w:r>
    </w:p>
    <w:p>
      <w:pPr>
        <w:numPr>
          <w:ilvl w:val="1"/>
          <w:numId w:val="18"/>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投标文件应当按照招标文件第六部分《投标文件格式》中已规定的格式编制和盖章、签署。格式中给定的表格，投标人可以根据投标实际情况自行增减行数。格式中注明“供参考”或“格式自定”字样的部分，投标人可以根据投标实际情况自行增减内容或自定格式，但不得删改其实质性内容和要求（包括盖章、签署要求）。格式中注明“如适用”、“如有”字样的部分，投标人可以根据招标文件本条款规定或第六部分《投标文件格式》中的总说明（如有）及自身投标实际适用或有无情况使用（如不适用或无，可保留相关格式，并相应注明“不适用”或“无此内容”字样）。</w:t>
      </w:r>
    </w:p>
    <w:p>
      <w:pPr>
        <w:numPr>
          <w:ilvl w:val="1"/>
          <w:numId w:val="18"/>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投标人应当对投标文件进行牢固装订，对未经装订或装订不牢的投标文件可能发生的文件散落或缺损，由此产生的后果由投标人承担。</w:t>
      </w:r>
    </w:p>
    <w:p>
      <w:pPr>
        <w:numPr>
          <w:ilvl w:val="1"/>
          <w:numId w:val="18"/>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投标人必须对投标文件所提供的全部资料的真实性、完整性承担法律责任，无条件接受采购人、采购代理机构或者有关监管机构在采购过程中对其中任何资料依法进行必要的核实的要求。</w:t>
      </w:r>
    </w:p>
    <w:p>
      <w:pPr>
        <w:numPr>
          <w:ilvl w:val="1"/>
          <w:numId w:val="18"/>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投标人须确保其提供投标文件的全部内容均未侵犯任何第三方合法权益和知识产权。因此构成任何侵权行为，均由投标人承担全部责任，由此造成的法律责任、经济处罚和补偿全部由投标人承担，与采购人无关。</w:t>
      </w:r>
    </w:p>
    <w:p>
      <w:pPr>
        <w:pStyle w:val="5"/>
        <w:numPr>
          <w:ilvl w:val="0"/>
          <w:numId w:val="15"/>
        </w:numPr>
        <w:tabs>
          <w:tab w:val="left" w:pos="945"/>
        </w:tabs>
        <w:spacing w:before="0" w:after="0" w:line="360" w:lineRule="auto"/>
        <w:ind w:left="964" w:hanging="960" w:hangingChars="400"/>
        <w:rPr>
          <w:rFonts w:ascii="宋体" w:hAnsi="宋体"/>
          <w:color w:val="auto"/>
          <w:sz w:val="24"/>
          <w:szCs w:val="24"/>
        </w:rPr>
      </w:pPr>
      <w:bookmarkStart w:id="145" w:name="_Toc22806133"/>
      <w:bookmarkStart w:id="146" w:name="_Toc16048"/>
      <w:bookmarkStart w:id="147" w:name="_Toc54335398"/>
      <w:r>
        <w:rPr>
          <w:rFonts w:hint="eastAsia" w:ascii="宋体" w:hAnsi="宋体"/>
          <w:color w:val="auto"/>
          <w:sz w:val="24"/>
          <w:szCs w:val="24"/>
        </w:rPr>
        <w:t>投标报价</w:t>
      </w:r>
      <w:bookmarkEnd w:id="145"/>
      <w:bookmarkEnd w:id="146"/>
      <w:bookmarkEnd w:id="147"/>
    </w:p>
    <w:p>
      <w:pPr>
        <w:numPr>
          <w:ilvl w:val="1"/>
          <w:numId w:val="19"/>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投标人所提供的货物和相关服务均应采用人民币报价。</w:t>
      </w:r>
    </w:p>
    <w:p>
      <w:pPr>
        <w:numPr>
          <w:ilvl w:val="1"/>
          <w:numId w:val="19"/>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投标人应在《采购需求》及合同条款规定的采购范围、内容、标准、责任范围按照招标文件给定的格式和要求进行合理报价。除非《采购需求》中另有约定，否则投标报价为完成本次采购项目全部采购内容的报价。投标报价中包含不在采购范围内和与采购无关的其他商品、服务的，在评审过程中计算其投标报价时不予核减；若中标，签订合同时予以核减。</w:t>
      </w:r>
    </w:p>
    <w:p>
      <w:pPr>
        <w:tabs>
          <w:tab w:val="left" w:pos="945"/>
        </w:tabs>
        <w:autoSpaceDE w:val="0"/>
        <w:autoSpaceDN w:val="0"/>
        <w:spacing w:line="360" w:lineRule="auto"/>
        <w:ind w:left="960" w:firstLine="360" w:firstLineChars="150"/>
        <w:rPr>
          <w:rFonts w:ascii="宋体" w:hAnsi="宋体"/>
          <w:b/>
          <w:color w:val="auto"/>
          <w:sz w:val="24"/>
          <w:szCs w:val="24"/>
        </w:rPr>
      </w:pPr>
      <w:r>
        <w:rPr>
          <w:rFonts w:hint="eastAsia" w:ascii="宋体" w:hAnsi="宋体"/>
          <w:b/>
          <w:color w:val="auto"/>
          <w:sz w:val="24"/>
          <w:szCs w:val="24"/>
        </w:rPr>
        <w:t>投标报价中对投标标的的主体、关键内容（如核心产品或主要产品或主要服务内容等）有漏项、缺项的，其投标无效。除上述规定外，投标人有非主体、非关键内容的缺项、漏项（数量不符合将被视为漏项），均视为报价中已包含相关费用，如中标不得再向采购人收取任何该费用。</w:t>
      </w:r>
    </w:p>
    <w:p>
      <w:pPr>
        <w:numPr>
          <w:ilvl w:val="1"/>
          <w:numId w:val="19"/>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投标报价时应符合下列要求：</w:t>
      </w:r>
    </w:p>
    <w:p>
      <w:pPr>
        <w:numPr>
          <w:ilvl w:val="2"/>
          <w:numId w:val="19"/>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对于报价已含在其他部分的项目应当标明“已含在……中”；</w:t>
      </w:r>
    </w:p>
    <w:p>
      <w:pPr>
        <w:numPr>
          <w:ilvl w:val="2"/>
          <w:numId w:val="19"/>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除非《采购需求》中另有约定，根据合同约定和现行税法税则及政府有关行政主管部门规定完成本项目应缴纳一切税费均应包含在投标报价中；</w:t>
      </w:r>
    </w:p>
    <w:p>
      <w:pPr>
        <w:numPr>
          <w:ilvl w:val="2"/>
          <w:numId w:val="19"/>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除非《采购需求》中另有约定，投标报价应包含项目标的主体实施及相关配套、伴随和售后服务的所有费用。不论《采购需求》中是否规定，凡属于本项目合法实施所必需的货物、服务、工作，以及相应的费用及须向第三方支付必要的知识产权使用费，均应包含在投标报价内。</w:t>
      </w:r>
    </w:p>
    <w:p>
      <w:pPr>
        <w:numPr>
          <w:ilvl w:val="1"/>
          <w:numId w:val="19"/>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除非《采购需求》或《投标人须知前附表》中另有规定，投标人对每一种规格的货物和每一项服务只允许一个固定报价，不接受具有附加条件的报价，否则其投标将被视为无效。</w:t>
      </w:r>
    </w:p>
    <w:p>
      <w:pPr>
        <w:pStyle w:val="5"/>
        <w:numPr>
          <w:ilvl w:val="0"/>
          <w:numId w:val="15"/>
        </w:numPr>
        <w:tabs>
          <w:tab w:val="left" w:pos="945"/>
        </w:tabs>
        <w:spacing w:before="0" w:after="0" w:line="360" w:lineRule="auto"/>
        <w:ind w:left="964" w:hanging="960" w:hangingChars="400"/>
        <w:rPr>
          <w:rFonts w:ascii="宋体" w:hAnsi="宋体"/>
          <w:color w:val="auto"/>
          <w:sz w:val="24"/>
          <w:szCs w:val="24"/>
        </w:rPr>
      </w:pPr>
      <w:bookmarkStart w:id="148" w:name="_Toc9108"/>
      <w:bookmarkStart w:id="149" w:name="_Toc54335399"/>
      <w:bookmarkStart w:id="150" w:name="_Toc22806134"/>
      <w:r>
        <w:rPr>
          <w:rFonts w:hint="eastAsia" w:ascii="宋体" w:hAnsi="宋体"/>
          <w:color w:val="auto"/>
          <w:sz w:val="24"/>
          <w:szCs w:val="24"/>
        </w:rPr>
        <w:t>投标方案</w:t>
      </w:r>
      <w:bookmarkEnd w:id="148"/>
      <w:bookmarkEnd w:id="149"/>
      <w:bookmarkEnd w:id="150"/>
    </w:p>
    <w:p>
      <w:pPr>
        <w:numPr>
          <w:ilvl w:val="1"/>
          <w:numId w:val="20"/>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除非《采购需求》或《投标人须知前附表》中另有规定，只允许投标人提供一个投标方案（即不接受提供备选方案），否则其投标将被视为无效。</w:t>
      </w:r>
    </w:p>
    <w:p>
      <w:pPr>
        <w:numPr>
          <w:ilvl w:val="1"/>
          <w:numId w:val="20"/>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如果本项目允许投标人提供备选方案，投标人在编制投标文件时提供两个或以上方案时，应当明确注明其中一个方案为主选方案，其他方案为备选方案。评审时，如无特别说明，仅以主选方案参与评审。</w:t>
      </w:r>
    </w:p>
    <w:p>
      <w:pPr>
        <w:numPr>
          <w:ilvl w:val="1"/>
          <w:numId w:val="20"/>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ab/>
      </w:r>
      <w:r>
        <w:rPr>
          <w:rFonts w:hint="eastAsia" w:ascii="宋体" w:hAnsi="宋体"/>
          <w:color w:val="auto"/>
          <w:sz w:val="24"/>
          <w:szCs w:val="24"/>
          <w:lang w:bidi="ar"/>
        </w:rPr>
        <w:t>本项目（采购包）不允许转包。除非《投标邀请》或《采购需求》或《投标人须知前附表》中另有规定，本项目（采购包）不允许分包。</w:t>
      </w:r>
      <w:r>
        <w:rPr>
          <w:rFonts w:hint="eastAsia" w:ascii="宋体" w:hAnsi="宋体"/>
          <w:color w:val="auto"/>
          <w:sz w:val="24"/>
          <w:szCs w:val="24"/>
        </w:rPr>
        <w:t>根据招标文件的规定和采购项目的实际情况，中标人确需将本项目的非主体、非关键性内容分包给其他承担主体的，须经采购人同意，分包承担主体应当具备相应资质条件且不得再次分包，同时符合法律、法规的其他规定。落实政府采购政策要求以</w:t>
      </w:r>
      <w:r>
        <w:rPr>
          <w:rFonts w:hint="eastAsia" w:ascii="宋体" w:hAnsi="宋体"/>
          <w:color w:val="auto"/>
          <w:sz w:val="24"/>
          <w:szCs w:val="24"/>
          <w:lang w:bidi="ar"/>
        </w:rPr>
        <w:t>合同分包形式参加投标的采购项目（采购包），合同分包应符合《政府采购促进中小企业发展管理办法》（财库〔2020〕46号）的规定，依据该办法规定享受扶持政策获得政府采购合同的，小微企业不得将合同分包给大中型企业，中型企业不得将合同分包给大型企业。</w:t>
      </w:r>
    </w:p>
    <w:p>
      <w:pPr>
        <w:pStyle w:val="5"/>
        <w:numPr>
          <w:ilvl w:val="0"/>
          <w:numId w:val="15"/>
        </w:numPr>
        <w:tabs>
          <w:tab w:val="left" w:pos="945"/>
        </w:tabs>
        <w:spacing w:before="0" w:after="0" w:line="360" w:lineRule="auto"/>
        <w:ind w:left="964" w:hanging="960" w:hangingChars="400"/>
        <w:rPr>
          <w:rFonts w:ascii="宋体" w:hAnsi="宋体"/>
          <w:color w:val="auto"/>
          <w:sz w:val="24"/>
          <w:szCs w:val="24"/>
        </w:rPr>
      </w:pPr>
      <w:bookmarkStart w:id="151" w:name="_Toc22806135"/>
      <w:bookmarkStart w:id="152" w:name="_Toc137"/>
      <w:bookmarkStart w:id="153" w:name="_Toc54335400"/>
      <w:r>
        <w:rPr>
          <w:rFonts w:hint="eastAsia" w:ascii="宋体" w:hAnsi="宋体"/>
          <w:color w:val="auto"/>
          <w:sz w:val="24"/>
          <w:szCs w:val="24"/>
        </w:rPr>
        <w:t>联合体投标</w:t>
      </w:r>
      <w:bookmarkEnd w:id="151"/>
      <w:r>
        <w:rPr>
          <w:rFonts w:hint="eastAsia" w:ascii="宋体" w:hAnsi="宋体"/>
          <w:color w:val="auto"/>
          <w:sz w:val="24"/>
          <w:szCs w:val="24"/>
        </w:rPr>
        <w:t>（不允许联合体投标的项目不适用）</w:t>
      </w:r>
      <w:bookmarkEnd w:id="152"/>
      <w:bookmarkEnd w:id="153"/>
    </w:p>
    <w:p>
      <w:pPr>
        <w:numPr>
          <w:ilvl w:val="1"/>
          <w:numId w:val="21"/>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rPr>
        <w:t>本项目是否允许联合体投标见《投标邀请》。如未明确载明的，视为允许联合体投标。</w:t>
      </w:r>
    </w:p>
    <w:p>
      <w:pPr>
        <w:numPr>
          <w:ilvl w:val="1"/>
          <w:numId w:val="21"/>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rPr>
        <w:t>参加联合体的各供应商均应当具备《中华人民共和国政府采购法》第二十二条规定的条件，并应当向采购人提交联合协议，载明联合体各方承担的工作和义务。如中标，联合体各方应当共同与采购人签订采购合同，就采购合同约定的事项对采购人承担连带责任。</w:t>
      </w:r>
    </w:p>
    <w:p>
      <w:pPr>
        <w:numPr>
          <w:ilvl w:val="1"/>
          <w:numId w:val="21"/>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联合体中有同类资质的供应商按照联合体分工承担相同工作的，按照资质等级较低的供应商确定资质等级。</w:t>
      </w:r>
    </w:p>
    <w:p>
      <w:pPr>
        <w:numPr>
          <w:ilvl w:val="1"/>
          <w:numId w:val="21"/>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以联合体形式参加政府采购活动的，联合体各方不得再单独参加或者与其他供应商另外组成联合体参加同一合同项下的政府采购活动。</w:t>
      </w:r>
    </w:p>
    <w:p>
      <w:pPr>
        <w:numPr>
          <w:ilvl w:val="1"/>
          <w:numId w:val="21"/>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以联合体形式投标的，除非投标文件格式有特别说明和《投标人须知前附表》另有规定，全部投标文件（包括联合体各成员提供的自身独立的证明文件）可以由联合体各方共同盖公章、联合体各方法定代表人共同签字（或盖章）、共同推选的授权代表签字（或盖章），也可以根据《联合协议》约定的方式加盖公章及签署。联合体的名称统一表述为“成员1全称、成员2全称、</w:t>
      </w:r>
      <w:r>
        <w:rPr>
          <w:rFonts w:ascii="宋体" w:hAnsi="宋体"/>
          <w:color w:val="auto"/>
          <w:sz w:val="24"/>
          <w:szCs w:val="24"/>
        </w:rPr>
        <w:t>……</w:t>
      </w:r>
      <w:r>
        <w:rPr>
          <w:rFonts w:hint="eastAsia" w:ascii="宋体" w:hAnsi="宋体"/>
          <w:color w:val="auto"/>
          <w:sz w:val="24"/>
          <w:szCs w:val="24"/>
        </w:rPr>
        <w:t>、成员</w:t>
      </w:r>
      <w:r>
        <w:rPr>
          <w:rFonts w:ascii="宋体" w:hAnsi="宋体"/>
          <w:color w:val="auto"/>
          <w:sz w:val="24"/>
          <w:szCs w:val="24"/>
        </w:rPr>
        <w:t>……</w:t>
      </w:r>
      <w:r>
        <w:rPr>
          <w:rFonts w:hint="eastAsia" w:ascii="宋体" w:hAnsi="宋体"/>
          <w:color w:val="auto"/>
          <w:sz w:val="24"/>
          <w:szCs w:val="24"/>
        </w:rPr>
        <w:t>全称联合体”。</w:t>
      </w:r>
    </w:p>
    <w:p>
      <w:pPr>
        <w:pStyle w:val="5"/>
        <w:numPr>
          <w:ilvl w:val="0"/>
          <w:numId w:val="15"/>
        </w:numPr>
        <w:tabs>
          <w:tab w:val="left" w:pos="945"/>
        </w:tabs>
        <w:spacing w:before="0" w:after="0" w:line="360" w:lineRule="auto"/>
        <w:ind w:left="964" w:hanging="960" w:hangingChars="400"/>
        <w:rPr>
          <w:rFonts w:ascii="宋体" w:hAnsi="宋体"/>
          <w:color w:val="auto"/>
          <w:sz w:val="24"/>
          <w:szCs w:val="24"/>
        </w:rPr>
      </w:pPr>
      <w:bookmarkStart w:id="154" w:name="_Toc17464"/>
      <w:bookmarkStart w:id="155" w:name="_Toc22806136"/>
      <w:bookmarkStart w:id="156" w:name="_Toc54335401"/>
      <w:r>
        <w:rPr>
          <w:rFonts w:hint="eastAsia" w:ascii="宋体" w:hAnsi="宋体"/>
          <w:color w:val="auto"/>
          <w:sz w:val="24"/>
          <w:szCs w:val="24"/>
        </w:rPr>
        <w:t>投标人资格、资信、落实政策和满足要求的证明文件</w:t>
      </w:r>
      <w:bookmarkEnd w:id="154"/>
      <w:bookmarkEnd w:id="155"/>
      <w:bookmarkEnd w:id="156"/>
    </w:p>
    <w:p>
      <w:pPr>
        <w:numPr>
          <w:ilvl w:val="1"/>
          <w:numId w:val="22"/>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投标人应按招标文件的要求，提交相关资格、资信证明文件，为落实政府采购政策，采购标的满足的要求，以及投标人须提供的证明材料。上述材料用以证明投标人符合投标人的资格要求，以及政府采购相关法律、法规和政策要求，在中标后具有良好的履行合同能力。</w:t>
      </w:r>
    </w:p>
    <w:p>
      <w:pPr>
        <w:numPr>
          <w:ilvl w:val="1"/>
          <w:numId w:val="22"/>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投标人信用信息查询</w:t>
      </w:r>
    </w:p>
    <w:p>
      <w:pPr>
        <w:numPr>
          <w:ilvl w:val="2"/>
          <w:numId w:val="23"/>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查询渠道：“信用中国”网站（www.creditchina.gov.cn）“记录失信被执行人”和“重大税收违法案件当事人名单”和“政府采购严重违法失信行为”记录名单，中国政府采购网（www.ccgp.gov.cn）“政府采购严重违法失信行为信息记录”名单。</w:t>
      </w:r>
    </w:p>
    <w:p>
      <w:pPr>
        <w:numPr>
          <w:ilvl w:val="2"/>
          <w:numId w:val="23"/>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查询截止时点：本项目投标截止时间。</w:t>
      </w:r>
    </w:p>
    <w:p>
      <w:pPr>
        <w:numPr>
          <w:ilvl w:val="2"/>
          <w:numId w:val="23"/>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信用信息查询记录方式：由采购人或者采购代理机构于本查询截止时点后在查询渠道查询。</w:t>
      </w:r>
    </w:p>
    <w:p>
      <w:pPr>
        <w:numPr>
          <w:ilvl w:val="2"/>
          <w:numId w:val="23"/>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证据留存方式：查询渠道查询结果纸质打印件或网页截屏电子件。</w:t>
      </w:r>
    </w:p>
    <w:p>
      <w:pPr>
        <w:numPr>
          <w:ilvl w:val="2"/>
          <w:numId w:val="23"/>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信用信息的使用规则：采购人或者采购代理机构对供应商信用记录进行甄别，对列入失信被执行人、重大税收违法案件当事人名单、政府采购严重违法失信行为记录名单及其他不符合《中华人民共和国政府采购法》第二十二条规定条件的供应商，拒绝其参与政府采购活动。</w:t>
      </w:r>
    </w:p>
    <w:p>
      <w:pPr>
        <w:numPr>
          <w:ilvl w:val="0"/>
          <w:numId w:val="24"/>
        </w:numPr>
        <w:tabs>
          <w:tab w:val="left" w:pos="945"/>
        </w:tabs>
        <w:autoSpaceDE w:val="0"/>
        <w:autoSpaceDN w:val="0"/>
        <w:spacing w:line="360" w:lineRule="auto"/>
        <w:rPr>
          <w:rFonts w:ascii="宋体" w:hAnsi="宋体"/>
          <w:color w:val="auto"/>
          <w:sz w:val="24"/>
          <w:szCs w:val="24"/>
        </w:rPr>
      </w:pPr>
      <w:r>
        <w:rPr>
          <w:rFonts w:hint="eastAsia" w:ascii="宋体" w:hAnsi="宋体"/>
          <w:color w:val="auto"/>
          <w:sz w:val="24"/>
          <w:szCs w:val="24"/>
        </w:rPr>
        <w:t>两个以上的自然人、法人或者其他组织组成一个联合体，以一个供应商的身份共同参加政府采购活动的，对所有联合体成员进行信用记录查询，联合体成员存在不良信用记录的，视同联合体存在不良信用记录。</w:t>
      </w:r>
    </w:p>
    <w:p>
      <w:pPr>
        <w:numPr>
          <w:ilvl w:val="0"/>
          <w:numId w:val="24"/>
        </w:numPr>
        <w:tabs>
          <w:tab w:val="left" w:pos="945"/>
        </w:tabs>
        <w:autoSpaceDE w:val="0"/>
        <w:autoSpaceDN w:val="0"/>
        <w:spacing w:line="360" w:lineRule="auto"/>
        <w:rPr>
          <w:rFonts w:ascii="宋体" w:hAnsi="宋体"/>
          <w:color w:val="auto"/>
          <w:sz w:val="24"/>
          <w:szCs w:val="24"/>
        </w:rPr>
      </w:pPr>
      <w:r>
        <w:rPr>
          <w:rFonts w:hint="eastAsia" w:ascii="宋体" w:hAnsi="宋体"/>
          <w:color w:val="auto"/>
          <w:sz w:val="24"/>
          <w:szCs w:val="24"/>
        </w:rPr>
        <w:t>如适用，投标人为分支机构或联合体有成员为分支机构的，同时对该分支机构所属总公司（总所）进行信用记录查询，该分支机构所属总公司（总所）存在不良信用记录的，视同供应商（联合体）存在不良信用记录。</w:t>
      </w:r>
    </w:p>
    <w:p>
      <w:pPr>
        <w:numPr>
          <w:ilvl w:val="0"/>
          <w:numId w:val="24"/>
        </w:numPr>
        <w:tabs>
          <w:tab w:val="left" w:pos="945"/>
        </w:tabs>
        <w:autoSpaceDE w:val="0"/>
        <w:autoSpaceDN w:val="0"/>
        <w:spacing w:line="360" w:lineRule="auto"/>
        <w:rPr>
          <w:rFonts w:ascii="宋体" w:hAnsi="宋体"/>
          <w:color w:val="auto"/>
          <w:sz w:val="24"/>
          <w:szCs w:val="24"/>
        </w:rPr>
      </w:pPr>
      <w:r>
        <w:rPr>
          <w:rFonts w:hint="eastAsia" w:ascii="宋体" w:hAnsi="宋体"/>
          <w:color w:val="auto"/>
          <w:sz w:val="24"/>
          <w:szCs w:val="24"/>
        </w:rPr>
        <w:t>未查询到信用信息的主体，视为其未被列入记录名单。</w:t>
      </w:r>
    </w:p>
    <w:p>
      <w:pPr>
        <w:numPr>
          <w:ilvl w:val="1"/>
          <w:numId w:val="22"/>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招标文件可以要求供应商出示相关必要的证明材料（将在《资格审查表》、《符合性审查表》、《技术/服务评审表》（如有）、《商务评审表》（如有）、《采购需求》或《供应商须知前附表》中予以规定）供评审，供应商不按要求提供的，将可能影响对供应商的资格审查或评审结果，由此造成的后果由供应商承担。</w:t>
      </w:r>
    </w:p>
    <w:p>
      <w:pPr>
        <w:numPr>
          <w:ilvl w:val="1"/>
          <w:numId w:val="22"/>
        </w:numPr>
        <w:tabs>
          <w:tab w:val="left" w:pos="945"/>
        </w:tabs>
        <w:autoSpaceDE w:val="0"/>
        <w:autoSpaceDN w:val="0"/>
        <w:spacing w:line="360" w:lineRule="auto"/>
        <w:ind w:left="960" w:hanging="960" w:hangingChars="400"/>
        <w:rPr>
          <w:rStyle w:val="56"/>
          <w:rFonts w:ascii="宋体" w:hAnsi="宋体"/>
          <w:color w:val="auto"/>
          <w:sz w:val="24"/>
          <w:szCs w:val="24"/>
        </w:rPr>
      </w:pPr>
      <w:r>
        <w:rPr>
          <w:rStyle w:val="56"/>
          <w:rFonts w:hint="eastAsia" w:hAnsi="宋体"/>
          <w:color w:val="auto"/>
          <w:sz w:val="24"/>
          <w:szCs w:val="24"/>
        </w:rPr>
        <w:t>对可接受分支机构投标的项目，分支机构投标的，须提供分支机构的营业执</w:t>
      </w:r>
      <w:r>
        <w:rPr>
          <w:rStyle w:val="56"/>
          <w:rFonts w:hint="eastAsia"/>
          <w:color w:val="auto"/>
          <w:sz w:val="24"/>
          <w:szCs w:val="24"/>
        </w:rPr>
        <w:t>照（执业许可证）复印件、</w:t>
      </w:r>
      <w:r>
        <w:rPr>
          <w:rFonts w:hint="eastAsia" w:ascii="宋体" w:hAnsi="宋体"/>
          <w:color w:val="auto"/>
          <w:sz w:val="24"/>
          <w:szCs w:val="24"/>
        </w:rPr>
        <w:t>总公司（总所）的营业执照副本复印件</w:t>
      </w:r>
      <w:r>
        <w:rPr>
          <w:rStyle w:val="56"/>
          <w:rFonts w:hint="eastAsia"/>
          <w:color w:val="auto"/>
          <w:sz w:val="24"/>
          <w:szCs w:val="24"/>
        </w:rPr>
        <w:t>及</w:t>
      </w:r>
      <w:r>
        <w:rPr>
          <w:rStyle w:val="56"/>
          <w:rFonts w:hint="eastAsia" w:hAnsi="宋体"/>
          <w:color w:val="auto"/>
          <w:sz w:val="24"/>
          <w:szCs w:val="24"/>
        </w:rPr>
        <w:t>总公司（总所）出具给分支机构的</w:t>
      </w:r>
      <w:r>
        <w:rPr>
          <w:rStyle w:val="56"/>
          <w:rFonts w:hint="eastAsia"/>
          <w:color w:val="auto"/>
          <w:sz w:val="24"/>
          <w:szCs w:val="24"/>
        </w:rPr>
        <w:t>授</w:t>
      </w:r>
      <w:r>
        <w:rPr>
          <w:rStyle w:val="56"/>
          <w:rFonts w:hint="eastAsia" w:hAnsi="宋体"/>
          <w:color w:val="auto"/>
          <w:sz w:val="24"/>
          <w:szCs w:val="24"/>
        </w:rPr>
        <w:t>权书，</w:t>
      </w:r>
      <w:r>
        <w:rPr>
          <w:rStyle w:val="56"/>
          <w:rFonts w:hint="eastAsia" w:hAnsi="宋体"/>
          <w:b/>
          <w:color w:val="auto"/>
          <w:sz w:val="24"/>
          <w:szCs w:val="24"/>
        </w:rPr>
        <w:t>授权书须加盖总公司（总所）公章</w:t>
      </w:r>
      <w:r>
        <w:rPr>
          <w:rStyle w:val="56"/>
          <w:rFonts w:hint="eastAsia" w:hAnsi="宋体"/>
          <w:color w:val="auto"/>
          <w:sz w:val="24"/>
          <w:szCs w:val="24"/>
        </w:rPr>
        <w:t>。总公司（总所）可就本项目或此类项目在一定范围或时间内出具授权书。已由总公司（总所）授权的，总公司（总所）取得的相关资质证书对分支机构有效，法律法规或者行业另有规定的除外。对可接受联合体投标的项目，联合体须满足招标公告及本部分第13条的规定并提供相关资格、资信证明文件。</w:t>
      </w:r>
    </w:p>
    <w:p>
      <w:pPr>
        <w:numPr>
          <w:ilvl w:val="1"/>
          <w:numId w:val="22"/>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对属于专门面向中小企业采购的项目（采购包）,参加采购活动的中小微企业须按《投标文件格式》提供《中小企业声明函》；监狱企业、残疾人福利性单位视为小型、微型微企业，其中监狱企业须提供由省级以上监狱管理局、戒毒管理局（含新疆生产建设兵团）出具的属于监狱企业的证明文件，残疾人福利性单位须提供《残疾人福利性单位声明函》。其中对采用预留份额（要求以联合体形式或合同分包形式参加投标）</w:t>
      </w:r>
      <w:r>
        <w:rPr>
          <w:rFonts w:hint="eastAsia" w:ascii="宋体" w:hAnsi="宋体"/>
          <w:iCs/>
          <w:color w:val="auto"/>
          <w:sz w:val="24"/>
          <w:szCs w:val="24"/>
        </w:rPr>
        <w:t>专门面向中小企业采购的项目（采购包），投标供应商须满足招标公告的规定并提供《联合协议》或《分包意向协议》等相关资格、资信证明文件。</w:t>
      </w:r>
    </w:p>
    <w:p>
      <w:pPr>
        <w:pStyle w:val="5"/>
        <w:numPr>
          <w:ilvl w:val="0"/>
          <w:numId w:val="15"/>
        </w:numPr>
        <w:tabs>
          <w:tab w:val="left" w:pos="945"/>
        </w:tabs>
        <w:spacing w:before="0" w:after="0" w:line="360" w:lineRule="auto"/>
        <w:ind w:left="964" w:hanging="960" w:hangingChars="400"/>
        <w:rPr>
          <w:rFonts w:ascii="宋体" w:hAnsi="宋体"/>
          <w:color w:val="auto"/>
          <w:sz w:val="24"/>
          <w:szCs w:val="24"/>
        </w:rPr>
      </w:pPr>
      <w:bookmarkStart w:id="157" w:name="_Toc22806137"/>
      <w:bookmarkStart w:id="158" w:name="_Toc12593"/>
      <w:bookmarkStart w:id="159" w:name="_Toc54335402"/>
      <w:r>
        <w:rPr>
          <w:rFonts w:hint="eastAsia" w:ascii="宋体" w:hAnsi="宋体"/>
          <w:color w:val="auto"/>
          <w:sz w:val="24"/>
          <w:szCs w:val="24"/>
        </w:rPr>
        <w:t>投标保证金</w:t>
      </w:r>
      <w:bookmarkEnd w:id="157"/>
      <w:r>
        <w:rPr>
          <w:rFonts w:hint="eastAsia" w:ascii="宋体" w:hAnsi="宋体"/>
          <w:color w:val="auto"/>
          <w:sz w:val="24"/>
          <w:szCs w:val="24"/>
        </w:rPr>
        <w:t>（不要求缴纳投标保证金的项目不适用）</w:t>
      </w:r>
      <w:bookmarkEnd w:id="158"/>
      <w:bookmarkEnd w:id="159"/>
    </w:p>
    <w:p>
      <w:pPr>
        <w:numPr>
          <w:ilvl w:val="1"/>
          <w:numId w:val="2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投标保证金交纳</w:t>
      </w:r>
    </w:p>
    <w:p>
      <w:pPr>
        <w:numPr>
          <w:ilvl w:val="2"/>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本项目是否要求交纳投标保证金见《投标人须知前附表》。</w:t>
      </w:r>
    </w:p>
    <w:p>
      <w:pPr>
        <w:numPr>
          <w:ilvl w:val="2"/>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如要求交纳投标保证金的，投标人（</w:t>
      </w:r>
      <w:r>
        <w:rPr>
          <w:rFonts w:ascii="宋体" w:hAnsi="宋体"/>
          <w:color w:val="auto"/>
          <w:sz w:val="24"/>
          <w:szCs w:val="24"/>
        </w:rPr>
        <w:t>联合体</w:t>
      </w:r>
      <w:r>
        <w:rPr>
          <w:rFonts w:hint="eastAsia" w:ascii="宋体" w:hAnsi="宋体"/>
          <w:color w:val="auto"/>
          <w:sz w:val="24"/>
          <w:szCs w:val="24"/>
        </w:rPr>
        <w:t>投标的</w:t>
      </w:r>
      <w:r>
        <w:rPr>
          <w:rFonts w:ascii="宋体" w:hAnsi="宋体"/>
          <w:color w:val="auto"/>
          <w:sz w:val="24"/>
          <w:szCs w:val="24"/>
        </w:rPr>
        <w:t>，</w:t>
      </w:r>
      <w:r>
        <w:rPr>
          <w:rFonts w:hint="eastAsia" w:ascii="宋体" w:hAnsi="宋体"/>
          <w:color w:val="auto"/>
          <w:sz w:val="24"/>
          <w:szCs w:val="24"/>
        </w:rPr>
        <w:t>为</w:t>
      </w:r>
      <w:r>
        <w:rPr>
          <w:rFonts w:ascii="宋体" w:hAnsi="宋体"/>
          <w:color w:val="auto"/>
          <w:sz w:val="24"/>
          <w:szCs w:val="24"/>
        </w:rPr>
        <w:t>联合体任何</w:t>
      </w:r>
      <w:r>
        <w:rPr>
          <w:rFonts w:hint="eastAsia" w:ascii="宋体" w:hAnsi="宋体"/>
          <w:color w:val="auto"/>
          <w:sz w:val="24"/>
          <w:szCs w:val="24"/>
        </w:rPr>
        <w:t>一方或多方</w:t>
      </w:r>
      <w:r>
        <w:rPr>
          <w:rFonts w:ascii="宋体" w:hAnsi="宋体"/>
          <w:color w:val="auto"/>
          <w:sz w:val="24"/>
          <w:szCs w:val="24"/>
        </w:rPr>
        <w:t>成员</w:t>
      </w:r>
      <w:r>
        <w:rPr>
          <w:rFonts w:hint="eastAsia" w:ascii="宋体" w:hAnsi="宋体"/>
          <w:color w:val="auto"/>
          <w:sz w:val="24"/>
          <w:szCs w:val="24"/>
        </w:rPr>
        <w:t>；要求以合同分包形式报价的，为直接参加投标的供应商）应按招标文件规定的金额在投标截止时间前交纳投标保证金，否则其投标无效。</w:t>
      </w:r>
    </w:p>
    <w:p>
      <w:pPr>
        <w:numPr>
          <w:ilvl w:val="1"/>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投标保证金退还</w:t>
      </w:r>
    </w:p>
    <w:p>
      <w:pPr>
        <w:numPr>
          <w:ilvl w:val="2"/>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rPr>
        <w:t>招标成功的，采购人或者采购代理机构自中标通知书发出之日起5个工作日内,退还未中标人的投标保证金，自政府采购合同签订之日起5个工作日内，退还中标人的投标保证金</w:t>
      </w:r>
      <w:r>
        <w:rPr>
          <w:rFonts w:hint="eastAsia" w:ascii="宋体" w:hAnsi="宋体"/>
          <w:color w:val="auto"/>
          <w:sz w:val="24"/>
          <w:szCs w:val="24"/>
        </w:rPr>
        <w:t>或者转为中标人的履约保证金，但因投标人自身原因导致无法及时退还的除外</w:t>
      </w:r>
      <w:r>
        <w:rPr>
          <w:rFonts w:hint="eastAsia" w:ascii="宋体" w:hAnsi="宋体"/>
          <w:color w:val="auto"/>
          <w:sz w:val="24"/>
        </w:rPr>
        <w:t>。</w:t>
      </w:r>
    </w:p>
    <w:p>
      <w:pPr>
        <w:numPr>
          <w:ilvl w:val="2"/>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rPr>
        <w:t>招标失败的，采购人或者采购代理机构自失败通知书发出之日起5个工作日内,退还所收取的投标保证金</w:t>
      </w:r>
      <w:r>
        <w:rPr>
          <w:rFonts w:hint="eastAsia" w:ascii="宋体" w:hAnsi="宋体"/>
          <w:color w:val="auto"/>
          <w:sz w:val="24"/>
          <w:szCs w:val="24"/>
        </w:rPr>
        <w:t>，但因投标人自身原因导致无法及时退还的除外</w:t>
      </w:r>
      <w:r>
        <w:rPr>
          <w:rFonts w:hint="eastAsia" w:ascii="宋体" w:hAnsi="宋体"/>
          <w:color w:val="auto"/>
          <w:sz w:val="24"/>
        </w:rPr>
        <w:t>。</w:t>
      </w:r>
    </w:p>
    <w:p>
      <w:pPr>
        <w:numPr>
          <w:ilvl w:val="2"/>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招标终止的，采购人或者采购代理机构在终止采购活动后5个工作日内，退还所收取的投标保证金，但因投标人自身原因导致无法及时退还的除外。</w:t>
      </w:r>
    </w:p>
    <w:p>
      <w:pPr>
        <w:numPr>
          <w:ilvl w:val="2"/>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投标人在投标截止时间前撤回已提交的投标文件的，采购人或者采购代理机构自收到投标人书面撤回通知之日起5个工作日内，退还已收取的投标保证金，但因投标人自身原因导致无法及时退还的除外。</w:t>
      </w:r>
    </w:p>
    <w:p>
      <w:pPr>
        <w:numPr>
          <w:ilvl w:val="1"/>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有下列情形之一的，投标保证金将不予退还：</w:t>
      </w:r>
    </w:p>
    <w:p>
      <w:pPr>
        <w:numPr>
          <w:ilvl w:val="2"/>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color w:val="auto"/>
          <w:sz w:val="24"/>
          <w:szCs w:val="24"/>
        </w:rPr>
        <w:t>提供虚假材料谋取中标（成交）的；</w:t>
      </w:r>
    </w:p>
    <w:p>
      <w:pPr>
        <w:numPr>
          <w:ilvl w:val="2"/>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color w:val="auto"/>
          <w:sz w:val="24"/>
          <w:szCs w:val="24"/>
        </w:rPr>
        <w:t>投标人在招标文件规定的投标有效期内撤销其投标；</w:t>
      </w:r>
    </w:p>
    <w:p>
      <w:pPr>
        <w:numPr>
          <w:ilvl w:val="2"/>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color w:val="auto"/>
          <w:sz w:val="24"/>
          <w:szCs w:val="24"/>
        </w:rPr>
        <w:t>中标后，无正当理由放弃中标资格；</w:t>
      </w:r>
    </w:p>
    <w:p>
      <w:pPr>
        <w:numPr>
          <w:ilvl w:val="2"/>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color w:val="auto"/>
          <w:sz w:val="24"/>
          <w:szCs w:val="24"/>
        </w:rPr>
        <w:t>中标后，无正当理由不与采购人签订合同；</w:t>
      </w:r>
    </w:p>
    <w:p>
      <w:pPr>
        <w:numPr>
          <w:ilvl w:val="2"/>
          <w:numId w:val="15"/>
        </w:numPr>
        <w:tabs>
          <w:tab w:val="left" w:pos="945"/>
        </w:tabs>
        <w:autoSpaceDE w:val="0"/>
        <w:autoSpaceDN w:val="0"/>
        <w:spacing w:line="360" w:lineRule="auto"/>
        <w:ind w:left="960" w:hanging="960" w:hangingChars="400"/>
        <w:rPr>
          <w:rFonts w:ascii="宋体" w:hAnsi="宋体"/>
          <w:color w:val="auto"/>
          <w:sz w:val="24"/>
          <w:szCs w:val="24"/>
        </w:rPr>
      </w:pPr>
      <w:r>
        <w:rPr>
          <w:rFonts w:hint="eastAsia"/>
          <w:color w:val="auto"/>
          <w:sz w:val="24"/>
          <w:szCs w:val="24"/>
        </w:rPr>
        <w:t>法律法规和招标文件规定的其他情形。</w:t>
      </w:r>
    </w:p>
    <w:p>
      <w:pPr>
        <w:pStyle w:val="5"/>
        <w:numPr>
          <w:ilvl w:val="0"/>
          <w:numId w:val="15"/>
        </w:numPr>
        <w:tabs>
          <w:tab w:val="left" w:pos="945"/>
        </w:tabs>
        <w:spacing w:before="0" w:after="0" w:line="360" w:lineRule="auto"/>
        <w:ind w:left="964" w:hanging="960" w:hangingChars="400"/>
        <w:rPr>
          <w:rFonts w:ascii="宋体" w:hAnsi="宋体"/>
          <w:color w:val="auto"/>
          <w:sz w:val="24"/>
          <w:szCs w:val="24"/>
        </w:rPr>
      </w:pPr>
      <w:bookmarkStart w:id="160" w:name="_Toc11046"/>
      <w:bookmarkStart w:id="161" w:name="_Toc22806138"/>
      <w:bookmarkStart w:id="162" w:name="_Toc54335403"/>
      <w:r>
        <w:rPr>
          <w:rFonts w:hint="eastAsia" w:ascii="宋体" w:hAnsi="宋体"/>
          <w:color w:val="auto"/>
          <w:sz w:val="24"/>
          <w:szCs w:val="24"/>
        </w:rPr>
        <w:t>投标有效期</w:t>
      </w:r>
      <w:bookmarkEnd w:id="160"/>
      <w:bookmarkEnd w:id="161"/>
      <w:bookmarkEnd w:id="162"/>
    </w:p>
    <w:p>
      <w:pPr>
        <w:numPr>
          <w:ilvl w:val="1"/>
          <w:numId w:val="26"/>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投标有效期从提交投标文件的截止之日起算，本项目投标有效期见《投标人须知前附表》。若《投标人须知前附表》中未载明的，投标有效期为90天。投标人在投标文件中承诺的投标有效期不得少于招标文件中载明的投标有效期，否则其投标无效。投标有效期内投标人撤销投标文件的，如本项目要求交纳投标保证金的，采购人和采购代理机构不退还投标保证金。</w:t>
      </w:r>
    </w:p>
    <w:p>
      <w:pPr>
        <w:numPr>
          <w:ilvl w:val="1"/>
          <w:numId w:val="26"/>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在特殊情况下，采购人或者采购代理机构可在投标有效期届满前要求投标人延长投标有效期，上述要求与答复均应以书面形式进行，投标人可以拒绝上述要求而如要求交纳投标保证金的，其投标保证金不被没收。投标人可以拒绝上述要求，但导致其投标文件无效；投标人同意延长投标有效期的，投标人根据原截止期前应负之权利及责任相应也延至新的截止期。如本项目要求交纳投标保证金且投标人采用</w:t>
      </w:r>
      <w:r>
        <w:rPr>
          <w:rFonts w:hint="eastAsia" w:ascii="宋体" w:hAnsi="宋体" w:cs="宋体"/>
          <w:color w:val="auto"/>
          <w:kern w:val="0"/>
          <w:sz w:val="24"/>
          <w:szCs w:val="24"/>
        </w:rPr>
        <w:t>投标保函或担保函或保证保险函</w:t>
      </w:r>
      <w:r>
        <w:rPr>
          <w:rFonts w:hint="eastAsia" w:ascii="宋体" w:hAnsi="宋体"/>
          <w:color w:val="auto"/>
          <w:sz w:val="24"/>
          <w:szCs w:val="24"/>
        </w:rPr>
        <w:t>方式交纳的，投标人应确保相关</w:t>
      </w:r>
      <w:r>
        <w:rPr>
          <w:rFonts w:hint="eastAsia" w:ascii="宋体" w:hAnsi="宋体" w:cs="宋体"/>
          <w:color w:val="auto"/>
          <w:kern w:val="0"/>
          <w:sz w:val="24"/>
          <w:szCs w:val="24"/>
        </w:rPr>
        <w:t>投标保函或担保函或保证保险函</w:t>
      </w:r>
      <w:r>
        <w:rPr>
          <w:rFonts w:hint="eastAsia" w:ascii="宋体" w:hAnsi="宋体"/>
          <w:color w:val="auto"/>
          <w:sz w:val="24"/>
          <w:szCs w:val="24"/>
        </w:rPr>
        <w:t>的保证期覆盖新的投标有效期或重新按规定交纳投标保证金。</w:t>
      </w:r>
    </w:p>
    <w:p>
      <w:pPr>
        <w:pStyle w:val="5"/>
        <w:numPr>
          <w:ilvl w:val="0"/>
          <w:numId w:val="15"/>
        </w:numPr>
        <w:tabs>
          <w:tab w:val="left" w:pos="945"/>
        </w:tabs>
        <w:spacing w:before="0" w:after="0" w:line="360" w:lineRule="auto"/>
        <w:ind w:left="964" w:hanging="960" w:hangingChars="400"/>
        <w:rPr>
          <w:rFonts w:ascii="宋体" w:hAnsi="宋体"/>
          <w:color w:val="auto"/>
          <w:sz w:val="24"/>
          <w:szCs w:val="24"/>
        </w:rPr>
      </w:pPr>
      <w:bookmarkStart w:id="163" w:name="_Toc32728"/>
      <w:bookmarkStart w:id="164" w:name="_Toc54335404"/>
      <w:bookmarkStart w:id="165" w:name="_Toc22806139"/>
      <w:r>
        <w:rPr>
          <w:rFonts w:hint="eastAsia" w:ascii="宋体" w:hAnsi="宋体"/>
          <w:color w:val="auto"/>
          <w:sz w:val="24"/>
          <w:szCs w:val="24"/>
        </w:rPr>
        <w:t>投标文件的制作、盖章、签署、数量、密封和标记</w:t>
      </w:r>
      <w:bookmarkEnd w:id="163"/>
      <w:bookmarkEnd w:id="164"/>
      <w:bookmarkEnd w:id="165"/>
    </w:p>
    <w:p>
      <w:pPr>
        <w:numPr>
          <w:ilvl w:val="1"/>
          <w:numId w:val="27"/>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投标人应按规定制作一定数量的纸质版正本和副本投标文件及电子版投标文件，具体数量见《投标人须知前附表》，如《投标人须知前附表》中未规定投标文件的数量，按纸质版正本投标文件一份、纸质版副本投标文件五份、电子版投标文件一套制作。副本可以采用正本的复印件，若副本与正本不符，以正本为准。</w:t>
      </w:r>
    </w:p>
    <w:p>
      <w:pPr>
        <w:numPr>
          <w:ilvl w:val="1"/>
          <w:numId w:val="27"/>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纸质版投标文件的正本需打印或用不褪色墨水书写，并由法定代表人或经其正式授权的代表根据投标文件格式要求盖章及签字或签章。授权代表须出具书面授权证明，其《法定代表人授权书》应附在投标文件中。投标文件中的任何重要的插字、涂改和增删，必须由法定代表人或经其正式授权的代表在旁边签章或签字才有效。</w:t>
      </w:r>
    </w:p>
    <w:p>
      <w:pPr>
        <w:numPr>
          <w:ilvl w:val="1"/>
          <w:numId w:val="27"/>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电子版投标文件由可编辑版本（文字和表格采用WORD或EXCEL格式，图纸采用DWG格式或PDF格式，图片采用JPG或PNG格式或PDF格式）和扫描版本（采用经盖章、签署后的纸质版正本投标文件的电子扫描件，采用PDF格式）两部分组成，</w:t>
      </w:r>
      <w:r>
        <w:rPr>
          <w:rFonts w:hint="eastAsia" w:ascii="宋体" w:hAnsi="宋体"/>
          <w:b/>
          <w:color w:val="auto"/>
          <w:sz w:val="24"/>
          <w:szCs w:val="24"/>
        </w:rPr>
        <w:t>若有《分项报价明细表》，投标人需在电子文档里另外放入《分项报价明细表》（如有）的 excel 格式文件</w:t>
      </w:r>
      <w:r>
        <w:rPr>
          <w:rFonts w:hint="eastAsia" w:ascii="宋体" w:hAnsi="宋体"/>
          <w:color w:val="auto"/>
          <w:sz w:val="24"/>
          <w:szCs w:val="24"/>
        </w:rPr>
        <w:t>。电子版投标文件的介质媒体为光盘或U盘。所有电子版本文件均不留任何密码，无病毒。本项目可能采用电子评审，投标人须确保电子版投标文件的完整性且能被正常打开和查阅，否则造成任何对投标人不利的后果由投标人自行承担。</w:t>
      </w:r>
    </w:p>
    <w:p>
      <w:pPr>
        <w:numPr>
          <w:ilvl w:val="1"/>
          <w:numId w:val="27"/>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为方便开标时唱标，投标人应按照《投标文件格式》的要求制作《开标信封》一份并单独密封提交。</w:t>
      </w:r>
    </w:p>
    <w:p>
      <w:pPr>
        <w:numPr>
          <w:ilvl w:val="1"/>
          <w:numId w:val="27"/>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投标人应将纸质投标文件正本和电子版投标文件密封在同一包装内；将纸质投标文件副本密封在一个或多个包装内（建议副本包装数尽可能少）；将开标信封密封在一个包装内；如《采购需求》中要求递交样品的，除非招标文件另有规定，建议将样品密封在一个或多个包装内（建议样品包装数尽可能少）。包装封口处应加盖投标人公章。上述包装封面上建议按下列要求标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2" w:type="dxa"/>
          </w:tcPr>
          <w:p>
            <w:pPr>
              <w:autoSpaceDE w:val="0"/>
              <w:autoSpaceDN w:val="0"/>
              <w:spacing w:line="360" w:lineRule="auto"/>
              <w:jc w:val="right"/>
              <w:rPr>
                <w:rFonts w:ascii="宋体" w:hAnsi="宋体"/>
                <w:color w:val="auto"/>
                <w:sz w:val="24"/>
                <w:szCs w:val="24"/>
              </w:rPr>
            </w:pPr>
            <w:r>
              <w:rPr>
                <w:rFonts w:hint="eastAsia" w:ascii="宋体" w:hAnsi="宋体"/>
                <w:color w:val="auto"/>
                <w:sz w:val="24"/>
                <w:szCs w:val="24"/>
              </w:rPr>
              <w:t>“纸质正本和电子文件”/“纸质副本”/“开标信封”/“投标样品”</w:t>
            </w:r>
          </w:p>
          <w:p>
            <w:pPr>
              <w:autoSpaceDE w:val="0"/>
              <w:autoSpaceDN w:val="0"/>
              <w:spacing w:line="360" w:lineRule="auto"/>
              <w:rPr>
                <w:rFonts w:ascii="宋体" w:hAnsi="宋体"/>
                <w:color w:val="auto"/>
                <w:sz w:val="24"/>
                <w:szCs w:val="24"/>
              </w:rPr>
            </w:pPr>
            <w:r>
              <w:rPr>
                <w:rFonts w:hint="eastAsia" w:ascii="宋体" w:hAnsi="宋体"/>
                <w:color w:val="auto"/>
                <w:sz w:val="24"/>
                <w:szCs w:val="24"/>
              </w:rPr>
              <w:t>采购项目名称：</w:t>
            </w:r>
            <w:r>
              <w:rPr>
                <w:rFonts w:hint="eastAsia" w:ascii="宋体" w:hAnsi="宋体"/>
                <w:i/>
                <w:color w:val="auto"/>
                <w:sz w:val="24"/>
                <w:szCs w:val="24"/>
                <w:u w:val="single"/>
              </w:rPr>
              <w:t>（填写招标文件《投标邀请》中写明的项目名称）</w:t>
            </w:r>
          </w:p>
          <w:p>
            <w:pPr>
              <w:autoSpaceDE w:val="0"/>
              <w:autoSpaceDN w:val="0"/>
              <w:spacing w:line="360" w:lineRule="auto"/>
              <w:rPr>
                <w:rFonts w:ascii="宋体" w:hAnsi="宋体"/>
                <w:color w:val="auto"/>
                <w:sz w:val="24"/>
                <w:szCs w:val="24"/>
              </w:rPr>
            </w:pPr>
            <w:r>
              <w:rPr>
                <w:rFonts w:hint="eastAsia" w:ascii="宋体" w:hAnsi="宋体"/>
                <w:color w:val="auto"/>
                <w:sz w:val="24"/>
                <w:szCs w:val="24"/>
              </w:rPr>
              <w:t>采购文件编号：</w:t>
            </w:r>
            <w:r>
              <w:rPr>
                <w:rFonts w:hint="eastAsia" w:ascii="宋体" w:hAnsi="宋体"/>
                <w:i/>
                <w:color w:val="auto"/>
                <w:sz w:val="24"/>
                <w:szCs w:val="24"/>
                <w:u w:val="single"/>
              </w:rPr>
              <w:t>（填写招标文件《投标邀请》中写明的文件编号）</w:t>
            </w:r>
          </w:p>
          <w:p>
            <w:pPr>
              <w:autoSpaceDE w:val="0"/>
              <w:autoSpaceDN w:val="0"/>
              <w:spacing w:line="360" w:lineRule="auto"/>
              <w:rPr>
                <w:rFonts w:ascii="宋体" w:hAnsi="宋体"/>
                <w:color w:val="auto"/>
                <w:sz w:val="24"/>
                <w:szCs w:val="24"/>
              </w:rPr>
            </w:pPr>
            <w:r>
              <w:rPr>
                <w:rFonts w:hint="eastAsia" w:ascii="宋体" w:hAnsi="宋体"/>
                <w:color w:val="auto"/>
                <w:sz w:val="24"/>
                <w:szCs w:val="24"/>
              </w:rPr>
              <w:t>竞投采购包（如有）：</w:t>
            </w:r>
            <w:r>
              <w:rPr>
                <w:rFonts w:hint="eastAsia" w:ascii="宋体" w:hAnsi="宋体"/>
                <w:i/>
                <w:color w:val="auto"/>
                <w:sz w:val="24"/>
                <w:szCs w:val="24"/>
                <w:u w:val="single"/>
              </w:rPr>
              <w:t>（填写招标文件《投标邀请》中写明的采购包编号）</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投标人名称：（请填写名称并加盖公章）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投标人地址：</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投标人法定代表人或其授权委托人姓名、联系电话：</w:t>
            </w:r>
            <w:r>
              <w:rPr>
                <w:rFonts w:hint="eastAsia" w:ascii="宋体" w:hAnsi="宋体"/>
                <w:color w:val="auto"/>
                <w:sz w:val="24"/>
                <w:szCs w:val="24"/>
                <w:u w:val="single"/>
              </w:rPr>
              <w:t xml:space="preserve">     </w:t>
            </w:r>
          </w:p>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在（</w:t>
            </w:r>
            <w:r>
              <w:rPr>
                <w:rFonts w:hint="eastAsia" w:ascii="宋体" w:hAnsi="宋体"/>
                <w:i/>
                <w:color w:val="auto"/>
                <w:sz w:val="24"/>
                <w:szCs w:val="24"/>
                <w:u w:val="single"/>
              </w:rPr>
              <w:t>填写《投标邀请》中规定的开标时点，如有澄清/修改/更正，请按澄清/修改/更正的时间填写）</w:t>
            </w:r>
            <w:r>
              <w:rPr>
                <w:rFonts w:hint="eastAsia" w:ascii="宋体" w:hAnsi="宋体"/>
                <w:color w:val="auto"/>
                <w:sz w:val="24"/>
                <w:szCs w:val="24"/>
              </w:rPr>
              <w:t>之前不得启封</w:t>
            </w:r>
          </w:p>
        </w:tc>
      </w:tr>
    </w:tbl>
    <w:p>
      <w:pPr>
        <w:numPr>
          <w:ilvl w:val="1"/>
          <w:numId w:val="27"/>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凡招标文件及投标文件格式中要求投标人盖章及投标人提供的相关（证明）材料的复印件，除自然人投标人可以由自然人签字或签章外，其他形式的法人投标人均应加盖投标人法人公章（法人最高效力的印章），除非《投标邀请》或《投标人须知前附表》有特别约定（如非分支机构投标的项目但允许投标人分支机构印章代替的，须在投标文件中附投标人授权盖章声明</w:t>
      </w:r>
      <w:r>
        <w:rPr>
          <w:rFonts w:ascii="宋体" w:hAnsi="宋体"/>
          <w:color w:val="auto"/>
          <w:sz w:val="24"/>
          <w:szCs w:val="24"/>
        </w:rPr>
        <w:t>内容</w:t>
      </w:r>
      <w:r>
        <w:rPr>
          <w:rFonts w:hint="eastAsia" w:ascii="宋体" w:hAnsi="宋体"/>
          <w:color w:val="auto"/>
          <w:sz w:val="24"/>
          <w:szCs w:val="24"/>
        </w:rPr>
        <w:t>，并明确加盖其分支机构印章部分与投标人自身印章具有同等法律效力，其造成的一切责任和后果均由投标人承担），否则不得采用投标人分支机构的印章代替。</w:t>
      </w:r>
      <w:r>
        <w:rPr>
          <w:rStyle w:val="56"/>
          <w:rFonts w:hint="eastAsia" w:hAnsi="宋体"/>
          <w:color w:val="auto"/>
          <w:sz w:val="24"/>
          <w:szCs w:val="24"/>
        </w:rPr>
        <w:t>对可接受分支机构投标的项目（采购包），分支机构投标的，除</w:t>
      </w:r>
      <w:r>
        <w:rPr>
          <w:rFonts w:hint="eastAsia" w:ascii="宋体" w:hAnsi="宋体"/>
          <w:color w:val="auto"/>
          <w:sz w:val="24"/>
          <w:szCs w:val="24"/>
        </w:rPr>
        <w:t>有特别说明的投标文件格式外</w:t>
      </w:r>
      <w:r>
        <w:rPr>
          <w:rStyle w:val="56"/>
          <w:rFonts w:hint="eastAsia" w:hAnsi="宋体"/>
          <w:color w:val="auto"/>
          <w:sz w:val="24"/>
          <w:szCs w:val="24"/>
        </w:rPr>
        <w:t>，投标文件可以采用总公司（总所）或</w:t>
      </w:r>
      <w:r>
        <w:rPr>
          <w:rFonts w:hint="eastAsia" w:ascii="宋体" w:hAnsi="宋体"/>
          <w:color w:val="auto"/>
          <w:sz w:val="24"/>
          <w:szCs w:val="24"/>
        </w:rPr>
        <w:t>分支机构的印章</w:t>
      </w:r>
      <w:r>
        <w:rPr>
          <w:rStyle w:val="56"/>
          <w:rFonts w:hint="eastAsia" w:hAnsi="宋体"/>
          <w:color w:val="auto"/>
          <w:sz w:val="24"/>
          <w:szCs w:val="24"/>
        </w:rPr>
        <w:t>。</w:t>
      </w:r>
      <w:r>
        <w:rPr>
          <w:rFonts w:hint="eastAsia" w:ascii="宋体" w:hAnsi="宋体"/>
          <w:color w:val="auto"/>
          <w:sz w:val="24"/>
          <w:szCs w:val="24"/>
        </w:rPr>
        <w:t>对采用预留份额（合同分包形式）专门面向中小企业采购的项目（采购包）,除非投标文件格式有特别说明和《供应商须知前附表》另有规定外，接受分包合同的企业仅需在《分包意向协议》盖章及签署，其他全部投标文件（包括各方提供的自身独立的证明文件，如有）均可以仅由直接参加本项目（采购包）政府采购活动的投标供应商（即总包单位）加盖公章及签署（接受分包合同的企业无需盖章及签署）。投标文件中供应商的名称统一表述为“投标供应商的全称”，不需要标注接受分包合同企业的名称。凡投标文件格式中要求投标人法定代表人和其授权代表签字的，均应由相应人员亲笔签字；凡投标文件格式中要求投标人法定代表人和其授权代表签章的，均应由相应人员亲笔签字或加盖其私章或签字章。</w:t>
      </w:r>
    </w:p>
    <w:p>
      <w:pPr>
        <w:numPr>
          <w:ilvl w:val="1"/>
          <w:numId w:val="27"/>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不足以造成投标文件可从外包装内散出而导致投标文件泄密的，不认定为投标文件未密封。</w:t>
      </w:r>
    </w:p>
    <w:p>
      <w:pPr>
        <w:numPr>
          <w:ilvl w:val="1"/>
          <w:numId w:val="27"/>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采购代理机构对不可抗力造成的投标文件的损坏、丢失不承担任何责任。</w:t>
      </w:r>
    </w:p>
    <w:p>
      <w:pPr>
        <w:numPr>
          <w:ilvl w:val="1"/>
          <w:numId w:val="27"/>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如果未按要求密封和标记的，采购代理机构对误投或提前启封概不负责。</w:t>
      </w:r>
    </w:p>
    <w:p>
      <w:pPr>
        <w:pStyle w:val="4"/>
        <w:numPr>
          <w:ilvl w:val="0"/>
          <w:numId w:val="14"/>
        </w:numPr>
        <w:tabs>
          <w:tab w:val="left" w:pos="945"/>
        </w:tabs>
        <w:spacing w:before="0" w:after="0" w:line="360" w:lineRule="auto"/>
        <w:ind w:left="0" w:firstLine="0"/>
        <w:rPr>
          <w:rFonts w:ascii="宋体" w:hAnsi="宋体"/>
          <w:color w:val="auto"/>
          <w:sz w:val="28"/>
          <w:szCs w:val="28"/>
        </w:rPr>
      </w:pPr>
      <w:bookmarkStart w:id="166" w:name="_Toc22806140"/>
      <w:bookmarkStart w:id="167" w:name="_Toc54335405"/>
      <w:bookmarkStart w:id="168" w:name="_Toc27264"/>
      <w:r>
        <w:rPr>
          <w:rFonts w:hint="eastAsia" w:ascii="宋体" w:hAnsi="宋体"/>
          <w:color w:val="auto"/>
          <w:sz w:val="28"/>
          <w:szCs w:val="28"/>
        </w:rPr>
        <w:t>投标文件的递交</w:t>
      </w:r>
      <w:bookmarkEnd w:id="166"/>
      <w:bookmarkEnd w:id="167"/>
      <w:bookmarkEnd w:id="168"/>
    </w:p>
    <w:p>
      <w:pPr>
        <w:pStyle w:val="5"/>
        <w:numPr>
          <w:ilvl w:val="0"/>
          <w:numId w:val="15"/>
        </w:numPr>
        <w:tabs>
          <w:tab w:val="left" w:pos="945"/>
        </w:tabs>
        <w:spacing w:before="0" w:after="0" w:line="360" w:lineRule="auto"/>
        <w:ind w:left="964" w:hanging="960" w:hangingChars="400"/>
        <w:rPr>
          <w:rFonts w:ascii="宋体" w:hAnsi="宋体"/>
          <w:color w:val="auto"/>
          <w:sz w:val="24"/>
          <w:szCs w:val="24"/>
        </w:rPr>
      </w:pPr>
      <w:bookmarkStart w:id="169" w:name="_Toc7940"/>
      <w:bookmarkStart w:id="170" w:name="_Toc22806141"/>
      <w:bookmarkStart w:id="171" w:name="_Toc54335406"/>
      <w:r>
        <w:rPr>
          <w:rFonts w:hint="eastAsia" w:ascii="宋体" w:hAnsi="宋体"/>
          <w:color w:val="auto"/>
          <w:sz w:val="24"/>
          <w:szCs w:val="24"/>
        </w:rPr>
        <w:t>投标文件的送达</w:t>
      </w:r>
      <w:bookmarkEnd w:id="169"/>
      <w:bookmarkEnd w:id="170"/>
      <w:bookmarkEnd w:id="171"/>
    </w:p>
    <w:p>
      <w:pPr>
        <w:numPr>
          <w:ilvl w:val="1"/>
          <w:numId w:val="28"/>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投标人应当在招标文件要求提交投标文件的截止时间前，将投标文件密封送达投标地点。任何单位和个人不得在开标前开启投标文件。逾期送达或者密封未完好的投标文件，采购人、采购代理机构予以拒收。</w:t>
      </w:r>
    </w:p>
    <w:p>
      <w:pPr>
        <w:numPr>
          <w:ilvl w:val="1"/>
          <w:numId w:val="28"/>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采购人或者采购代理机构收到投标文件后，如实记载投标文件的送达时间和密封情况，签收保存，并向投标人出具签收回执。</w:t>
      </w:r>
    </w:p>
    <w:p>
      <w:pPr>
        <w:pStyle w:val="5"/>
        <w:numPr>
          <w:ilvl w:val="0"/>
          <w:numId w:val="15"/>
        </w:numPr>
        <w:tabs>
          <w:tab w:val="left" w:pos="945"/>
        </w:tabs>
        <w:spacing w:before="0" w:after="0" w:line="360" w:lineRule="auto"/>
        <w:ind w:left="964" w:hanging="960" w:hangingChars="400"/>
        <w:rPr>
          <w:rFonts w:ascii="宋体" w:hAnsi="宋体"/>
          <w:color w:val="auto"/>
          <w:sz w:val="24"/>
          <w:szCs w:val="24"/>
        </w:rPr>
      </w:pPr>
      <w:bookmarkStart w:id="172" w:name="_Toc22515"/>
      <w:bookmarkStart w:id="173" w:name="_Toc22806142"/>
      <w:bookmarkStart w:id="174" w:name="_Toc54335407"/>
      <w:r>
        <w:rPr>
          <w:rFonts w:hint="eastAsia" w:ascii="宋体" w:hAnsi="宋体"/>
          <w:color w:val="auto"/>
          <w:sz w:val="24"/>
          <w:szCs w:val="24"/>
        </w:rPr>
        <w:t>投标文件的补充、修改和撤回</w:t>
      </w:r>
      <w:bookmarkEnd w:id="172"/>
      <w:bookmarkEnd w:id="173"/>
      <w:bookmarkEnd w:id="174"/>
    </w:p>
    <w:p>
      <w:pPr>
        <w:numPr>
          <w:ilvl w:val="1"/>
          <w:numId w:val="29"/>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投标人在投标截止时间前，可以对所递交的投标文件进行补充、修改或者撤回，并书面通知采购人或者采购代理机构。补充、修改的内容应当按照招标文件要求签署、盖章、密封后，作为投标文件的组成部分。在投标截止时间后，投标人不得对其投标文件做任何补充、修改或者撤回，也不得撤销其投标文件。</w:t>
      </w:r>
    </w:p>
    <w:p>
      <w:pPr>
        <w:numPr>
          <w:ilvl w:val="1"/>
          <w:numId w:val="29"/>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rPr>
        <w:t>除投标人不足3家不得开标的情形外，投标人所提交的纸质投标文件和电子投标文件在本项目投标截止时间后均不予退还。</w:t>
      </w:r>
    </w:p>
    <w:p>
      <w:pPr>
        <w:pStyle w:val="4"/>
        <w:numPr>
          <w:ilvl w:val="0"/>
          <w:numId w:val="14"/>
        </w:numPr>
        <w:tabs>
          <w:tab w:val="left" w:pos="945"/>
        </w:tabs>
        <w:spacing w:before="0" w:after="0" w:line="360" w:lineRule="auto"/>
        <w:ind w:left="0" w:firstLine="0"/>
        <w:rPr>
          <w:rFonts w:ascii="宋体" w:hAnsi="宋体"/>
          <w:color w:val="auto"/>
          <w:sz w:val="28"/>
          <w:szCs w:val="28"/>
        </w:rPr>
      </w:pPr>
      <w:bookmarkStart w:id="175" w:name="_Toc19939"/>
      <w:bookmarkStart w:id="176" w:name="_Toc22806143"/>
      <w:bookmarkStart w:id="177" w:name="_Toc54335408"/>
      <w:r>
        <w:rPr>
          <w:rFonts w:hint="eastAsia" w:ascii="宋体" w:hAnsi="宋体"/>
          <w:color w:val="auto"/>
          <w:sz w:val="28"/>
          <w:szCs w:val="28"/>
        </w:rPr>
        <w:t>开标、评标和定标</w:t>
      </w:r>
      <w:bookmarkEnd w:id="175"/>
      <w:bookmarkEnd w:id="176"/>
      <w:bookmarkEnd w:id="177"/>
    </w:p>
    <w:p>
      <w:pPr>
        <w:tabs>
          <w:tab w:val="left" w:pos="945"/>
        </w:tabs>
        <w:autoSpaceDE w:val="0"/>
        <w:autoSpaceDN w:val="0"/>
        <w:spacing w:line="360" w:lineRule="auto"/>
        <w:ind w:left="960"/>
        <w:rPr>
          <w:rFonts w:ascii="宋体" w:hAnsi="宋体"/>
          <w:color w:val="auto"/>
          <w:sz w:val="24"/>
          <w:szCs w:val="24"/>
        </w:rPr>
      </w:pPr>
      <w:r>
        <w:rPr>
          <w:rFonts w:hint="eastAsia" w:ascii="宋体" w:hAnsi="宋体"/>
          <w:color w:val="auto"/>
          <w:sz w:val="24"/>
          <w:szCs w:val="24"/>
        </w:rPr>
        <w:t>见招标文件第四部分《评标办法》</w:t>
      </w:r>
      <w:r>
        <w:rPr>
          <w:rFonts w:hint="eastAsia" w:ascii="宋体" w:hAnsi="宋体"/>
          <w:b/>
          <w:color w:val="auto"/>
          <w:sz w:val="24"/>
          <w:szCs w:val="24"/>
        </w:rPr>
        <w:t>。</w:t>
      </w:r>
    </w:p>
    <w:p>
      <w:pPr>
        <w:pStyle w:val="4"/>
        <w:numPr>
          <w:ilvl w:val="0"/>
          <w:numId w:val="14"/>
        </w:numPr>
        <w:tabs>
          <w:tab w:val="left" w:pos="945"/>
        </w:tabs>
        <w:spacing w:before="0" w:after="0" w:line="360" w:lineRule="auto"/>
        <w:ind w:left="0" w:firstLine="0"/>
        <w:rPr>
          <w:rFonts w:ascii="宋体" w:hAnsi="宋体"/>
          <w:color w:val="auto"/>
          <w:sz w:val="28"/>
          <w:szCs w:val="28"/>
        </w:rPr>
      </w:pPr>
      <w:bookmarkStart w:id="178" w:name="_Toc22806151"/>
      <w:bookmarkStart w:id="179" w:name="_Toc23882"/>
      <w:bookmarkStart w:id="180" w:name="_Toc54335409"/>
      <w:r>
        <w:rPr>
          <w:rFonts w:hint="eastAsia" w:ascii="宋体" w:hAnsi="宋体"/>
          <w:color w:val="auto"/>
          <w:sz w:val="28"/>
          <w:szCs w:val="28"/>
        </w:rPr>
        <w:t>中标和合同</w:t>
      </w:r>
      <w:bookmarkEnd w:id="178"/>
      <w:bookmarkEnd w:id="179"/>
      <w:bookmarkEnd w:id="180"/>
    </w:p>
    <w:p>
      <w:pPr>
        <w:pStyle w:val="5"/>
        <w:numPr>
          <w:ilvl w:val="0"/>
          <w:numId w:val="30"/>
        </w:numPr>
        <w:tabs>
          <w:tab w:val="left" w:pos="945"/>
        </w:tabs>
        <w:spacing w:before="0" w:after="0" w:line="360" w:lineRule="auto"/>
        <w:ind w:left="964" w:hanging="960" w:hangingChars="400"/>
        <w:rPr>
          <w:rFonts w:ascii="宋体" w:hAnsi="宋体"/>
          <w:color w:val="auto"/>
          <w:sz w:val="24"/>
          <w:szCs w:val="24"/>
        </w:rPr>
      </w:pPr>
      <w:bookmarkStart w:id="181" w:name="_Toc54335410"/>
      <w:bookmarkStart w:id="182" w:name="_Toc8484"/>
      <w:bookmarkStart w:id="183" w:name="_Toc22806152"/>
      <w:r>
        <w:rPr>
          <w:rFonts w:hint="eastAsia" w:ascii="宋体" w:hAnsi="宋体"/>
          <w:color w:val="auto"/>
          <w:sz w:val="24"/>
          <w:szCs w:val="24"/>
        </w:rPr>
        <w:t>中标</w:t>
      </w:r>
      <w:bookmarkEnd w:id="181"/>
      <w:bookmarkEnd w:id="182"/>
      <w:bookmarkEnd w:id="183"/>
    </w:p>
    <w:p>
      <w:pPr>
        <w:numPr>
          <w:ilvl w:val="1"/>
          <w:numId w:val="31"/>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采购代理机构在评标结束后2个工作日内将评标报告送采购人。</w:t>
      </w:r>
    </w:p>
    <w:p>
      <w:pPr>
        <w:numPr>
          <w:ilvl w:val="1"/>
          <w:numId w:val="31"/>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采购人自收到评标报告之日起5个工作日内，在评标报告确定的中标候选人名单中按顺序确定中标人或根据招标文件的约定授权评标委员会确定中标人。采购人是否委托评标委员会确定中标人见《投标人须知前附表》，如未载明的，由采购人确定中标人。由采购人确定中标人的，采购人在收到评标报告5个工作日内未按评标报告推荐的中标候选人顺序确定中标人，又不能说明合法理由的，视同按评标报告推荐的顺序确定排名第一的中标候选人为中标人。</w:t>
      </w:r>
    </w:p>
    <w:p>
      <w:pPr>
        <w:numPr>
          <w:ilvl w:val="1"/>
          <w:numId w:val="31"/>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中标候选人并列的，由采购人或者采购人委托评标委员会按照下列规定的方式确定中标人（如《投标人须知前附表》中约定的，从其约定）：</w:t>
      </w:r>
    </w:p>
    <w:p>
      <w:pPr>
        <w:numPr>
          <w:ilvl w:val="2"/>
          <w:numId w:val="32"/>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实际投标报价低的确定为中标人；</w:t>
      </w:r>
    </w:p>
    <w:p>
      <w:pPr>
        <w:numPr>
          <w:ilvl w:val="2"/>
          <w:numId w:val="32"/>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上述一致时，技术得分高的确定为中标人；</w:t>
      </w:r>
    </w:p>
    <w:p>
      <w:pPr>
        <w:numPr>
          <w:ilvl w:val="2"/>
          <w:numId w:val="32"/>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上述一致时，按《投标人</w:t>
      </w:r>
      <w:r>
        <w:rPr>
          <w:rFonts w:ascii="宋体" w:hAnsi="宋体"/>
          <w:color w:val="auto"/>
          <w:sz w:val="24"/>
          <w:szCs w:val="24"/>
        </w:rPr>
        <w:t>须知前附表</w:t>
      </w:r>
      <w:r>
        <w:rPr>
          <w:rFonts w:hint="eastAsia" w:ascii="宋体" w:hAnsi="宋体"/>
          <w:color w:val="auto"/>
          <w:sz w:val="24"/>
          <w:szCs w:val="24"/>
        </w:rPr>
        <w:t>》约定</w:t>
      </w:r>
      <w:r>
        <w:rPr>
          <w:rFonts w:ascii="宋体" w:hAnsi="宋体"/>
          <w:color w:val="auto"/>
          <w:sz w:val="24"/>
          <w:szCs w:val="24"/>
        </w:rPr>
        <w:t>的</w:t>
      </w:r>
      <w:r>
        <w:rPr>
          <w:rFonts w:hint="eastAsia" w:ascii="宋体" w:hAnsi="宋体"/>
          <w:color w:val="auto"/>
          <w:sz w:val="24"/>
          <w:szCs w:val="24"/>
        </w:rPr>
        <w:t>其他</w:t>
      </w:r>
      <w:r>
        <w:rPr>
          <w:rFonts w:ascii="宋体" w:hAnsi="宋体"/>
          <w:color w:val="auto"/>
          <w:sz w:val="24"/>
          <w:szCs w:val="24"/>
        </w:rPr>
        <w:t>因素</w:t>
      </w:r>
      <w:r>
        <w:rPr>
          <w:rFonts w:hint="eastAsia" w:ascii="宋体" w:hAnsi="宋体"/>
          <w:color w:val="auto"/>
          <w:sz w:val="24"/>
          <w:szCs w:val="24"/>
        </w:rPr>
        <w:t>确定</w:t>
      </w:r>
      <w:r>
        <w:rPr>
          <w:rFonts w:ascii="宋体" w:hAnsi="宋体"/>
          <w:color w:val="auto"/>
          <w:sz w:val="24"/>
          <w:szCs w:val="24"/>
        </w:rPr>
        <w:t>中标人（</w:t>
      </w:r>
      <w:r>
        <w:rPr>
          <w:rFonts w:hint="eastAsia" w:ascii="宋体" w:hAnsi="宋体"/>
          <w:color w:val="auto"/>
          <w:sz w:val="24"/>
          <w:szCs w:val="24"/>
        </w:rPr>
        <w:t>如</w:t>
      </w:r>
      <w:r>
        <w:rPr>
          <w:rFonts w:ascii="宋体" w:hAnsi="宋体"/>
          <w:color w:val="auto"/>
          <w:sz w:val="24"/>
          <w:szCs w:val="24"/>
        </w:rPr>
        <w:t>《</w:t>
      </w:r>
      <w:r>
        <w:rPr>
          <w:rFonts w:hint="eastAsia" w:ascii="宋体" w:hAnsi="宋体"/>
          <w:color w:val="auto"/>
          <w:sz w:val="24"/>
          <w:szCs w:val="24"/>
        </w:rPr>
        <w:t>投标人须知</w:t>
      </w:r>
      <w:r>
        <w:rPr>
          <w:rFonts w:ascii="宋体" w:hAnsi="宋体"/>
          <w:color w:val="auto"/>
          <w:sz w:val="24"/>
          <w:szCs w:val="24"/>
        </w:rPr>
        <w:t>前附表》</w:t>
      </w:r>
      <w:r>
        <w:rPr>
          <w:rFonts w:hint="eastAsia" w:ascii="宋体" w:hAnsi="宋体"/>
          <w:color w:val="auto"/>
          <w:sz w:val="24"/>
          <w:szCs w:val="24"/>
        </w:rPr>
        <w:t>未</w:t>
      </w:r>
      <w:r>
        <w:rPr>
          <w:rFonts w:ascii="宋体" w:hAnsi="宋体"/>
          <w:color w:val="auto"/>
          <w:sz w:val="24"/>
          <w:szCs w:val="24"/>
        </w:rPr>
        <w:t>约定的，则不</w:t>
      </w:r>
      <w:r>
        <w:rPr>
          <w:rFonts w:hint="eastAsia" w:ascii="宋体" w:hAnsi="宋体"/>
          <w:color w:val="auto"/>
          <w:sz w:val="24"/>
          <w:szCs w:val="24"/>
        </w:rPr>
        <w:t>执行</w:t>
      </w:r>
      <w:r>
        <w:rPr>
          <w:rFonts w:ascii="宋体" w:hAnsi="宋体"/>
          <w:color w:val="auto"/>
          <w:sz w:val="24"/>
          <w:szCs w:val="24"/>
        </w:rPr>
        <w:t>本项）</w:t>
      </w:r>
      <w:r>
        <w:rPr>
          <w:rFonts w:hint="eastAsia" w:ascii="宋体" w:hAnsi="宋体"/>
          <w:color w:val="auto"/>
          <w:sz w:val="24"/>
          <w:szCs w:val="24"/>
        </w:rPr>
        <w:t>；</w:t>
      </w:r>
    </w:p>
    <w:p>
      <w:pPr>
        <w:numPr>
          <w:ilvl w:val="2"/>
          <w:numId w:val="32"/>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上述一致时，采取随机抽取的方式确定。随机抽取是指通过抽签等能够保证所有符合抽取资格供应商机会均等的方式选定供应商。随机抽取时，由不少于两名采购人工作人员在场监督，并形成书面记录。</w:t>
      </w:r>
    </w:p>
    <w:p>
      <w:pPr>
        <w:numPr>
          <w:ilvl w:val="1"/>
          <w:numId w:val="31"/>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采购人或者采购代理机构自中标人确定之日起2个工作日内，在省级以上财政部门指定的媒体上公告中标结果。中标公告期限为1个工作日。</w:t>
      </w:r>
    </w:p>
    <w:p>
      <w:pPr>
        <w:numPr>
          <w:ilvl w:val="1"/>
          <w:numId w:val="31"/>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在公告中标结果的同时，采购人或者采购代理机构向中标人发出中标通知书。中标通知书发出后，采购人不得违法改变中标结果，中标人无正当理由不得放弃中标。</w:t>
      </w:r>
    </w:p>
    <w:p>
      <w:pPr>
        <w:numPr>
          <w:ilvl w:val="1"/>
          <w:numId w:val="31"/>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rPr>
        <w:t>中标人拒绝与采购人签订合同的，采购人可以按照评审报告推荐的中标候选人名单排序，确定下一候选人为中标人，也可以重新开展政府采购活动。</w:t>
      </w:r>
    </w:p>
    <w:p>
      <w:pPr>
        <w:numPr>
          <w:ilvl w:val="1"/>
          <w:numId w:val="31"/>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如本项目约定由中标人支付采购代理服务费的，中标人应按照招标文件的约定一次性向采购代理机构缴纳足额采购代理服务费。</w:t>
      </w:r>
    </w:p>
    <w:p>
      <w:pPr>
        <w:pStyle w:val="5"/>
        <w:numPr>
          <w:ilvl w:val="0"/>
          <w:numId w:val="30"/>
        </w:numPr>
        <w:tabs>
          <w:tab w:val="left" w:pos="945"/>
        </w:tabs>
        <w:spacing w:before="0" w:after="0" w:line="360" w:lineRule="auto"/>
        <w:ind w:left="964" w:hanging="960" w:hangingChars="400"/>
        <w:rPr>
          <w:rFonts w:ascii="宋体" w:hAnsi="宋体"/>
          <w:color w:val="auto"/>
          <w:sz w:val="24"/>
          <w:szCs w:val="24"/>
        </w:rPr>
      </w:pPr>
      <w:bookmarkStart w:id="184" w:name="_Toc22806153"/>
      <w:bookmarkStart w:id="185" w:name="_Toc54335411"/>
      <w:bookmarkStart w:id="186" w:name="_Toc28248"/>
      <w:r>
        <w:rPr>
          <w:rFonts w:hint="eastAsia" w:ascii="宋体" w:hAnsi="宋体"/>
          <w:color w:val="auto"/>
          <w:sz w:val="24"/>
          <w:szCs w:val="24"/>
        </w:rPr>
        <w:t>合同的订立</w:t>
      </w:r>
      <w:bookmarkEnd w:id="184"/>
      <w:bookmarkEnd w:id="185"/>
      <w:bookmarkEnd w:id="186"/>
    </w:p>
    <w:p>
      <w:pPr>
        <w:numPr>
          <w:ilvl w:val="1"/>
          <w:numId w:val="33"/>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采购人应当自中标通知书发出之日起在《投标人须知前附表》规定的期限内，按照招标文件和中标人投标文件的规定，与中标人签订书面合同。所签订的合同不得对招标文件确定的事项和中标人投标文件作实质性修改。</w:t>
      </w:r>
    </w:p>
    <w:p>
      <w:pPr>
        <w:numPr>
          <w:ilvl w:val="1"/>
          <w:numId w:val="33"/>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rPr>
        <w:t>采购人应当自政府采购合同签订之日起2个工作日内，将政府采购合同在省级以上人民政府财政部门指定的媒体上公告，但政府采购合同中涉及国家秘密、商业秘密的内容除外</w:t>
      </w:r>
      <w:r>
        <w:rPr>
          <w:rFonts w:hint="eastAsia" w:ascii="宋体" w:hAnsi="宋体"/>
          <w:color w:val="auto"/>
          <w:sz w:val="24"/>
          <w:szCs w:val="24"/>
        </w:rPr>
        <w:t>。</w:t>
      </w:r>
    </w:p>
    <w:p>
      <w:pPr>
        <w:pStyle w:val="5"/>
        <w:numPr>
          <w:ilvl w:val="0"/>
          <w:numId w:val="30"/>
        </w:numPr>
        <w:tabs>
          <w:tab w:val="left" w:pos="945"/>
        </w:tabs>
        <w:spacing w:before="0" w:after="0" w:line="360" w:lineRule="auto"/>
        <w:ind w:left="964" w:hanging="960" w:hangingChars="400"/>
        <w:rPr>
          <w:rFonts w:ascii="宋体" w:hAnsi="宋体"/>
          <w:color w:val="auto"/>
          <w:sz w:val="24"/>
          <w:szCs w:val="24"/>
        </w:rPr>
      </w:pPr>
      <w:bookmarkStart w:id="187" w:name="_Toc54335412"/>
      <w:bookmarkStart w:id="188" w:name="_Toc12195"/>
      <w:bookmarkStart w:id="189" w:name="_Toc22806154"/>
      <w:r>
        <w:rPr>
          <w:rFonts w:hint="eastAsia" w:ascii="宋体" w:hAnsi="宋体"/>
          <w:color w:val="auto"/>
          <w:sz w:val="24"/>
          <w:szCs w:val="24"/>
        </w:rPr>
        <w:t>履约保证金</w:t>
      </w:r>
      <w:bookmarkEnd w:id="187"/>
      <w:bookmarkEnd w:id="188"/>
      <w:bookmarkEnd w:id="189"/>
    </w:p>
    <w:p>
      <w:pPr>
        <w:numPr>
          <w:ilvl w:val="1"/>
          <w:numId w:val="34"/>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采购人可根据采购合同履行需要，要求中标人</w:t>
      </w:r>
      <w:bookmarkStart w:id="190" w:name="_Hlk99364206"/>
      <w:r>
        <w:rPr>
          <w:rFonts w:hint="eastAsia" w:ascii="宋体" w:hAnsi="宋体"/>
          <w:color w:val="auto"/>
          <w:sz w:val="24"/>
          <w:szCs w:val="24"/>
        </w:rPr>
        <w:t>提交履约保证金</w:t>
      </w:r>
      <w:bookmarkEnd w:id="190"/>
      <w:r>
        <w:rPr>
          <w:rFonts w:hint="eastAsia" w:ascii="宋体" w:hAnsi="宋体"/>
          <w:color w:val="auto"/>
          <w:sz w:val="24"/>
          <w:szCs w:val="24"/>
        </w:rPr>
        <w:t>。</w:t>
      </w:r>
    </w:p>
    <w:p>
      <w:pPr>
        <w:numPr>
          <w:ilvl w:val="1"/>
          <w:numId w:val="34"/>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履约保证金可以采用银行转账、支票、汇票、本票或者银行保函（或《政府采购履约担保函》）等形式提交。履约保证金数额不超过采购合同金额的10%，采购人可根据履行合同的实际需要，在以上范围内规定履约保证金具体金额，见《投标人须知前附表》，如未载明的，为不收取履约保证金。采用保函形式提交履约保证金的，保函的有效期应当覆盖项目实施全过程（不含质量保证期），当项目实施过程中保函剩余有效期不足60日时，中标人应当适当延长保函有效期或重新提交履约保证金。如招标文件中约定中标人的投标保证金可以转为履约保证金的，不足部分中标人应在规定时间内补足，超出部分按照投标保证金退还要求退还。</w:t>
      </w:r>
    </w:p>
    <w:p>
      <w:pPr>
        <w:numPr>
          <w:ilvl w:val="1"/>
          <w:numId w:val="34"/>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履约保证金在中标人履行完采购合同主要义务后，采购人按照合同约定原额退还，履约保证金以履约担保函形式提交的，担保责任终止。</w:t>
      </w:r>
    </w:p>
    <w:p>
      <w:pPr>
        <w:pStyle w:val="5"/>
        <w:numPr>
          <w:ilvl w:val="0"/>
          <w:numId w:val="30"/>
        </w:numPr>
        <w:tabs>
          <w:tab w:val="left" w:pos="945"/>
        </w:tabs>
        <w:spacing w:before="0" w:after="0" w:line="360" w:lineRule="auto"/>
        <w:ind w:left="964" w:hanging="960" w:hangingChars="400"/>
        <w:rPr>
          <w:rFonts w:ascii="宋体" w:hAnsi="宋体"/>
          <w:color w:val="auto"/>
          <w:sz w:val="24"/>
          <w:szCs w:val="24"/>
        </w:rPr>
      </w:pPr>
      <w:bookmarkStart w:id="191" w:name="_Toc22397"/>
      <w:bookmarkStart w:id="192" w:name="_Toc22806155"/>
      <w:bookmarkStart w:id="193" w:name="_Toc54335413"/>
      <w:r>
        <w:rPr>
          <w:rFonts w:hint="eastAsia" w:ascii="宋体" w:hAnsi="宋体"/>
          <w:color w:val="auto"/>
          <w:sz w:val="24"/>
          <w:szCs w:val="24"/>
        </w:rPr>
        <w:t>合同的履行</w:t>
      </w:r>
      <w:bookmarkEnd w:id="191"/>
      <w:bookmarkEnd w:id="192"/>
      <w:bookmarkEnd w:id="193"/>
    </w:p>
    <w:p>
      <w:pPr>
        <w:numPr>
          <w:ilvl w:val="1"/>
          <w:numId w:val="3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政府采购合同订立后，合同各方不得擅自变更、中止或者终止合同。政府采购合同需要变更的，采购人应将有关合同变更内容，以书面形式报监管部门备案；因特殊情况需要中止或终止合同的，采购人应将中止或终止合同的理由以及相应措施，以书面形式报监管部门备案。</w:t>
      </w:r>
    </w:p>
    <w:p>
      <w:pPr>
        <w:numPr>
          <w:ilvl w:val="1"/>
          <w:numId w:val="35"/>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政府采购合同履行中，采购人需追加与合同标的相同的货物、工程或者服务的，在不改变合同其他条款的前提下，可以与供应商签订补充合同，但所补充合同的采购金额不得超过原采购金额的10%。签订补充合同的必须按照规定公示和备案。</w:t>
      </w:r>
    </w:p>
    <w:p>
      <w:pPr>
        <w:pStyle w:val="4"/>
        <w:numPr>
          <w:ilvl w:val="0"/>
          <w:numId w:val="14"/>
        </w:numPr>
        <w:tabs>
          <w:tab w:val="left" w:pos="945"/>
        </w:tabs>
        <w:spacing w:before="0" w:after="0" w:line="360" w:lineRule="auto"/>
        <w:ind w:left="0" w:firstLine="0"/>
        <w:rPr>
          <w:rFonts w:ascii="宋体" w:hAnsi="宋体"/>
          <w:color w:val="auto"/>
          <w:sz w:val="28"/>
          <w:szCs w:val="28"/>
        </w:rPr>
      </w:pPr>
      <w:bookmarkStart w:id="194" w:name="_Toc22806156"/>
      <w:bookmarkStart w:id="195" w:name="_Toc10604"/>
      <w:bookmarkStart w:id="196" w:name="_Toc54335414"/>
      <w:r>
        <w:rPr>
          <w:rFonts w:hint="eastAsia" w:ascii="宋体" w:hAnsi="宋体"/>
          <w:color w:val="auto"/>
          <w:sz w:val="28"/>
          <w:szCs w:val="28"/>
        </w:rPr>
        <w:t>询问、质疑与投诉</w:t>
      </w:r>
      <w:bookmarkEnd w:id="194"/>
      <w:bookmarkEnd w:id="195"/>
      <w:bookmarkEnd w:id="196"/>
    </w:p>
    <w:p>
      <w:pPr>
        <w:pStyle w:val="5"/>
        <w:numPr>
          <w:ilvl w:val="0"/>
          <w:numId w:val="30"/>
        </w:numPr>
        <w:tabs>
          <w:tab w:val="left" w:pos="945"/>
        </w:tabs>
        <w:spacing w:before="0" w:after="0" w:line="360" w:lineRule="auto"/>
        <w:ind w:left="964" w:hanging="960" w:hangingChars="400"/>
        <w:rPr>
          <w:rFonts w:ascii="宋体" w:hAnsi="宋体"/>
          <w:color w:val="auto"/>
          <w:sz w:val="24"/>
          <w:szCs w:val="24"/>
        </w:rPr>
      </w:pPr>
      <w:bookmarkStart w:id="197" w:name="_Toc54335415"/>
      <w:bookmarkStart w:id="198" w:name="_Toc28951"/>
      <w:bookmarkStart w:id="199" w:name="_Toc22806157"/>
      <w:r>
        <w:rPr>
          <w:rFonts w:hint="eastAsia" w:ascii="宋体" w:hAnsi="宋体"/>
          <w:color w:val="auto"/>
          <w:sz w:val="24"/>
          <w:szCs w:val="24"/>
        </w:rPr>
        <w:t>询问</w:t>
      </w:r>
      <w:bookmarkEnd w:id="197"/>
      <w:bookmarkEnd w:id="198"/>
      <w:bookmarkEnd w:id="199"/>
    </w:p>
    <w:p>
      <w:pPr>
        <w:numPr>
          <w:ilvl w:val="1"/>
          <w:numId w:val="36"/>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投标人对政府采购活动事项有疑问的，可以采用口头或书面形式向采购人或者采购代理机构提出询问（具体联系人及联系方式见《投标邀请》）。</w:t>
      </w:r>
    </w:p>
    <w:p>
      <w:pPr>
        <w:numPr>
          <w:ilvl w:val="1"/>
          <w:numId w:val="36"/>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投标人提出的询问超出采购人对采购代理机构委托授权范围的，采购代理机构应当告知投标人向采购人提出。</w:t>
      </w:r>
    </w:p>
    <w:p>
      <w:pPr>
        <w:numPr>
          <w:ilvl w:val="1"/>
          <w:numId w:val="36"/>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采购人或者采购代理机构在3个工作日内对供应商依法提出的询问作出答复。答复的内容不得涉及商业秘密。</w:t>
      </w:r>
    </w:p>
    <w:p>
      <w:pPr>
        <w:numPr>
          <w:ilvl w:val="1"/>
          <w:numId w:val="36"/>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具体询问函的格式详见本须知附件</w:t>
      </w:r>
      <w:r>
        <w:rPr>
          <w:rFonts w:hint="eastAsia" w:ascii="宋体" w:hAnsi="宋体"/>
          <w:color w:val="auto"/>
          <w:sz w:val="24"/>
        </w:rPr>
        <w:t>。</w:t>
      </w:r>
    </w:p>
    <w:p>
      <w:pPr>
        <w:pStyle w:val="5"/>
        <w:numPr>
          <w:ilvl w:val="0"/>
          <w:numId w:val="30"/>
        </w:numPr>
        <w:tabs>
          <w:tab w:val="left" w:pos="945"/>
        </w:tabs>
        <w:spacing w:before="0" w:after="0" w:line="360" w:lineRule="auto"/>
        <w:ind w:left="964" w:hanging="960" w:hangingChars="400"/>
        <w:rPr>
          <w:rFonts w:ascii="宋体" w:hAnsi="宋体"/>
          <w:color w:val="auto"/>
          <w:sz w:val="24"/>
          <w:szCs w:val="24"/>
        </w:rPr>
      </w:pPr>
      <w:bookmarkStart w:id="200" w:name="_Toc21473"/>
      <w:bookmarkStart w:id="201" w:name="_Toc22806158"/>
      <w:bookmarkStart w:id="202" w:name="_Toc54335416"/>
      <w:r>
        <w:rPr>
          <w:rFonts w:hint="eastAsia" w:ascii="宋体" w:hAnsi="宋体"/>
          <w:color w:val="auto"/>
          <w:sz w:val="24"/>
          <w:szCs w:val="24"/>
        </w:rPr>
        <w:t>质疑</w:t>
      </w:r>
      <w:bookmarkEnd w:id="200"/>
      <w:bookmarkEnd w:id="201"/>
      <w:bookmarkEnd w:id="202"/>
    </w:p>
    <w:p>
      <w:pPr>
        <w:numPr>
          <w:ilvl w:val="1"/>
          <w:numId w:val="37"/>
        </w:numPr>
        <w:tabs>
          <w:tab w:val="left" w:pos="945"/>
        </w:tabs>
        <w:autoSpaceDE w:val="0"/>
        <w:autoSpaceDN w:val="0"/>
        <w:spacing w:line="360" w:lineRule="auto"/>
        <w:ind w:left="960" w:hanging="960" w:hangingChars="400"/>
        <w:rPr>
          <w:rFonts w:ascii="宋体" w:hAnsi="宋体"/>
          <w:color w:val="auto"/>
          <w:sz w:val="24"/>
        </w:rPr>
      </w:pPr>
      <w:r>
        <w:rPr>
          <w:rFonts w:hint="eastAsia" w:ascii="宋体" w:hAnsi="宋体"/>
          <w:color w:val="auto"/>
          <w:sz w:val="24"/>
        </w:rPr>
        <w:t>投标人认为招标文件、采购过程和中标结果使自己的权益受到损害的，可以在知道或者应知其权益受到损害之日起七个工作日内，以书面形式向采购人或者采购代理机构一次性提出针对同一采购程序环节的质疑。投标人应知其权益受到损害之日，是指：</w:t>
      </w:r>
    </w:p>
    <w:p>
      <w:pPr>
        <w:numPr>
          <w:ilvl w:val="2"/>
          <w:numId w:val="38"/>
        </w:numPr>
        <w:tabs>
          <w:tab w:val="left" w:pos="945"/>
        </w:tabs>
        <w:autoSpaceDE w:val="0"/>
        <w:autoSpaceDN w:val="0"/>
        <w:spacing w:line="360" w:lineRule="auto"/>
        <w:ind w:left="960" w:hanging="960" w:hangingChars="400"/>
        <w:rPr>
          <w:rFonts w:ascii="宋体" w:hAnsi="宋体"/>
          <w:color w:val="auto"/>
          <w:sz w:val="24"/>
        </w:rPr>
      </w:pPr>
      <w:r>
        <w:rPr>
          <w:rFonts w:hint="eastAsia" w:ascii="宋体" w:hAnsi="宋体"/>
          <w:color w:val="auto"/>
          <w:sz w:val="24"/>
        </w:rPr>
        <w:t>对可以</w:t>
      </w:r>
      <w:r>
        <w:rPr>
          <w:rFonts w:hint="eastAsia" w:ascii="宋体" w:hAnsi="宋体"/>
          <w:color w:val="auto"/>
          <w:sz w:val="24"/>
          <w:szCs w:val="24"/>
        </w:rPr>
        <w:t>质疑</w:t>
      </w:r>
      <w:r>
        <w:rPr>
          <w:rFonts w:hint="eastAsia" w:ascii="宋体" w:hAnsi="宋体"/>
          <w:color w:val="auto"/>
          <w:sz w:val="24"/>
        </w:rPr>
        <w:t>的招标文件提出质疑的，为收到招标文件之日或者招标文件公告期限届满之日；</w:t>
      </w:r>
    </w:p>
    <w:p>
      <w:pPr>
        <w:numPr>
          <w:ilvl w:val="2"/>
          <w:numId w:val="38"/>
        </w:numPr>
        <w:tabs>
          <w:tab w:val="left" w:pos="945"/>
        </w:tabs>
        <w:autoSpaceDE w:val="0"/>
        <w:autoSpaceDN w:val="0"/>
        <w:spacing w:line="360" w:lineRule="auto"/>
        <w:ind w:left="960" w:hanging="960" w:hangingChars="400"/>
        <w:rPr>
          <w:rFonts w:ascii="宋体" w:hAnsi="宋体"/>
          <w:color w:val="auto"/>
          <w:sz w:val="24"/>
        </w:rPr>
      </w:pPr>
      <w:r>
        <w:rPr>
          <w:rFonts w:hint="eastAsia" w:ascii="宋体" w:hAnsi="宋体"/>
          <w:color w:val="auto"/>
          <w:sz w:val="24"/>
        </w:rPr>
        <w:t>对采购过程提出质疑的，为各采购程序环节结束之日；</w:t>
      </w:r>
    </w:p>
    <w:p>
      <w:pPr>
        <w:numPr>
          <w:ilvl w:val="2"/>
          <w:numId w:val="38"/>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rPr>
        <w:t>对中标结果提出质疑的，为中标结果公告期限届满之日。</w:t>
      </w:r>
    </w:p>
    <w:p>
      <w:pPr>
        <w:numPr>
          <w:ilvl w:val="1"/>
          <w:numId w:val="38"/>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投标人提出的质疑超出采购人对采购代理机构委托授权范围的，采购代理机构应当告知投标人向采购人提出。</w:t>
      </w:r>
    </w:p>
    <w:p>
      <w:pPr>
        <w:numPr>
          <w:ilvl w:val="1"/>
          <w:numId w:val="38"/>
        </w:numPr>
        <w:tabs>
          <w:tab w:val="left" w:pos="945"/>
        </w:tabs>
        <w:autoSpaceDE w:val="0"/>
        <w:autoSpaceDN w:val="0"/>
        <w:spacing w:line="360" w:lineRule="auto"/>
        <w:ind w:left="960" w:hanging="960" w:hangingChars="400"/>
        <w:rPr>
          <w:rFonts w:ascii="宋体" w:hAnsi="宋体"/>
          <w:color w:val="auto"/>
          <w:sz w:val="24"/>
        </w:rPr>
      </w:pPr>
      <w:r>
        <w:rPr>
          <w:rFonts w:hint="eastAsia" w:ascii="宋体" w:hAnsi="宋体"/>
          <w:color w:val="auto"/>
          <w:sz w:val="24"/>
        </w:rPr>
        <w:t>投标人质疑应当提交质疑函且有明确的请求和必要的证明材料。质疑函应当包括下列内容：</w:t>
      </w:r>
    </w:p>
    <w:p>
      <w:pPr>
        <w:numPr>
          <w:ilvl w:val="2"/>
          <w:numId w:val="39"/>
        </w:numPr>
        <w:tabs>
          <w:tab w:val="left" w:pos="945"/>
        </w:tabs>
        <w:autoSpaceDE w:val="0"/>
        <w:autoSpaceDN w:val="0"/>
        <w:spacing w:line="360" w:lineRule="auto"/>
        <w:ind w:left="960" w:hanging="960" w:hangingChars="400"/>
        <w:rPr>
          <w:rFonts w:ascii="宋体" w:hAnsi="宋体"/>
          <w:color w:val="auto"/>
          <w:sz w:val="24"/>
        </w:rPr>
      </w:pPr>
      <w:r>
        <w:rPr>
          <w:rFonts w:hint="eastAsia" w:ascii="宋体" w:hAnsi="宋体"/>
          <w:color w:val="auto"/>
          <w:sz w:val="24"/>
        </w:rPr>
        <w:t>供应商的姓名或者名称、地址、邮编、联系人及联系电话；</w:t>
      </w:r>
    </w:p>
    <w:p>
      <w:pPr>
        <w:numPr>
          <w:ilvl w:val="2"/>
          <w:numId w:val="39"/>
        </w:numPr>
        <w:tabs>
          <w:tab w:val="left" w:pos="945"/>
        </w:tabs>
        <w:autoSpaceDE w:val="0"/>
        <w:autoSpaceDN w:val="0"/>
        <w:spacing w:line="360" w:lineRule="auto"/>
        <w:ind w:left="960" w:hanging="960" w:hangingChars="400"/>
        <w:rPr>
          <w:rFonts w:ascii="宋体" w:hAnsi="宋体"/>
          <w:color w:val="auto"/>
          <w:sz w:val="24"/>
        </w:rPr>
      </w:pPr>
      <w:r>
        <w:rPr>
          <w:rFonts w:hint="eastAsia" w:ascii="宋体" w:hAnsi="宋体"/>
          <w:color w:val="auto"/>
          <w:sz w:val="24"/>
        </w:rPr>
        <w:t>质疑项目的名称、编号；</w:t>
      </w:r>
    </w:p>
    <w:p>
      <w:pPr>
        <w:numPr>
          <w:ilvl w:val="2"/>
          <w:numId w:val="39"/>
        </w:numPr>
        <w:tabs>
          <w:tab w:val="left" w:pos="945"/>
        </w:tabs>
        <w:autoSpaceDE w:val="0"/>
        <w:autoSpaceDN w:val="0"/>
        <w:spacing w:line="360" w:lineRule="auto"/>
        <w:ind w:left="960" w:hanging="960" w:hangingChars="400"/>
        <w:rPr>
          <w:rFonts w:ascii="宋体" w:hAnsi="宋体"/>
          <w:color w:val="auto"/>
          <w:sz w:val="24"/>
        </w:rPr>
      </w:pPr>
      <w:r>
        <w:rPr>
          <w:rFonts w:hint="eastAsia" w:ascii="宋体" w:hAnsi="宋体"/>
          <w:color w:val="auto"/>
          <w:sz w:val="24"/>
        </w:rPr>
        <w:t>具体、明确的质疑事项和与质疑事项相关的请求；</w:t>
      </w:r>
    </w:p>
    <w:p>
      <w:pPr>
        <w:numPr>
          <w:ilvl w:val="2"/>
          <w:numId w:val="39"/>
        </w:numPr>
        <w:tabs>
          <w:tab w:val="left" w:pos="945"/>
        </w:tabs>
        <w:autoSpaceDE w:val="0"/>
        <w:autoSpaceDN w:val="0"/>
        <w:spacing w:line="360" w:lineRule="auto"/>
        <w:ind w:left="960" w:hanging="960" w:hangingChars="400"/>
        <w:rPr>
          <w:rFonts w:ascii="宋体" w:hAnsi="宋体"/>
          <w:color w:val="auto"/>
          <w:sz w:val="24"/>
        </w:rPr>
      </w:pPr>
      <w:r>
        <w:rPr>
          <w:rFonts w:hint="eastAsia" w:ascii="宋体" w:hAnsi="宋体"/>
          <w:color w:val="auto"/>
          <w:sz w:val="24"/>
        </w:rPr>
        <w:t>事实依据；</w:t>
      </w:r>
    </w:p>
    <w:p>
      <w:pPr>
        <w:numPr>
          <w:ilvl w:val="2"/>
          <w:numId w:val="39"/>
        </w:numPr>
        <w:tabs>
          <w:tab w:val="left" w:pos="945"/>
        </w:tabs>
        <w:autoSpaceDE w:val="0"/>
        <w:autoSpaceDN w:val="0"/>
        <w:spacing w:line="360" w:lineRule="auto"/>
        <w:ind w:left="960" w:hanging="960" w:hangingChars="400"/>
        <w:rPr>
          <w:rFonts w:ascii="宋体" w:hAnsi="宋体"/>
          <w:color w:val="auto"/>
          <w:sz w:val="24"/>
        </w:rPr>
      </w:pPr>
      <w:r>
        <w:rPr>
          <w:rFonts w:hint="eastAsia" w:ascii="宋体" w:hAnsi="宋体"/>
          <w:color w:val="auto"/>
          <w:sz w:val="24"/>
        </w:rPr>
        <w:t>必要的法律依据；</w:t>
      </w:r>
    </w:p>
    <w:p>
      <w:pPr>
        <w:numPr>
          <w:ilvl w:val="2"/>
          <w:numId w:val="39"/>
        </w:numPr>
        <w:tabs>
          <w:tab w:val="left" w:pos="945"/>
        </w:tabs>
        <w:autoSpaceDE w:val="0"/>
        <w:autoSpaceDN w:val="0"/>
        <w:spacing w:line="360" w:lineRule="auto"/>
        <w:ind w:left="960" w:hanging="960" w:hangingChars="400"/>
        <w:rPr>
          <w:rFonts w:ascii="宋体" w:hAnsi="宋体"/>
          <w:color w:val="auto"/>
          <w:sz w:val="24"/>
        </w:rPr>
      </w:pPr>
      <w:r>
        <w:rPr>
          <w:rFonts w:hint="eastAsia" w:ascii="宋体" w:hAnsi="宋体"/>
          <w:color w:val="auto"/>
          <w:sz w:val="24"/>
        </w:rPr>
        <w:t>提出质疑的日期。</w:t>
      </w:r>
    </w:p>
    <w:p>
      <w:pPr>
        <w:numPr>
          <w:ilvl w:val="1"/>
          <w:numId w:val="38"/>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投标人可以委托代理人进行质疑。其授权委托书应当载明代理人的姓名或者名称、代理事项、具体权限、期限和相关事项。供应商为自然人的，应当由本人签字；供应商为法人或者其他组织的，应当由法定代表人、主要负责人签字或者盖章，并加盖公章。代理人提出质疑，应当提交投标人签署的授权委托书。以联合体形式参加政府采购活动的，其质疑应当由联合体成员委托主体提出。</w:t>
      </w:r>
    </w:p>
    <w:p>
      <w:pPr>
        <w:numPr>
          <w:ilvl w:val="1"/>
          <w:numId w:val="38"/>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接收质疑函的方式、联系部门、联系电话和通讯地址</w:t>
      </w:r>
    </w:p>
    <w:p>
      <w:pPr>
        <w:numPr>
          <w:ilvl w:val="2"/>
          <w:numId w:val="40"/>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接收方式：采购代理机构办公现场当面接收或邮寄接收或《投标人须知前附表》规定的其他接收方式。</w:t>
      </w:r>
    </w:p>
    <w:p>
      <w:pPr>
        <w:numPr>
          <w:ilvl w:val="2"/>
          <w:numId w:val="40"/>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联系部门：总工室</w:t>
      </w:r>
    </w:p>
    <w:p>
      <w:pPr>
        <w:numPr>
          <w:ilvl w:val="2"/>
          <w:numId w:val="40"/>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联系电话：020-83172166-862</w:t>
      </w:r>
    </w:p>
    <w:p>
      <w:pPr>
        <w:numPr>
          <w:ilvl w:val="2"/>
          <w:numId w:val="40"/>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通讯地址：广东省广州市越秀区广仁路1号广仁大厦7楼</w:t>
      </w:r>
    </w:p>
    <w:p>
      <w:pPr>
        <w:numPr>
          <w:ilvl w:val="1"/>
          <w:numId w:val="38"/>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rPr>
        <w:t>采购人或者采购代理机构应当在收到供应商的书面质疑后七个工作日内作出答复，并以书面形式通知质疑投标人和其他有关投标人，但答复的内容不得涉及商业秘密。</w:t>
      </w:r>
    </w:p>
    <w:p>
      <w:pPr>
        <w:numPr>
          <w:ilvl w:val="1"/>
          <w:numId w:val="38"/>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s="黑体"/>
          <w:bCs/>
          <w:color w:val="auto"/>
          <w:sz w:val="24"/>
        </w:rPr>
        <w:t>质疑供应商须提供相关证明材料，包括但不限于权益受损害的情况说明及受损害的原因、证据内容等，并对质疑内容的真实性承担责任。供应商捏造事实、提供虚假材料或者以非法手段取得证明材料不能作为质疑的证明材料</w:t>
      </w:r>
      <w:r>
        <w:rPr>
          <w:rFonts w:hint="eastAsia" w:ascii="宋体" w:hAnsi="宋体"/>
          <w:color w:val="auto"/>
          <w:sz w:val="24"/>
          <w:szCs w:val="24"/>
        </w:rPr>
        <w:t>。</w:t>
      </w:r>
    </w:p>
    <w:p>
      <w:pPr>
        <w:numPr>
          <w:ilvl w:val="1"/>
          <w:numId w:val="38"/>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质疑函和投诉书应当使用中文。相关当事人提供外文书证或者外国语视听资料的，应当附有中文译本，由翻译机构盖章或者翻译人员签字。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pPr>
        <w:numPr>
          <w:ilvl w:val="1"/>
          <w:numId w:val="38"/>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对在质疑答复过程中知悉的国家秘密、商业秘密、个人隐私和依法不予公开的信息，采购人、采购代理机构等相关知情人应当保密。</w:t>
      </w:r>
    </w:p>
    <w:p>
      <w:pPr>
        <w:numPr>
          <w:ilvl w:val="1"/>
          <w:numId w:val="38"/>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具体质疑函的格式详见本须知附件。</w:t>
      </w:r>
    </w:p>
    <w:p>
      <w:pPr>
        <w:pStyle w:val="5"/>
        <w:numPr>
          <w:ilvl w:val="0"/>
          <w:numId w:val="30"/>
        </w:numPr>
        <w:tabs>
          <w:tab w:val="left" w:pos="945"/>
        </w:tabs>
        <w:spacing w:before="0" w:after="0" w:line="360" w:lineRule="auto"/>
        <w:ind w:left="964" w:hanging="960" w:hangingChars="400"/>
        <w:rPr>
          <w:rFonts w:ascii="宋体" w:hAnsi="宋体"/>
          <w:color w:val="auto"/>
          <w:sz w:val="24"/>
          <w:szCs w:val="24"/>
        </w:rPr>
      </w:pPr>
      <w:bookmarkStart w:id="203" w:name="_Toc26514"/>
      <w:bookmarkStart w:id="204" w:name="_Toc22806159"/>
      <w:bookmarkStart w:id="205" w:name="_Toc54335417"/>
      <w:r>
        <w:rPr>
          <w:rFonts w:hint="eastAsia" w:ascii="宋体" w:hAnsi="宋体"/>
          <w:color w:val="auto"/>
          <w:sz w:val="24"/>
          <w:szCs w:val="24"/>
        </w:rPr>
        <w:t>投诉</w:t>
      </w:r>
      <w:bookmarkEnd w:id="203"/>
      <w:bookmarkEnd w:id="204"/>
      <w:bookmarkEnd w:id="205"/>
    </w:p>
    <w:p>
      <w:pPr>
        <w:numPr>
          <w:ilvl w:val="1"/>
          <w:numId w:val="41"/>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 xml:space="preserve">质疑投标人对采购人、采购代理机构的答复不满意或者采购人、采购代理机构未在规定的时间内作出答复的，可以在答复期满后十五个工作日内向同级政府采购监督管理部门投诉。                </w:t>
      </w:r>
    </w:p>
    <w:p>
      <w:pPr>
        <w:numPr>
          <w:ilvl w:val="1"/>
          <w:numId w:val="41"/>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根据《中华人民共和国政府采购法实施条例》（第658号）第七十三条，“供应商捏造事实、提供虚假材料或者以非法手段取得证明材料进行投诉的，由财政部门列入不良行为记录名单，禁止其1至3年内参加政府采购活动。”</w:t>
      </w:r>
    </w:p>
    <w:p>
      <w:pPr>
        <w:pStyle w:val="4"/>
        <w:numPr>
          <w:ilvl w:val="0"/>
          <w:numId w:val="14"/>
        </w:numPr>
        <w:tabs>
          <w:tab w:val="left" w:pos="945"/>
        </w:tabs>
        <w:spacing w:before="0" w:after="0" w:line="360" w:lineRule="auto"/>
        <w:ind w:left="0" w:firstLine="0"/>
        <w:rPr>
          <w:rFonts w:ascii="宋体" w:hAnsi="宋体"/>
          <w:color w:val="auto"/>
          <w:sz w:val="28"/>
          <w:szCs w:val="28"/>
        </w:rPr>
      </w:pPr>
      <w:bookmarkStart w:id="206" w:name="_Toc22806160"/>
      <w:bookmarkStart w:id="207" w:name="_Toc54335418"/>
      <w:bookmarkStart w:id="208" w:name="_Toc31751"/>
      <w:r>
        <w:rPr>
          <w:rFonts w:hint="eastAsia" w:ascii="宋体" w:hAnsi="宋体"/>
          <w:color w:val="auto"/>
          <w:sz w:val="28"/>
          <w:szCs w:val="28"/>
        </w:rPr>
        <w:t>相关法律</w:t>
      </w:r>
      <w:bookmarkEnd w:id="206"/>
      <w:bookmarkEnd w:id="207"/>
      <w:bookmarkEnd w:id="208"/>
    </w:p>
    <w:p>
      <w:pPr>
        <w:pStyle w:val="5"/>
        <w:numPr>
          <w:ilvl w:val="0"/>
          <w:numId w:val="30"/>
        </w:numPr>
        <w:tabs>
          <w:tab w:val="left" w:pos="945"/>
        </w:tabs>
        <w:spacing w:before="0" w:after="0" w:line="360" w:lineRule="auto"/>
        <w:ind w:left="964" w:hanging="960" w:hangingChars="400"/>
        <w:rPr>
          <w:rFonts w:ascii="宋体" w:hAnsi="宋体"/>
          <w:color w:val="auto"/>
          <w:sz w:val="24"/>
          <w:szCs w:val="24"/>
        </w:rPr>
      </w:pPr>
      <w:bookmarkStart w:id="209" w:name="_Toc54335419"/>
      <w:bookmarkStart w:id="210" w:name="_Toc1277"/>
      <w:bookmarkStart w:id="211" w:name="_Toc22806161"/>
      <w:r>
        <w:rPr>
          <w:rFonts w:hint="eastAsia" w:ascii="宋体" w:hAnsi="宋体"/>
          <w:color w:val="auto"/>
          <w:sz w:val="24"/>
          <w:szCs w:val="24"/>
        </w:rPr>
        <w:t>适用法律</w:t>
      </w:r>
      <w:bookmarkEnd w:id="209"/>
      <w:bookmarkEnd w:id="210"/>
      <w:bookmarkEnd w:id="211"/>
    </w:p>
    <w:p>
      <w:pPr>
        <w:numPr>
          <w:ilvl w:val="1"/>
          <w:numId w:val="42"/>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采购人、采购代理机构及投标人的一切政府采购活动均适用《中华人民共和国政府采购法》及其配套的法规、规章、政策。</w:t>
      </w:r>
    </w:p>
    <w:p>
      <w:pPr>
        <w:pStyle w:val="4"/>
        <w:numPr>
          <w:ilvl w:val="0"/>
          <w:numId w:val="14"/>
        </w:numPr>
        <w:tabs>
          <w:tab w:val="left" w:pos="945"/>
        </w:tabs>
        <w:spacing w:before="0" w:after="0" w:line="360" w:lineRule="auto"/>
        <w:ind w:left="0" w:firstLine="0"/>
        <w:rPr>
          <w:rFonts w:ascii="宋体" w:hAnsi="宋体"/>
          <w:color w:val="auto"/>
          <w:sz w:val="28"/>
          <w:szCs w:val="28"/>
        </w:rPr>
      </w:pPr>
      <w:bookmarkStart w:id="212" w:name="_Toc54335420"/>
      <w:bookmarkStart w:id="213" w:name="_Toc14409"/>
      <w:bookmarkStart w:id="214" w:name="_Toc22806163"/>
      <w:r>
        <w:rPr>
          <w:rFonts w:hint="eastAsia" w:ascii="宋体" w:hAnsi="宋体"/>
          <w:color w:val="auto"/>
          <w:sz w:val="28"/>
          <w:szCs w:val="28"/>
        </w:rPr>
        <w:t>其他事项</w:t>
      </w:r>
      <w:bookmarkEnd w:id="212"/>
      <w:bookmarkEnd w:id="213"/>
    </w:p>
    <w:p>
      <w:pPr>
        <w:pStyle w:val="5"/>
        <w:numPr>
          <w:ilvl w:val="0"/>
          <w:numId w:val="30"/>
        </w:numPr>
        <w:tabs>
          <w:tab w:val="left" w:pos="945"/>
        </w:tabs>
        <w:spacing w:before="0" w:after="0" w:line="360" w:lineRule="auto"/>
        <w:ind w:left="964" w:hanging="960" w:hangingChars="400"/>
        <w:rPr>
          <w:rFonts w:ascii="宋体" w:hAnsi="宋体"/>
          <w:color w:val="auto"/>
          <w:sz w:val="24"/>
          <w:szCs w:val="24"/>
        </w:rPr>
      </w:pPr>
      <w:bookmarkStart w:id="215" w:name="_Toc54335421"/>
      <w:bookmarkStart w:id="216" w:name="_Toc4176"/>
      <w:r>
        <w:rPr>
          <w:rFonts w:hint="eastAsia" w:ascii="宋体" w:hAnsi="宋体"/>
          <w:color w:val="auto"/>
          <w:sz w:val="24"/>
          <w:szCs w:val="24"/>
        </w:rPr>
        <w:t>项目监管部门或其上级财政部门规定的其他事项</w:t>
      </w:r>
      <w:bookmarkEnd w:id="215"/>
      <w:bookmarkEnd w:id="216"/>
    </w:p>
    <w:p>
      <w:pPr>
        <w:numPr>
          <w:ilvl w:val="1"/>
          <w:numId w:val="43"/>
        </w:numPr>
        <w:tabs>
          <w:tab w:val="left" w:pos="945"/>
        </w:tabs>
        <w:autoSpaceDE w:val="0"/>
        <w:autoSpaceDN w:val="0"/>
        <w:spacing w:line="360" w:lineRule="auto"/>
        <w:ind w:left="960" w:hanging="960" w:hangingChars="400"/>
        <w:rPr>
          <w:rFonts w:ascii="宋体" w:hAnsi="宋体"/>
          <w:color w:val="auto"/>
          <w:sz w:val="24"/>
        </w:rPr>
      </w:pPr>
      <w:r>
        <w:rPr>
          <w:rFonts w:hint="eastAsia" w:ascii="宋体" w:hAnsi="宋体"/>
          <w:color w:val="auto"/>
          <w:sz w:val="24"/>
        </w:rPr>
        <w:t>项目监管部门或其上级财政部门规定的其他事项适用于本项目。</w:t>
      </w:r>
    </w:p>
    <w:p>
      <w:pPr>
        <w:pStyle w:val="5"/>
        <w:numPr>
          <w:ilvl w:val="0"/>
          <w:numId w:val="30"/>
        </w:numPr>
        <w:tabs>
          <w:tab w:val="left" w:pos="945"/>
        </w:tabs>
        <w:spacing w:before="0" w:after="0" w:line="360" w:lineRule="auto"/>
        <w:ind w:left="964" w:hanging="960" w:hangingChars="400"/>
        <w:rPr>
          <w:rFonts w:ascii="宋体" w:hAnsi="宋体"/>
          <w:color w:val="auto"/>
          <w:sz w:val="24"/>
          <w:szCs w:val="24"/>
        </w:rPr>
      </w:pPr>
      <w:r>
        <w:rPr>
          <w:rFonts w:hint="eastAsia" w:ascii="宋体" w:hAnsi="宋体"/>
          <w:color w:val="auto"/>
          <w:sz w:val="24"/>
          <w:szCs w:val="24"/>
        </w:rPr>
        <w:tab/>
      </w:r>
      <w:bookmarkStart w:id="217" w:name="_Toc23849"/>
      <w:bookmarkStart w:id="218" w:name="_Toc54335422"/>
      <w:r>
        <w:rPr>
          <w:rFonts w:hint="eastAsia" w:ascii="宋体" w:hAnsi="宋体"/>
          <w:color w:val="auto"/>
          <w:sz w:val="24"/>
          <w:szCs w:val="24"/>
        </w:rPr>
        <w:t>需要补充的其他内容</w:t>
      </w:r>
      <w:bookmarkEnd w:id="217"/>
      <w:bookmarkEnd w:id="218"/>
    </w:p>
    <w:p>
      <w:pPr>
        <w:tabs>
          <w:tab w:val="left" w:pos="945"/>
        </w:tabs>
        <w:autoSpaceDE w:val="0"/>
        <w:autoSpaceDN w:val="0"/>
        <w:spacing w:line="360" w:lineRule="auto"/>
        <w:ind w:left="567" w:firstLine="360" w:firstLineChars="150"/>
        <w:rPr>
          <w:rFonts w:ascii="宋体" w:hAnsi="宋体"/>
          <w:color w:val="auto"/>
          <w:sz w:val="24"/>
        </w:rPr>
      </w:pPr>
      <w:r>
        <w:rPr>
          <w:rFonts w:hint="eastAsia" w:ascii="宋体" w:hAnsi="宋体"/>
          <w:color w:val="auto"/>
          <w:sz w:val="24"/>
        </w:rPr>
        <w:t>需要补充的其他内容：见《投标人须知前附表》。</w:t>
      </w:r>
    </w:p>
    <w:bookmarkEnd w:id="214"/>
    <w:p>
      <w:pPr>
        <w:pStyle w:val="4"/>
        <w:numPr>
          <w:ilvl w:val="0"/>
          <w:numId w:val="14"/>
        </w:numPr>
        <w:tabs>
          <w:tab w:val="left" w:pos="945"/>
        </w:tabs>
        <w:spacing w:before="0" w:after="0" w:line="360" w:lineRule="auto"/>
        <w:ind w:left="0" w:firstLine="0"/>
        <w:rPr>
          <w:rFonts w:ascii="宋体" w:hAnsi="宋体"/>
          <w:color w:val="auto"/>
          <w:sz w:val="28"/>
          <w:szCs w:val="28"/>
        </w:rPr>
      </w:pPr>
      <w:bookmarkStart w:id="219" w:name="_Toc54335423"/>
      <w:bookmarkStart w:id="220" w:name="_Toc14274"/>
      <w:r>
        <w:rPr>
          <w:rFonts w:hint="eastAsia" w:ascii="宋体" w:hAnsi="宋体"/>
          <w:color w:val="auto"/>
          <w:sz w:val="28"/>
          <w:szCs w:val="28"/>
        </w:rPr>
        <w:t>附表与附件</w:t>
      </w:r>
      <w:bookmarkEnd w:id="219"/>
      <w:bookmarkEnd w:id="220"/>
    </w:p>
    <w:p>
      <w:pPr>
        <w:pStyle w:val="4"/>
        <w:tabs>
          <w:tab w:val="left" w:pos="945"/>
        </w:tabs>
        <w:spacing w:before="0" w:after="0" w:line="360" w:lineRule="auto"/>
        <w:rPr>
          <w:color w:val="auto"/>
          <w:sz w:val="24"/>
        </w:rPr>
      </w:pPr>
      <w:bookmarkStart w:id="221" w:name="_Toc54335424"/>
      <w:bookmarkStart w:id="222" w:name="_Toc25792"/>
      <w:bookmarkStart w:id="223" w:name="_Toc22806164"/>
      <w:r>
        <w:rPr>
          <w:rFonts w:hint="eastAsia"/>
          <w:color w:val="auto"/>
          <w:sz w:val="24"/>
        </w:rPr>
        <w:t>附件1：供应商提交询问函、质疑函、投诉函的格式</w:t>
      </w:r>
      <w:bookmarkEnd w:id="221"/>
      <w:bookmarkEnd w:id="222"/>
    </w:p>
    <w:p>
      <w:pPr>
        <w:pStyle w:val="5"/>
        <w:numPr>
          <w:ilvl w:val="0"/>
          <w:numId w:val="0"/>
        </w:numPr>
        <w:tabs>
          <w:tab w:val="left" w:pos="945"/>
        </w:tabs>
        <w:spacing w:before="0" w:after="0" w:line="360" w:lineRule="auto"/>
        <w:ind w:left="425" w:hanging="425"/>
        <w:rPr>
          <w:rFonts w:ascii="宋体" w:hAnsi="宋体"/>
          <w:color w:val="auto"/>
          <w:sz w:val="24"/>
          <w:szCs w:val="24"/>
        </w:rPr>
      </w:pPr>
      <w:bookmarkStart w:id="224" w:name="_Toc22806170"/>
      <w:r>
        <w:rPr>
          <w:rFonts w:ascii="宋体" w:hAnsi="宋体"/>
          <w:color w:val="auto"/>
          <w:sz w:val="24"/>
          <w:szCs w:val="24"/>
        </w:rPr>
        <w:br w:type="page"/>
      </w:r>
      <w:bookmarkStart w:id="225" w:name="_Toc54335425"/>
      <w:bookmarkStart w:id="226" w:name="_Toc26330"/>
      <w:r>
        <w:rPr>
          <w:rFonts w:hint="eastAsia" w:ascii="宋体" w:hAnsi="宋体"/>
          <w:color w:val="auto"/>
          <w:sz w:val="24"/>
          <w:szCs w:val="24"/>
        </w:rPr>
        <w:t>格式1：询问函格式</w:t>
      </w:r>
      <w:bookmarkEnd w:id="224"/>
      <w:bookmarkEnd w:id="225"/>
      <w:bookmarkEnd w:id="226"/>
    </w:p>
    <w:p>
      <w:pPr>
        <w:autoSpaceDE w:val="0"/>
        <w:autoSpaceDN w:val="0"/>
        <w:spacing w:line="360" w:lineRule="auto"/>
        <w:jc w:val="center"/>
        <w:rPr>
          <w:rFonts w:ascii="宋体" w:hAnsi="宋体"/>
          <w:b/>
          <w:color w:val="auto"/>
          <w:sz w:val="24"/>
          <w:szCs w:val="24"/>
        </w:rPr>
      </w:pPr>
      <w:r>
        <w:rPr>
          <w:rFonts w:hint="eastAsia" w:ascii="宋体" w:hAnsi="宋体"/>
          <w:b/>
          <w:color w:val="auto"/>
          <w:sz w:val="24"/>
          <w:szCs w:val="24"/>
        </w:rPr>
        <w:t>询问函</w:t>
      </w:r>
    </w:p>
    <w:p>
      <w:pPr>
        <w:autoSpaceDE w:val="0"/>
        <w:autoSpaceDN w:val="0"/>
        <w:spacing w:line="360" w:lineRule="auto"/>
        <w:rPr>
          <w:rFonts w:ascii="宋体" w:hAnsi="宋体"/>
          <w:color w:val="auto"/>
          <w:sz w:val="24"/>
          <w:szCs w:val="24"/>
        </w:rPr>
      </w:pPr>
      <w:r>
        <w:rPr>
          <w:rFonts w:hint="eastAsia" w:ascii="宋体" w:hAnsi="宋体"/>
          <w:color w:val="auto"/>
          <w:sz w:val="24"/>
          <w:szCs w:val="24"/>
        </w:rPr>
        <w:t>广东华伦招标有限公司：</w:t>
      </w:r>
    </w:p>
    <w:p>
      <w:pPr>
        <w:autoSpaceDE w:val="0"/>
        <w:autoSpaceDN w:val="0"/>
        <w:spacing w:line="360" w:lineRule="auto"/>
        <w:ind w:firstLine="480" w:firstLineChars="200"/>
        <w:rPr>
          <w:rFonts w:ascii="宋体" w:hAnsi="宋体"/>
          <w:color w:val="auto"/>
          <w:sz w:val="24"/>
          <w:szCs w:val="24"/>
        </w:rPr>
      </w:pPr>
      <w:r>
        <w:rPr>
          <w:rFonts w:hint="eastAsia" w:ascii="宋体" w:hAnsi="宋体"/>
          <w:color w:val="auto"/>
          <w:sz w:val="24"/>
          <w:szCs w:val="24"/>
        </w:rPr>
        <w:t>我单位已按规定获取招标文件并准备参与</w:t>
      </w:r>
      <w:r>
        <w:rPr>
          <w:rFonts w:hint="eastAsia" w:ascii="宋体" w:hAnsi="宋体"/>
          <w:i/>
          <w:color w:val="auto"/>
          <w:sz w:val="24"/>
          <w:szCs w:val="24"/>
          <w:u w:val="single"/>
          <w:lang w:eastAsia="zh-CN"/>
        </w:rPr>
        <w:t>工业和信息化部电子第五研究所动力电池配套使用环境试验箱采购项目</w:t>
      </w:r>
      <w:r>
        <w:rPr>
          <w:rFonts w:hint="eastAsia" w:ascii="宋体" w:hAnsi="宋体"/>
          <w:color w:val="auto"/>
          <w:sz w:val="24"/>
          <w:szCs w:val="24"/>
        </w:rPr>
        <w:t>项目（采购文件编号：</w:t>
      </w:r>
      <w:r>
        <w:rPr>
          <w:rFonts w:hint="eastAsia" w:ascii="宋体" w:hAnsi="宋体"/>
          <w:i/>
          <w:color w:val="auto"/>
          <w:sz w:val="24"/>
          <w:szCs w:val="24"/>
          <w:u w:val="single"/>
          <w:lang w:eastAsia="zh-CN"/>
        </w:rPr>
        <w:t>0809-2241GZG14036</w:t>
      </w:r>
      <w:r>
        <w:rPr>
          <w:rFonts w:hint="eastAsia" w:ascii="宋体" w:hAnsi="宋体"/>
          <w:color w:val="auto"/>
          <w:sz w:val="24"/>
          <w:szCs w:val="24"/>
        </w:rPr>
        <w:t>）的投标（或报价）活动，现有以下几个内容（或条款）存在疑问（或无法理解），特提出询问。</w:t>
      </w:r>
    </w:p>
    <w:p>
      <w:pPr>
        <w:autoSpaceDE w:val="0"/>
        <w:autoSpaceDN w:val="0"/>
        <w:spacing w:line="360" w:lineRule="auto"/>
        <w:ind w:firstLine="480" w:firstLineChars="200"/>
        <w:rPr>
          <w:rFonts w:ascii="宋体" w:hAnsi="宋体"/>
          <w:color w:val="auto"/>
          <w:sz w:val="24"/>
          <w:szCs w:val="24"/>
        </w:rPr>
      </w:pPr>
      <w:r>
        <w:rPr>
          <w:rFonts w:hint="eastAsia" w:ascii="宋体" w:hAnsi="宋体"/>
          <w:color w:val="auto"/>
          <w:sz w:val="24"/>
          <w:szCs w:val="24"/>
        </w:rPr>
        <w:t>一、</w:t>
      </w:r>
      <w:r>
        <w:rPr>
          <w:rFonts w:hint="eastAsia" w:ascii="宋体" w:hAnsi="宋体"/>
          <w:color w:val="auto"/>
          <w:sz w:val="24"/>
          <w:szCs w:val="24"/>
          <w:u w:val="single"/>
        </w:rPr>
        <w:t xml:space="preserve">                     </w:t>
      </w:r>
      <w:r>
        <w:rPr>
          <w:rFonts w:hint="eastAsia" w:ascii="宋体" w:hAnsi="宋体"/>
          <w:color w:val="auto"/>
          <w:sz w:val="24"/>
          <w:szCs w:val="24"/>
        </w:rPr>
        <w:t>（事项一）</w:t>
      </w:r>
    </w:p>
    <w:p>
      <w:pPr>
        <w:autoSpaceDE w:val="0"/>
        <w:autoSpaceDN w:val="0"/>
        <w:spacing w:line="360" w:lineRule="auto"/>
        <w:ind w:firstLine="480" w:firstLineChars="200"/>
        <w:rPr>
          <w:rFonts w:ascii="宋体" w:hAnsi="宋体"/>
          <w:color w:val="auto"/>
          <w:sz w:val="24"/>
          <w:szCs w:val="24"/>
        </w:rPr>
      </w:pPr>
      <w:r>
        <w:rPr>
          <w:rFonts w:hint="eastAsia" w:ascii="宋体" w:hAnsi="宋体"/>
          <w:color w:val="auto"/>
          <w:sz w:val="24"/>
          <w:szCs w:val="24"/>
        </w:rPr>
        <w:t>（1）</w:t>
      </w:r>
      <w:r>
        <w:rPr>
          <w:rFonts w:hint="eastAsia" w:ascii="宋体" w:hAnsi="宋体"/>
          <w:color w:val="auto"/>
          <w:sz w:val="24"/>
          <w:szCs w:val="24"/>
          <w:u w:val="single"/>
        </w:rPr>
        <w:t xml:space="preserve">                    </w:t>
      </w:r>
      <w:r>
        <w:rPr>
          <w:rFonts w:hint="eastAsia" w:ascii="宋体" w:hAnsi="宋体"/>
          <w:color w:val="auto"/>
          <w:sz w:val="24"/>
          <w:szCs w:val="24"/>
        </w:rPr>
        <w:t>（问题或条款内容）</w:t>
      </w:r>
    </w:p>
    <w:p>
      <w:pPr>
        <w:autoSpaceDE w:val="0"/>
        <w:autoSpaceDN w:val="0"/>
        <w:spacing w:line="360" w:lineRule="auto"/>
        <w:ind w:firstLine="480" w:firstLineChars="200"/>
        <w:rPr>
          <w:rFonts w:ascii="宋体" w:hAnsi="宋体"/>
          <w:color w:val="auto"/>
          <w:sz w:val="24"/>
          <w:szCs w:val="24"/>
        </w:rPr>
      </w:pPr>
      <w:r>
        <w:rPr>
          <w:rFonts w:hint="eastAsia" w:ascii="宋体" w:hAnsi="宋体"/>
          <w:color w:val="auto"/>
          <w:sz w:val="24"/>
          <w:szCs w:val="24"/>
        </w:rPr>
        <w:t>（2）</w:t>
      </w:r>
      <w:r>
        <w:rPr>
          <w:rFonts w:hint="eastAsia" w:ascii="宋体" w:hAnsi="宋体"/>
          <w:color w:val="auto"/>
          <w:sz w:val="24"/>
          <w:szCs w:val="24"/>
          <w:u w:val="single"/>
        </w:rPr>
        <w:t xml:space="preserve">                    </w:t>
      </w:r>
      <w:r>
        <w:rPr>
          <w:rFonts w:hint="eastAsia" w:ascii="宋体" w:hAnsi="宋体"/>
          <w:color w:val="auto"/>
          <w:sz w:val="24"/>
          <w:szCs w:val="24"/>
        </w:rPr>
        <w:t>（说明疑问或无法理解原因）</w:t>
      </w:r>
    </w:p>
    <w:p>
      <w:pPr>
        <w:autoSpaceDE w:val="0"/>
        <w:autoSpaceDN w:val="0"/>
        <w:spacing w:line="360" w:lineRule="auto"/>
        <w:ind w:firstLine="480" w:firstLineChars="200"/>
        <w:rPr>
          <w:rFonts w:ascii="宋体" w:hAnsi="宋体"/>
          <w:color w:val="auto"/>
          <w:sz w:val="24"/>
          <w:szCs w:val="24"/>
        </w:rPr>
      </w:pPr>
      <w:r>
        <w:rPr>
          <w:rFonts w:hint="eastAsia" w:ascii="宋体" w:hAnsi="宋体"/>
          <w:color w:val="auto"/>
          <w:sz w:val="24"/>
          <w:szCs w:val="24"/>
        </w:rPr>
        <w:t>（3）</w:t>
      </w:r>
      <w:r>
        <w:rPr>
          <w:rFonts w:hint="eastAsia" w:ascii="宋体" w:hAnsi="宋体"/>
          <w:color w:val="auto"/>
          <w:sz w:val="24"/>
          <w:szCs w:val="24"/>
          <w:u w:val="single"/>
        </w:rPr>
        <w:t xml:space="preserve">                    </w:t>
      </w:r>
      <w:r>
        <w:rPr>
          <w:rFonts w:hint="eastAsia" w:ascii="宋体" w:hAnsi="宋体"/>
          <w:color w:val="auto"/>
          <w:sz w:val="24"/>
          <w:szCs w:val="24"/>
        </w:rPr>
        <w:t>（建议）</w:t>
      </w:r>
    </w:p>
    <w:p>
      <w:pPr>
        <w:autoSpaceDE w:val="0"/>
        <w:autoSpaceDN w:val="0"/>
        <w:spacing w:line="360" w:lineRule="auto"/>
        <w:ind w:firstLine="480" w:firstLineChars="200"/>
        <w:rPr>
          <w:rFonts w:ascii="宋体" w:hAnsi="宋体"/>
          <w:color w:val="auto"/>
          <w:sz w:val="24"/>
          <w:szCs w:val="24"/>
        </w:rPr>
      </w:pPr>
      <w:r>
        <w:rPr>
          <w:rFonts w:hint="eastAsia" w:ascii="宋体" w:hAnsi="宋体"/>
          <w:color w:val="auto"/>
          <w:sz w:val="24"/>
          <w:szCs w:val="24"/>
        </w:rPr>
        <w:t>二、</w:t>
      </w:r>
      <w:r>
        <w:rPr>
          <w:rFonts w:hint="eastAsia" w:ascii="宋体" w:hAnsi="宋体"/>
          <w:color w:val="auto"/>
          <w:sz w:val="24"/>
          <w:szCs w:val="24"/>
          <w:u w:val="single"/>
        </w:rPr>
        <w:t xml:space="preserve">                     </w:t>
      </w:r>
      <w:r>
        <w:rPr>
          <w:rFonts w:hint="eastAsia" w:ascii="宋体" w:hAnsi="宋体"/>
          <w:color w:val="auto"/>
          <w:sz w:val="24"/>
          <w:szCs w:val="24"/>
        </w:rPr>
        <w:t>（事项二）</w:t>
      </w:r>
    </w:p>
    <w:p>
      <w:pPr>
        <w:autoSpaceDE w:val="0"/>
        <w:autoSpaceDN w:val="0"/>
        <w:spacing w:line="360" w:lineRule="auto"/>
        <w:ind w:firstLine="480" w:firstLineChars="200"/>
        <w:rPr>
          <w:rFonts w:ascii="宋体" w:hAnsi="宋体"/>
          <w:color w:val="auto"/>
          <w:sz w:val="24"/>
          <w:szCs w:val="24"/>
        </w:rPr>
      </w:pPr>
      <w:r>
        <w:rPr>
          <w:rFonts w:hint="eastAsia" w:ascii="宋体" w:hAnsi="宋体"/>
          <w:color w:val="auto"/>
          <w:sz w:val="24"/>
          <w:szCs w:val="24"/>
        </w:rPr>
        <w:t>……</w:t>
      </w:r>
    </w:p>
    <w:p>
      <w:pPr>
        <w:autoSpaceDE w:val="0"/>
        <w:autoSpaceDN w:val="0"/>
        <w:spacing w:line="360" w:lineRule="auto"/>
        <w:ind w:firstLine="480" w:firstLineChars="200"/>
        <w:rPr>
          <w:rFonts w:ascii="宋体" w:hAnsi="宋体"/>
          <w:color w:val="auto"/>
          <w:sz w:val="24"/>
          <w:szCs w:val="24"/>
        </w:rPr>
      </w:pPr>
      <w:r>
        <w:rPr>
          <w:rFonts w:hint="eastAsia" w:ascii="宋体" w:hAnsi="宋体"/>
          <w:color w:val="auto"/>
          <w:sz w:val="24"/>
          <w:szCs w:val="24"/>
        </w:rPr>
        <w:t>随附相关证明材料如下：（请提供目录）。</w:t>
      </w:r>
    </w:p>
    <w:p>
      <w:pPr>
        <w:autoSpaceDE w:val="0"/>
        <w:autoSpaceDN w:val="0"/>
        <w:spacing w:line="360" w:lineRule="auto"/>
        <w:rPr>
          <w:rFonts w:ascii="宋体" w:hAnsi="宋体"/>
          <w:color w:val="auto"/>
          <w:sz w:val="24"/>
          <w:szCs w:val="24"/>
        </w:rPr>
      </w:pPr>
    </w:p>
    <w:p>
      <w:pPr>
        <w:autoSpaceDE w:val="0"/>
        <w:autoSpaceDN w:val="0"/>
        <w:spacing w:line="360" w:lineRule="auto"/>
        <w:ind w:firstLine="4320" w:firstLineChars="1800"/>
        <w:rPr>
          <w:rFonts w:ascii="宋体" w:hAnsi="宋体"/>
          <w:color w:val="auto"/>
          <w:sz w:val="24"/>
          <w:szCs w:val="24"/>
        </w:rPr>
      </w:pPr>
      <w:r>
        <w:rPr>
          <w:rFonts w:hint="eastAsia" w:ascii="宋体" w:hAnsi="宋体"/>
          <w:color w:val="auto"/>
          <w:sz w:val="24"/>
          <w:szCs w:val="24"/>
        </w:rPr>
        <w:t>询问人：（公章）</w:t>
      </w:r>
    </w:p>
    <w:p>
      <w:pPr>
        <w:autoSpaceDE w:val="0"/>
        <w:autoSpaceDN w:val="0"/>
        <w:spacing w:line="360" w:lineRule="auto"/>
        <w:ind w:firstLine="4320" w:firstLineChars="1800"/>
        <w:rPr>
          <w:rFonts w:ascii="宋体" w:hAnsi="宋体"/>
          <w:color w:val="auto"/>
          <w:sz w:val="24"/>
          <w:szCs w:val="24"/>
        </w:rPr>
      </w:pPr>
      <w:r>
        <w:rPr>
          <w:rFonts w:hint="eastAsia" w:ascii="宋体" w:hAnsi="宋体"/>
          <w:color w:val="auto"/>
          <w:sz w:val="24"/>
          <w:szCs w:val="24"/>
        </w:rPr>
        <w:t>法定代表人（授权代表）：</w:t>
      </w:r>
    </w:p>
    <w:p>
      <w:pPr>
        <w:autoSpaceDE w:val="0"/>
        <w:autoSpaceDN w:val="0"/>
        <w:spacing w:line="360" w:lineRule="auto"/>
        <w:ind w:firstLine="4320" w:firstLineChars="1800"/>
        <w:rPr>
          <w:rFonts w:ascii="宋体" w:hAnsi="宋体"/>
          <w:color w:val="auto"/>
          <w:sz w:val="24"/>
          <w:szCs w:val="24"/>
        </w:rPr>
      </w:pPr>
      <w:r>
        <w:rPr>
          <w:rFonts w:hint="eastAsia" w:ascii="宋体" w:hAnsi="宋体"/>
          <w:color w:val="auto"/>
          <w:sz w:val="24"/>
          <w:szCs w:val="24"/>
        </w:rPr>
        <w:t>地址/邮编：</w:t>
      </w:r>
    </w:p>
    <w:p>
      <w:pPr>
        <w:autoSpaceDE w:val="0"/>
        <w:autoSpaceDN w:val="0"/>
        <w:spacing w:line="360" w:lineRule="auto"/>
        <w:ind w:firstLine="4320" w:firstLineChars="1800"/>
        <w:rPr>
          <w:rFonts w:ascii="宋体" w:hAnsi="宋体"/>
          <w:color w:val="auto"/>
          <w:sz w:val="24"/>
          <w:szCs w:val="24"/>
        </w:rPr>
      </w:pPr>
      <w:r>
        <w:rPr>
          <w:rFonts w:hint="eastAsia" w:ascii="宋体" w:hAnsi="宋体"/>
          <w:color w:val="auto"/>
          <w:sz w:val="24"/>
          <w:szCs w:val="24"/>
        </w:rPr>
        <w:t>电话/传真：</w:t>
      </w:r>
    </w:p>
    <w:p>
      <w:pPr>
        <w:autoSpaceDE w:val="0"/>
        <w:autoSpaceDN w:val="0"/>
        <w:spacing w:line="360" w:lineRule="auto"/>
        <w:ind w:firstLine="4320" w:firstLineChars="1800"/>
        <w:rPr>
          <w:rFonts w:ascii="宋体" w:hAnsi="宋体"/>
          <w:color w:val="auto"/>
          <w:sz w:val="24"/>
          <w:szCs w:val="24"/>
        </w:rPr>
      </w:pPr>
      <w:r>
        <w:rPr>
          <w:rFonts w:hint="eastAsia" w:ascii="宋体" w:hAnsi="宋体"/>
          <w:color w:val="auto"/>
          <w:sz w:val="24"/>
          <w:szCs w:val="24"/>
        </w:rPr>
        <w:t xml:space="preserve">        年  月  日</w:t>
      </w:r>
    </w:p>
    <w:p>
      <w:pPr>
        <w:pStyle w:val="5"/>
        <w:numPr>
          <w:ilvl w:val="0"/>
          <w:numId w:val="0"/>
        </w:numPr>
        <w:tabs>
          <w:tab w:val="left" w:pos="945"/>
        </w:tabs>
        <w:spacing w:before="0" w:after="0" w:line="360" w:lineRule="auto"/>
        <w:ind w:left="425" w:hanging="425"/>
        <w:rPr>
          <w:rFonts w:ascii="宋体" w:hAnsi="宋体"/>
          <w:color w:val="auto"/>
          <w:sz w:val="24"/>
          <w:szCs w:val="24"/>
        </w:rPr>
      </w:pPr>
      <w:r>
        <w:rPr>
          <w:rFonts w:ascii="宋体" w:hAnsi="宋体"/>
          <w:color w:val="auto"/>
          <w:sz w:val="24"/>
          <w:szCs w:val="24"/>
        </w:rPr>
        <w:br w:type="page"/>
      </w:r>
      <w:bookmarkStart w:id="227" w:name="_Toc22806171"/>
      <w:bookmarkStart w:id="228" w:name="_Toc54335426"/>
      <w:bookmarkStart w:id="229" w:name="_Toc18172"/>
      <w:r>
        <w:rPr>
          <w:rFonts w:hint="eastAsia" w:ascii="宋体" w:hAnsi="宋体"/>
          <w:color w:val="auto"/>
          <w:sz w:val="24"/>
          <w:szCs w:val="24"/>
        </w:rPr>
        <w:t>格式2：质疑函格式</w:t>
      </w:r>
      <w:bookmarkEnd w:id="227"/>
      <w:bookmarkEnd w:id="228"/>
      <w:bookmarkEnd w:id="229"/>
    </w:p>
    <w:p>
      <w:pPr>
        <w:autoSpaceDE w:val="0"/>
        <w:autoSpaceDN w:val="0"/>
        <w:spacing w:line="360" w:lineRule="auto"/>
        <w:jc w:val="center"/>
        <w:rPr>
          <w:rFonts w:ascii="宋体" w:hAnsi="宋体"/>
          <w:b/>
          <w:color w:val="auto"/>
          <w:sz w:val="24"/>
          <w:szCs w:val="24"/>
        </w:rPr>
      </w:pPr>
      <w:r>
        <w:rPr>
          <w:rFonts w:hint="eastAsia" w:ascii="宋体" w:hAnsi="宋体"/>
          <w:b/>
          <w:color w:val="auto"/>
          <w:sz w:val="24"/>
          <w:szCs w:val="24"/>
        </w:rPr>
        <w:t>质疑函</w:t>
      </w:r>
    </w:p>
    <w:p>
      <w:pPr>
        <w:autoSpaceDE w:val="0"/>
        <w:autoSpaceDN w:val="0"/>
        <w:rPr>
          <w:rFonts w:ascii="宋体" w:hAnsi="宋体"/>
          <w:b/>
          <w:color w:val="auto"/>
          <w:sz w:val="24"/>
          <w:szCs w:val="24"/>
        </w:rPr>
      </w:pPr>
      <w:r>
        <w:rPr>
          <w:rFonts w:hint="eastAsia" w:ascii="宋体" w:hAnsi="宋体"/>
          <w:b/>
          <w:color w:val="auto"/>
          <w:sz w:val="24"/>
          <w:szCs w:val="24"/>
        </w:rPr>
        <w:t>一、质疑供应商基本信息</w:t>
      </w:r>
    </w:p>
    <w:p>
      <w:pPr>
        <w:autoSpaceDE w:val="0"/>
        <w:autoSpaceDN w:val="0"/>
        <w:rPr>
          <w:rFonts w:ascii="宋体" w:hAnsi="宋体"/>
          <w:color w:val="auto"/>
          <w:sz w:val="24"/>
          <w:szCs w:val="24"/>
        </w:rPr>
      </w:pPr>
      <w:r>
        <w:rPr>
          <w:rFonts w:hint="eastAsia" w:ascii="宋体" w:hAnsi="宋体"/>
          <w:color w:val="auto"/>
          <w:sz w:val="24"/>
          <w:szCs w:val="24"/>
        </w:rPr>
        <w:t>质疑供应商：</w:t>
      </w:r>
      <w:r>
        <w:rPr>
          <w:rFonts w:hint="eastAsia" w:ascii="宋体" w:hAnsi="宋体"/>
          <w:color w:val="auto"/>
          <w:sz w:val="24"/>
          <w:szCs w:val="24"/>
          <w:u w:val="single"/>
        </w:rPr>
        <w:t xml:space="preserve">                                                               </w:t>
      </w:r>
    </w:p>
    <w:p>
      <w:pPr>
        <w:autoSpaceDE w:val="0"/>
        <w:autoSpaceDN w:val="0"/>
        <w:rPr>
          <w:rFonts w:ascii="宋体" w:hAnsi="宋体"/>
          <w:color w:val="auto"/>
          <w:sz w:val="24"/>
          <w:szCs w:val="24"/>
        </w:rPr>
      </w:pPr>
      <w:r>
        <w:rPr>
          <w:rFonts w:hint="eastAsia" w:ascii="宋体" w:hAnsi="宋体"/>
          <w:color w:val="auto"/>
          <w:sz w:val="24"/>
          <w:szCs w:val="24"/>
        </w:rPr>
        <w:t>地址：</w:t>
      </w:r>
      <w:r>
        <w:rPr>
          <w:rFonts w:hint="eastAsia" w:ascii="宋体" w:hAnsi="宋体"/>
          <w:color w:val="auto"/>
          <w:sz w:val="24"/>
          <w:szCs w:val="24"/>
          <w:u w:val="single"/>
        </w:rPr>
        <w:t xml:space="preserve">                                              </w:t>
      </w:r>
      <w:r>
        <w:rPr>
          <w:rFonts w:hint="eastAsia" w:ascii="宋体" w:hAnsi="宋体"/>
          <w:color w:val="auto"/>
          <w:sz w:val="24"/>
          <w:szCs w:val="24"/>
        </w:rPr>
        <w:t xml:space="preserve">  邮编：</w:t>
      </w:r>
      <w:r>
        <w:rPr>
          <w:rFonts w:hint="eastAsia" w:ascii="宋体" w:hAnsi="宋体"/>
          <w:color w:val="auto"/>
          <w:sz w:val="24"/>
          <w:szCs w:val="24"/>
          <w:u w:val="single"/>
        </w:rPr>
        <w:t xml:space="preserve">               </w:t>
      </w:r>
    </w:p>
    <w:p>
      <w:pPr>
        <w:autoSpaceDE w:val="0"/>
        <w:autoSpaceDN w:val="0"/>
        <w:rPr>
          <w:rFonts w:ascii="宋体" w:hAnsi="宋体"/>
          <w:color w:val="auto"/>
          <w:sz w:val="24"/>
          <w:szCs w:val="24"/>
        </w:rPr>
      </w:pPr>
      <w:r>
        <w:rPr>
          <w:rFonts w:hint="eastAsia" w:ascii="宋体" w:hAnsi="宋体"/>
          <w:color w:val="auto"/>
          <w:sz w:val="24"/>
          <w:szCs w:val="24"/>
        </w:rPr>
        <w:t>联系人：</w:t>
      </w:r>
      <w:r>
        <w:rPr>
          <w:rFonts w:hint="eastAsia" w:ascii="宋体" w:hAnsi="宋体"/>
          <w:color w:val="auto"/>
          <w:sz w:val="24"/>
          <w:szCs w:val="24"/>
          <w:u w:val="single"/>
        </w:rPr>
        <w:t xml:space="preserve">                                            </w:t>
      </w:r>
      <w:r>
        <w:rPr>
          <w:rFonts w:hint="eastAsia" w:ascii="宋体" w:hAnsi="宋体"/>
          <w:color w:val="auto"/>
          <w:sz w:val="24"/>
          <w:szCs w:val="24"/>
        </w:rPr>
        <w:t xml:space="preserve">  联系电话：</w:t>
      </w:r>
      <w:r>
        <w:rPr>
          <w:rFonts w:hint="eastAsia" w:ascii="宋体" w:hAnsi="宋体"/>
          <w:color w:val="auto"/>
          <w:sz w:val="24"/>
          <w:szCs w:val="24"/>
          <w:u w:val="single"/>
        </w:rPr>
        <w:t xml:space="preserve">           </w:t>
      </w:r>
    </w:p>
    <w:p>
      <w:pPr>
        <w:autoSpaceDE w:val="0"/>
        <w:autoSpaceDN w:val="0"/>
        <w:rPr>
          <w:rFonts w:ascii="宋体" w:hAnsi="宋体"/>
          <w:color w:val="auto"/>
          <w:sz w:val="24"/>
          <w:szCs w:val="24"/>
        </w:rPr>
      </w:pPr>
      <w:r>
        <w:rPr>
          <w:rFonts w:hint="eastAsia" w:ascii="宋体" w:hAnsi="宋体"/>
          <w:color w:val="auto"/>
          <w:sz w:val="24"/>
          <w:szCs w:val="24"/>
        </w:rPr>
        <w:t>授权代表：</w:t>
      </w:r>
      <w:r>
        <w:rPr>
          <w:rFonts w:hint="eastAsia" w:ascii="宋体" w:hAnsi="宋体"/>
          <w:color w:val="auto"/>
          <w:sz w:val="24"/>
          <w:szCs w:val="24"/>
          <w:u w:val="single"/>
        </w:rPr>
        <w:t xml:space="preserve">                                          </w:t>
      </w:r>
      <w:r>
        <w:rPr>
          <w:rFonts w:hint="eastAsia" w:ascii="宋体" w:hAnsi="宋体"/>
          <w:color w:val="auto"/>
          <w:sz w:val="24"/>
          <w:szCs w:val="24"/>
        </w:rPr>
        <w:t xml:space="preserve">  联系电话：</w:t>
      </w:r>
      <w:r>
        <w:rPr>
          <w:rFonts w:hint="eastAsia" w:ascii="宋体" w:hAnsi="宋体"/>
          <w:color w:val="auto"/>
          <w:sz w:val="24"/>
          <w:szCs w:val="24"/>
          <w:u w:val="single"/>
        </w:rPr>
        <w:t xml:space="preserve">           </w:t>
      </w:r>
    </w:p>
    <w:p>
      <w:pPr>
        <w:autoSpaceDE w:val="0"/>
        <w:autoSpaceDN w:val="0"/>
        <w:rPr>
          <w:rFonts w:ascii="宋体" w:hAnsi="宋体"/>
          <w:color w:val="auto"/>
          <w:sz w:val="24"/>
          <w:szCs w:val="24"/>
        </w:rPr>
      </w:pPr>
      <w:r>
        <w:rPr>
          <w:rFonts w:hint="eastAsia" w:ascii="宋体" w:hAnsi="宋体"/>
          <w:color w:val="auto"/>
          <w:sz w:val="24"/>
          <w:szCs w:val="24"/>
        </w:rPr>
        <w:t>地址：</w:t>
      </w:r>
      <w:r>
        <w:rPr>
          <w:rFonts w:hint="eastAsia" w:ascii="宋体" w:hAnsi="宋体"/>
          <w:color w:val="auto"/>
          <w:sz w:val="24"/>
          <w:szCs w:val="24"/>
          <w:u w:val="single"/>
        </w:rPr>
        <w:t xml:space="preserve">                                              </w:t>
      </w:r>
      <w:r>
        <w:rPr>
          <w:rFonts w:hint="eastAsia" w:ascii="宋体" w:hAnsi="宋体"/>
          <w:color w:val="auto"/>
          <w:sz w:val="24"/>
          <w:szCs w:val="24"/>
        </w:rPr>
        <w:t xml:space="preserve">  邮编：</w:t>
      </w:r>
      <w:r>
        <w:rPr>
          <w:rFonts w:hint="eastAsia" w:ascii="宋体" w:hAnsi="宋体"/>
          <w:color w:val="auto"/>
          <w:sz w:val="24"/>
          <w:szCs w:val="24"/>
          <w:u w:val="single"/>
        </w:rPr>
        <w:t xml:space="preserve">               </w:t>
      </w:r>
    </w:p>
    <w:p>
      <w:pPr>
        <w:autoSpaceDE w:val="0"/>
        <w:autoSpaceDN w:val="0"/>
        <w:rPr>
          <w:rFonts w:ascii="宋体" w:hAnsi="宋体"/>
          <w:b/>
          <w:color w:val="auto"/>
          <w:sz w:val="24"/>
          <w:szCs w:val="24"/>
        </w:rPr>
      </w:pPr>
      <w:r>
        <w:rPr>
          <w:rFonts w:hint="eastAsia" w:ascii="宋体" w:hAnsi="宋体"/>
          <w:b/>
          <w:color w:val="auto"/>
          <w:sz w:val="24"/>
          <w:szCs w:val="24"/>
        </w:rPr>
        <w:t>二、质疑项目基本情况</w:t>
      </w:r>
    </w:p>
    <w:p>
      <w:pPr>
        <w:autoSpaceDE w:val="0"/>
        <w:autoSpaceDN w:val="0"/>
        <w:rPr>
          <w:rFonts w:ascii="宋体" w:hAnsi="宋体"/>
          <w:color w:val="auto"/>
          <w:sz w:val="24"/>
          <w:szCs w:val="24"/>
        </w:rPr>
      </w:pPr>
      <w:r>
        <w:rPr>
          <w:rFonts w:hint="eastAsia" w:ascii="宋体" w:hAnsi="宋体"/>
          <w:color w:val="auto"/>
          <w:sz w:val="24"/>
          <w:szCs w:val="24"/>
        </w:rPr>
        <w:t>质疑项目的名称：</w:t>
      </w:r>
      <w:r>
        <w:rPr>
          <w:rFonts w:hint="eastAsia" w:ascii="宋体" w:hAnsi="宋体"/>
          <w:color w:val="auto"/>
          <w:sz w:val="24"/>
          <w:szCs w:val="24"/>
          <w:u w:val="single"/>
        </w:rPr>
        <w:t xml:space="preserve">                                                           </w:t>
      </w:r>
    </w:p>
    <w:p>
      <w:pPr>
        <w:autoSpaceDE w:val="0"/>
        <w:autoSpaceDN w:val="0"/>
        <w:rPr>
          <w:rFonts w:ascii="宋体" w:hAnsi="宋体"/>
          <w:color w:val="auto"/>
          <w:sz w:val="24"/>
          <w:szCs w:val="24"/>
        </w:rPr>
      </w:pPr>
      <w:r>
        <w:rPr>
          <w:rFonts w:hint="eastAsia" w:ascii="宋体" w:hAnsi="宋体"/>
          <w:color w:val="auto"/>
          <w:sz w:val="24"/>
          <w:szCs w:val="24"/>
        </w:rPr>
        <w:t>质疑项目的文件编号：</w:t>
      </w:r>
      <w:r>
        <w:rPr>
          <w:rFonts w:hint="eastAsia" w:ascii="宋体" w:hAnsi="宋体"/>
          <w:color w:val="auto"/>
          <w:sz w:val="24"/>
          <w:szCs w:val="24"/>
          <w:u w:val="single"/>
        </w:rPr>
        <w:t xml:space="preserve">                                </w:t>
      </w:r>
      <w:r>
        <w:rPr>
          <w:rFonts w:hint="eastAsia" w:ascii="宋体" w:hAnsi="宋体"/>
          <w:color w:val="auto"/>
          <w:sz w:val="24"/>
          <w:szCs w:val="24"/>
        </w:rPr>
        <w:t xml:space="preserve">  采购包号：</w:t>
      </w:r>
      <w:r>
        <w:rPr>
          <w:rFonts w:hint="eastAsia" w:ascii="宋体" w:hAnsi="宋体"/>
          <w:color w:val="auto"/>
          <w:sz w:val="24"/>
          <w:szCs w:val="24"/>
          <w:u w:val="single"/>
        </w:rPr>
        <w:t xml:space="preserve">             </w:t>
      </w:r>
    </w:p>
    <w:p>
      <w:pPr>
        <w:autoSpaceDE w:val="0"/>
        <w:autoSpaceDN w:val="0"/>
        <w:rPr>
          <w:rFonts w:ascii="宋体" w:hAnsi="宋体"/>
          <w:color w:val="auto"/>
          <w:sz w:val="24"/>
          <w:szCs w:val="24"/>
        </w:rPr>
      </w:pPr>
      <w:r>
        <w:rPr>
          <w:rFonts w:hint="eastAsia" w:ascii="宋体" w:hAnsi="宋体"/>
          <w:color w:val="auto"/>
          <w:sz w:val="24"/>
          <w:szCs w:val="24"/>
        </w:rPr>
        <w:t>采购人名称：</w:t>
      </w:r>
      <w:r>
        <w:rPr>
          <w:rFonts w:hint="eastAsia" w:ascii="宋体" w:hAnsi="宋体"/>
          <w:color w:val="auto"/>
          <w:sz w:val="24"/>
          <w:szCs w:val="24"/>
          <w:u w:val="single"/>
        </w:rPr>
        <w:t xml:space="preserve">                                                               </w:t>
      </w:r>
    </w:p>
    <w:p>
      <w:pPr>
        <w:autoSpaceDE w:val="0"/>
        <w:autoSpaceDN w:val="0"/>
        <w:rPr>
          <w:rFonts w:ascii="宋体" w:hAnsi="宋体"/>
          <w:color w:val="auto"/>
          <w:sz w:val="24"/>
          <w:szCs w:val="24"/>
          <w:u w:val="single"/>
        </w:rPr>
      </w:pPr>
      <w:r>
        <w:rPr>
          <w:rFonts w:hint="eastAsia" w:ascii="宋体" w:hAnsi="宋体"/>
          <w:color w:val="auto"/>
          <w:sz w:val="24"/>
          <w:szCs w:val="24"/>
        </w:rPr>
        <w:t>招标文件获取日期：</w:t>
      </w:r>
      <w:r>
        <w:rPr>
          <w:rFonts w:hint="eastAsia" w:ascii="宋体" w:hAnsi="宋体"/>
          <w:color w:val="auto"/>
          <w:sz w:val="24"/>
          <w:szCs w:val="24"/>
          <w:u w:val="single"/>
        </w:rPr>
        <w:t xml:space="preserve">                                                         </w:t>
      </w:r>
    </w:p>
    <w:p>
      <w:pPr>
        <w:autoSpaceDE w:val="0"/>
        <w:autoSpaceDN w:val="0"/>
        <w:rPr>
          <w:rFonts w:ascii="宋体" w:hAnsi="宋体"/>
          <w:color w:val="auto"/>
          <w:sz w:val="24"/>
          <w:szCs w:val="24"/>
        </w:rPr>
      </w:pPr>
      <w:r>
        <w:rPr>
          <w:rFonts w:hint="eastAsia" w:ascii="宋体" w:hAnsi="宋体"/>
          <w:color w:val="auto"/>
          <w:sz w:val="24"/>
          <w:szCs w:val="24"/>
        </w:rPr>
        <w:t>质疑环节：</w:t>
      </w:r>
      <w:r>
        <w:rPr>
          <w:rFonts w:hint="eastAsia" w:ascii="宋体" w:hAnsi="宋体"/>
          <w:i/>
          <w:color w:val="auto"/>
          <w:sz w:val="24"/>
          <w:szCs w:val="24"/>
        </w:rPr>
        <w:t>采购文件</w:t>
      </w:r>
      <w:r>
        <w:rPr>
          <w:rFonts w:hint="eastAsia" w:ascii="宋体" w:hAnsi="宋体"/>
          <w:color w:val="auto"/>
          <w:sz w:val="24"/>
          <w:szCs w:val="24"/>
        </w:rPr>
        <w:t>/</w:t>
      </w:r>
      <w:r>
        <w:rPr>
          <w:rFonts w:hint="eastAsia" w:ascii="宋体" w:hAnsi="宋体"/>
          <w:i/>
          <w:color w:val="auto"/>
          <w:sz w:val="24"/>
          <w:szCs w:val="24"/>
        </w:rPr>
        <w:t>开标过程</w:t>
      </w:r>
      <w:r>
        <w:rPr>
          <w:rFonts w:hint="eastAsia" w:ascii="宋体" w:hAnsi="宋体"/>
          <w:color w:val="auto"/>
          <w:sz w:val="24"/>
          <w:szCs w:val="24"/>
        </w:rPr>
        <w:t>/</w:t>
      </w:r>
      <w:r>
        <w:rPr>
          <w:rFonts w:hint="eastAsia" w:ascii="宋体" w:hAnsi="宋体"/>
          <w:i/>
          <w:color w:val="auto"/>
          <w:sz w:val="24"/>
          <w:szCs w:val="24"/>
        </w:rPr>
        <w:t>评审过程、中标或者成交结果</w:t>
      </w:r>
      <w:r>
        <w:rPr>
          <w:rFonts w:hint="eastAsia" w:ascii="宋体" w:hAnsi="宋体"/>
          <w:color w:val="auto"/>
          <w:sz w:val="24"/>
          <w:szCs w:val="24"/>
        </w:rPr>
        <w:t>/</w:t>
      </w:r>
      <w:r>
        <w:rPr>
          <w:rFonts w:hint="eastAsia" w:ascii="宋体" w:hAnsi="宋体"/>
          <w:i/>
          <w:color w:val="auto"/>
          <w:sz w:val="24"/>
          <w:szCs w:val="24"/>
        </w:rPr>
        <w:t>其他：</w:t>
      </w:r>
      <w:r>
        <w:rPr>
          <w:rFonts w:hint="eastAsia" w:ascii="宋体" w:hAnsi="宋体"/>
          <w:i/>
          <w:color w:val="auto"/>
          <w:sz w:val="24"/>
          <w:szCs w:val="24"/>
          <w:u w:val="single"/>
        </w:rPr>
        <w:t>（请填写具体环节）</w:t>
      </w:r>
    </w:p>
    <w:p>
      <w:pPr>
        <w:autoSpaceDE w:val="0"/>
        <w:autoSpaceDN w:val="0"/>
        <w:rPr>
          <w:rFonts w:ascii="宋体" w:hAnsi="宋体"/>
          <w:b/>
          <w:color w:val="auto"/>
          <w:sz w:val="24"/>
          <w:szCs w:val="24"/>
        </w:rPr>
      </w:pPr>
      <w:r>
        <w:rPr>
          <w:rFonts w:hint="eastAsia" w:ascii="宋体" w:hAnsi="宋体"/>
          <w:b/>
          <w:color w:val="auto"/>
          <w:sz w:val="24"/>
          <w:szCs w:val="24"/>
        </w:rPr>
        <w:t>三、质疑事项具体内容</w:t>
      </w:r>
    </w:p>
    <w:p>
      <w:pPr>
        <w:autoSpaceDE w:val="0"/>
        <w:autoSpaceDN w:val="0"/>
        <w:rPr>
          <w:rFonts w:ascii="宋体" w:hAnsi="宋体"/>
          <w:color w:val="auto"/>
          <w:sz w:val="24"/>
          <w:szCs w:val="24"/>
        </w:rPr>
      </w:pPr>
      <w:r>
        <w:rPr>
          <w:rFonts w:hint="eastAsia" w:ascii="宋体" w:hAnsi="宋体"/>
          <w:color w:val="auto"/>
          <w:sz w:val="24"/>
          <w:szCs w:val="24"/>
        </w:rPr>
        <w:t>质疑事项1：</w:t>
      </w:r>
      <w:r>
        <w:rPr>
          <w:rFonts w:hint="eastAsia" w:ascii="宋体" w:hAnsi="宋体"/>
          <w:i/>
          <w:color w:val="auto"/>
          <w:sz w:val="24"/>
          <w:szCs w:val="24"/>
          <w:u w:val="single"/>
        </w:rPr>
        <w:t>（质疑事项1标题或简要描述）</w:t>
      </w:r>
      <w:r>
        <w:rPr>
          <w:rFonts w:hint="eastAsia" w:ascii="宋体" w:hAnsi="宋体"/>
          <w:color w:val="auto"/>
          <w:sz w:val="24"/>
          <w:szCs w:val="24"/>
          <w:u w:val="single"/>
        </w:rPr>
        <w:t xml:space="preserve">                                      </w:t>
      </w:r>
    </w:p>
    <w:p>
      <w:pPr>
        <w:autoSpaceDE w:val="0"/>
        <w:autoSpaceDN w:val="0"/>
        <w:rPr>
          <w:rFonts w:ascii="宋体" w:hAnsi="宋体"/>
          <w:color w:val="auto"/>
          <w:sz w:val="24"/>
          <w:szCs w:val="24"/>
          <w:u w:val="single"/>
        </w:rPr>
      </w:pPr>
      <w:r>
        <w:rPr>
          <w:rFonts w:hint="eastAsia" w:ascii="宋体" w:hAnsi="宋体"/>
          <w:color w:val="auto"/>
          <w:sz w:val="24"/>
          <w:szCs w:val="24"/>
        </w:rPr>
        <w:t>事实依据：</w:t>
      </w:r>
      <w:r>
        <w:rPr>
          <w:rFonts w:hint="eastAsia" w:ascii="宋体" w:hAnsi="宋体"/>
          <w:color w:val="auto"/>
          <w:sz w:val="24"/>
          <w:szCs w:val="24"/>
          <w:u w:val="single"/>
        </w:rPr>
        <w:t xml:space="preserve">                                                                 </w:t>
      </w:r>
    </w:p>
    <w:p>
      <w:pPr>
        <w:autoSpaceDE w:val="0"/>
        <w:autoSpaceDN w:val="0"/>
        <w:rPr>
          <w:rFonts w:ascii="宋体" w:hAnsi="宋体"/>
          <w:color w:val="auto"/>
          <w:sz w:val="24"/>
          <w:szCs w:val="24"/>
          <w:u w:val="single"/>
        </w:rPr>
      </w:pPr>
      <w:r>
        <w:rPr>
          <w:rFonts w:ascii="宋体" w:hAnsi="宋体"/>
          <w:color w:val="auto"/>
          <w:sz w:val="24"/>
          <w:szCs w:val="24"/>
          <w:u w:val="single"/>
        </w:rPr>
        <w:t xml:space="preserve">                                          </w:t>
      </w:r>
      <w:r>
        <w:rPr>
          <w:rFonts w:hint="eastAsia" w:ascii="宋体" w:hAnsi="宋体"/>
          <w:color w:val="auto"/>
          <w:sz w:val="24"/>
          <w:szCs w:val="24"/>
          <w:u w:val="single"/>
        </w:rPr>
        <w:t xml:space="preserve">                       </w:t>
      </w:r>
      <w:r>
        <w:rPr>
          <w:rFonts w:ascii="宋体" w:hAnsi="宋体"/>
          <w:color w:val="auto"/>
          <w:sz w:val="24"/>
          <w:szCs w:val="24"/>
          <w:u w:val="single"/>
        </w:rPr>
        <w:t xml:space="preserve">          </w:t>
      </w:r>
    </w:p>
    <w:p>
      <w:pPr>
        <w:autoSpaceDE w:val="0"/>
        <w:autoSpaceDN w:val="0"/>
        <w:rPr>
          <w:rFonts w:ascii="宋体" w:hAnsi="宋体"/>
          <w:color w:val="auto"/>
          <w:sz w:val="24"/>
          <w:szCs w:val="24"/>
          <w:u w:val="single"/>
        </w:rPr>
      </w:pPr>
      <w:r>
        <w:rPr>
          <w:rFonts w:hint="eastAsia" w:ascii="宋体" w:hAnsi="宋体"/>
          <w:color w:val="auto"/>
          <w:sz w:val="24"/>
          <w:szCs w:val="24"/>
        </w:rPr>
        <w:t>法律依据：</w:t>
      </w:r>
      <w:r>
        <w:rPr>
          <w:rFonts w:hint="eastAsia" w:ascii="宋体" w:hAnsi="宋体"/>
          <w:color w:val="auto"/>
          <w:sz w:val="24"/>
          <w:szCs w:val="24"/>
          <w:u w:val="single"/>
        </w:rPr>
        <w:t xml:space="preserve">                                                                 </w:t>
      </w:r>
    </w:p>
    <w:p>
      <w:pPr>
        <w:autoSpaceDE w:val="0"/>
        <w:autoSpaceDN w:val="0"/>
        <w:rPr>
          <w:rFonts w:ascii="宋体" w:hAnsi="宋体"/>
          <w:color w:val="auto"/>
          <w:sz w:val="24"/>
          <w:szCs w:val="24"/>
          <w:u w:val="single"/>
        </w:rPr>
      </w:pPr>
      <w:r>
        <w:rPr>
          <w:rFonts w:ascii="宋体" w:hAnsi="宋体"/>
          <w:color w:val="auto"/>
          <w:sz w:val="24"/>
          <w:szCs w:val="24"/>
          <w:u w:val="single"/>
        </w:rPr>
        <w:t xml:space="preserve">                                      </w:t>
      </w:r>
      <w:r>
        <w:rPr>
          <w:rFonts w:hint="eastAsia" w:ascii="宋体" w:hAnsi="宋体"/>
          <w:color w:val="auto"/>
          <w:sz w:val="24"/>
          <w:szCs w:val="24"/>
          <w:u w:val="single"/>
        </w:rPr>
        <w:t xml:space="preserve">                       </w:t>
      </w:r>
      <w:r>
        <w:rPr>
          <w:rFonts w:ascii="宋体" w:hAnsi="宋体"/>
          <w:color w:val="auto"/>
          <w:sz w:val="24"/>
          <w:szCs w:val="24"/>
          <w:u w:val="single"/>
        </w:rPr>
        <w:t xml:space="preserve">              </w:t>
      </w:r>
    </w:p>
    <w:p>
      <w:pPr>
        <w:autoSpaceDE w:val="0"/>
        <w:autoSpaceDN w:val="0"/>
        <w:rPr>
          <w:rFonts w:ascii="宋体" w:hAnsi="宋体"/>
          <w:color w:val="auto"/>
          <w:sz w:val="24"/>
          <w:szCs w:val="24"/>
        </w:rPr>
      </w:pPr>
      <w:r>
        <w:rPr>
          <w:rFonts w:hint="eastAsia" w:ascii="宋体" w:hAnsi="宋体"/>
          <w:color w:val="auto"/>
          <w:sz w:val="24"/>
          <w:szCs w:val="24"/>
        </w:rPr>
        <w:t>质疑事项2：</w:t>
      </w:r>
      <w:r>
        <w:rPr>
          <w:rFonts w:hint="eastAsia" w:ascii="宋体" w:hAnsi="宋体"/>
          <w:i/>
          <w:color w:val="auto"/>
          <w:sz w:val="24"/>
          <w:szCs w:val="24"/>
          <w:u w:val="single"/>
        </w:rPr>
        <w:t>（质疑事项1标题或简要描述）</w:t>
      </w:r>
      <w:r>
        <w:rPr>
          <w:rFonts w:hint="eastAsia" w:ascii="宋体" w:hAnsi="宋体"/>
          <w:color w:val="auto"/>
          <w:sz w:val="24"/>
          <w:szCs w:val="24"/>
          <w:u w:val="single"/>
        </w:rPr>
        <w:t xml:space="preserve">                                      </w:t>
      </w:r>
    </w:p>
    <w:p>
      <w:pPr>
        <w:autoSpaceDE w:val="0"/>
        <w:autoSpaceDN w:val="0"/>
        <w:rPr>
          <w:rFonts w:ascii="宋体" w:hAnsi="宋体"/>
          <w:color w:val="auto"/>
          <w:sz w:val="24"/>
          <w:szCs w:val="24"/>
        </w:rPr>
      </w:pPr>
      <w:r>
        <w:rPr>
          <w:rFonts w:hint="eastAsia" w:ascii="宋体" w:hAnsi="宋体"/>
          <w:color w:val="auto"/>
          <w:sz w:val="24"/>
          <w:szCs w:val="24"/>
        </w:rPr>
        <w:t>……</w:t>
      </w:r>
    </w:p>
    <w:p>
      <w:pPr>
        <w:autoSpaceDE w:val="0"/>
        <w:autoSpaceDN w:val="0"/>
        <w:rPr>
          <w:rFonts w:ascii="宋体" w:hAnsi="宋体"/>
          <w:b/>
          <w:color w:val="auto"/>
          <w:sz w:val="24"/>
          <w:szCs w:val="24"/>
        </w:rPr>
      </w:pPr>
      <w:r>
        <w:rPr>
          <w:rFonts w:hint="eastAsia" w:ascii="宋体" w:hAnsi="宋体"/>
          <w:b/>
          <w:color w:val="auto"/>
          <w:sz w:val="24"/>
          <w:szCs w:val="24"/>
        </w:rPr>
        <w:t>四、与质疑事项相关的质疑请求</w:t>
      </w:r>
    </w:p>
    <w:p>
      <w:pPr>
        <w:autoSpaceDE w:val="0"/>
        <w:autoSpaceDN w:val="0"/>
        <w:rPr>
          <w:rFonts w:ascii="宋体" w:hAnsi="宋体"/>
          <w:color w:val="auto"/>
          <w:sz w:val="24"/>
          <w:szCs w:val="24"/>
        </w:rPr>
      </w:pPr>
      <w:r>
        <w:rPr>
          <w:rFonts w:hint="eastAsia" w:ascii="宋体" w:hAnsi="宋体"/>
          <w:color w:val="auto"/>
          <w:sz w:val="24"/>
          <w:szCs w:val="24"/>
        </w:rPr>
        <w:t>请求：</w:t>
      </w:r>
      <w:r>
        <w:rPr>
          <w:rFonts w:hint="eastAsia" w:ascii="宋体" w:hAnsi="宋体"/>
          <w:color w:val="auto"/>
          <w:sz w:val="24"/>
          <w:szCs w:val="24"/>
          <w:u w:val="single"/>
        </w:rPr>
        <w:t xml:space="preserve">                                                                     </w:t>
      </w:r>
    </w:p>
    <w:p>
      <w:pPr>
        <w:autoSpaceDE w:val="0"/>
        <w:autoSpaceDN w:val="0"/>
        <w:rPr>
          <w:rFonts w:ascii="宋体" w:hAnsi="宋体"/>
          <w:color w:val="auto"/>
          <w:sz w:val="24"/>
          <w:szCs w:val="24"/>
        </w:rPr>
      </w:pPr>
      <w:r>
        <w:rPr>
          <w:rFonts w:hint="eastAsia" w:ascii="宋体" w:hAnsi="宋体"/>
          <w:color w:val="auto"/>
          <w:sz w:val="24"/>
          <w:szCs w:val="24"/>
        </w:rPr>
        <w:t>代表（签字或盖章）：</w:t>
      </w:r>
      <w:r>
        <w:rPr>
          <w:rFonts w:hint="eastAsia" w:ascii="宋体" w:hAnsi="宋体"/>
          <w:color w:val="auto"/>
          <w:sz w:val="24"/>
          <w:szCs w:val="24"/>
          <w:u w:val="single"/>
        </w:rPr>
        <w:t xml:space="preserve">                   </w:t>
      </w:r>
      <w:r>
        <w:rPr>
          <w:rFonts w:hint="eastAsia" w:ascii="宋体" w:hAnsi="宋体"/>
          <w:color w:val="auto"/>
          <w:sz w:val="24"/>
          <w:szCs w:val="24"/>
        </w:rPr>
        <w:t xml:space="preserve">  （机构供应商）公章：</w:t>
      </w:r>
      <w:r>
        <w:rPr>
          <w:rFonts w:hint="eastAsia" w:ascii="宋体" w:hAnsi="宋体"/>
          <w:color w:val="auto"/>
          <w:sz w:val="24"/>
          <w:szCs w:val="24"/>
          <w:u w:val="single"/>
        </w:rPr>
        <w:t xml:space="preserve">               </w:t>
      </w:r>
    </w:p>
    <w:p>
      <w:pPr>
        <w:autoSpaceDE w:val="0"/>
        <w:autoSpaceDN w:val="0"/>
        <w:rPr>
          <w:rFonts w:ascii="宋体" w:hAnsi="宋体"/>
          <w:color w:val="auto"/>
          <w:sz w:val="24"/>
          <w:szCs w:val="24"/>
        </w:rPr>
      </w:pPr>
      <w:r>
        <w:rPr>
          <w:rFonts w:hint="eastAsia" w:ascii="宋体" w:hAnsi="宋体"/>
          <w:color w:val="auto"/>
          <w:sz w:val="24"/>
          <w:szCs w:val="24"/>
        </w:rPr>
        <w:t>质疑日期：</w:t>
      </w:r>
      <w:r>
        <w:rPr>
          <w:rFonts w:hint="eastAsia" w:ascii="宋体" w:hAnsi="宋体"/>
          <w:color w:val="auto"/>
          <w:sz w:val="24"/>
          <w:szCs w:val="24"/>
          <w:u w:val="single"/>
        </w:rPr>
        <w:t xml:space="preserve">        </w:t>
      </w:r>
      <w:r>
        <w:rPr>
          <w:rFonts w:hint="eastAsia" w:ascii="宋体" w:hAnsi="宋体"/>
          <w:color w:val="auto"/>
          <w:sz w:val="24"/>
          <w:szCs w:val="24"/>
        </w:rPr>
        <w:t>年</w:t>
      </w:r>
      <w:r>
        <w:rPr>
          <w:rFonts w:hint="eastAsia" w:ascii="宋体" w:hAnsi="宋体"/>
          <w:color w:val="auto"/>
          <w:sz w:val="24"/>
          <w:szCs w:val="24"/>
          <w:u w:val="single"/>
        </w:rPr>
        <w:t xml:space="preserve">    </w:t>
      </w:r>
      <w:r>
        <w:rPr>
          <w:rFonts w:hint="eastAsia" w:ascii="宋体" w:hAnsi="宋体"/>
          <w:color w:val="auto"/>
          <w:sz w:val="24"/>
          <w:szCs w:val="24"/>
        </w:rPr>
        <w:t>月</w:t>
      </w:r>
      <w:r>
        <w:rPr>
          <w:rFonts w:hint="eastAsia" w:ascii="宋体" w:hAnsi="宋体"/>
          <w:color w:val="auto"/>
          <w:sz w:val="24"/>
          <w:szCs w:val="24"/>
          <w:u w:val="single"/>
        </w:rPr>
        <w:t xml:space="preserve">    </w:t>
      </w:r>
      <w:r>
        <w:rPr>
          <w:rFonts w:hint="eastAsia" w:ascii="宋体" w:hAnsi="宋体"/>
          <w:color w:val="auto"/>
          <w:sz w:val="24"/>
          <w:szCs w:val="24"/>
        </w:rPr>
        <w:t>日</w:t>
      </w:r>
    </w:p>
    <w:p>
      <w:pPr>
        <w:autoSpaceDE w:val="0"/>
        <w:autoSpaceDN w:val="0"/>
        <w:rPr>
          <w:rFonts w:ascii="宋体" w:hAnsi="宋体"/>
          <w:color w:val="auto"/>
          <w:sz w:val="24"/>
          <w:szCs w:val="24"/>
        </w:rPr>
      </w:pPr>
    </w:p>
    <w:p>
      <w:pPr>
        <w:autoSpaceDE w:val="0"/>
        <w:autoSpaceDN w:val="0"/>
        <w:rPr>
          <w:rFonts w:ascii="宋体" w:hAnsi="宋体"/>
          <w:b/>
          <w:color w:val="auto"/>
          <w:sz w:val="24"/>
          <w:szCs w:val="24"/>
        </w:rPr>
      </w:pPr>
      <w:r>
        <w:rPr>
          <w:rFonts w:hint="eastAsia" w:ascii="宋体" w:hAnsi="宋体"/>
          <w:b/>
          <w:color w:val="auto"/>
          <w:sz w:val="24"/>
          <w:szCs w:val="24"/>
        </w:rPr>
        <w:t>质疑函制作说明：</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1.供应商提出质疑时，应提交质疑函和必要的证明材料。</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3.质疑供应商若对项目的某一采购包进行质疑，质疑函中应列明具体采购包号。</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4.质疑函的质疑事项应具体、明确，并有必要的事实依据和法律依据。</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5.质疑函的质疑请求应与质疑事项相关。</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6.质疑供应商为自然人的，质疑函应由本人签字；质疑供应商为法人或者其他组织的，质疑函应由法定代表人、主要负责人，或者其授权代表签字或者盖章，并加盖公章。</w:t>
      </w:r>
    </w:p>
    <w:p>
      <w:pPr>
        <w:pStyle w:val="5"/>
        <w:numPr>
          <w:ilvl w:val="0"/>
          <w:numId w:val="0"/>
        </w:numPr>
        <w:tabs>
          <w:tab w:val="left" w:pos="945"/>
        </w:tabs>
        <w:spacing w:before="0" w:after="0" w:line="360" w:lineRule="auto"/>
        <w:ind w:left="425" w:hanging="425"/>
        <w:rPr>
          <w:rFonts w:ascii="宋体" w:hAnsi="宋体"/>
          <w:color w:val="auto"/>
          <w:sz w:val="24"/>
          <w:szCs w:val="24"/>
        </w:rPr>
      </w:pPr>
      <w:r>
        <w:rPr>
          <w:rFonts w:ascii="宋体" w:hAnsi="宋体"/>
          <w:color w:val="auto"/>
          <w:sz w:val="24"/>
          <w:szCs w:val="24"/>
        </w:rPr>
        <w:br w:type="page"/>
      </w:r>
      <w:bookmarkStart w:id="230" w:name="_Toc54335427"/>
      <w:bookmarkStart w:id="231" w:name="_Toc11824"/>
      <w:bookmarkStart w:id="232" w:name="_Toc22806172"/>
      <w:r>
        <w:rPr>
          <w:rFonts w:hint="eastAsia" w:ascii="宋体" w:hAnsi="宋体"/>
          <w:color w:val="auto"/>
          <w:sz w:val="24"/>
          <w:szCs w:val="24"/>
        </w:rPr>
        <w:t>格式3：投诉书格式</w:t>
      </w:r>
      <w:bookmarkEnd w:id="230"/>
      <w:bookmarkEnd w:id="231"/>
      <w:bookmarkEnd w:id="232"/>
    </w:p>
    <w:p>
      <w:pPr>
        <w:autoSpaceDE w:val="0"/>
        <w:autoSpaceDN w:val="0"/>
        <w:spacing w:line="360" w:lineRule="auto"/>
        <w:jc w:val="center"/>
        <w:rPr>
          <w:rFonts w:ascii="宋体" w:hAnsi="宋体"/>
          <w:b/>
          <w:color w:val="auto"/>
          <w:sz w:val="24"/>
          <w:szCs w:val="24"/>
        </w:rPr>
      </w:pPr>
      <w:r>
        <w:rPr>
          <w:rFonts w:hint="eastAsia" w:ascii="宋体" w:hAnsi="宋体"/>
          <w:b/>
          <w:color w:val="auto"/>
          <w:sz w:val="24"/>
          <w:szCs w:val="24"/>
        </w:rPr>
        <w:t>投诉书</w:t>
      </w:r>
    </w:p>
    <w:p>
      <w:pPr>
        <w:autoSpaceDE w:val="0"/>
        <w:autoSpaceDN w:val="0"/>
        <w:rPr>
          <w:rFonts w:ascii="宋体" w:hAnsi="宋体"/>
          <w:b/>
          <w:color w:val="auto"/>
          <w:sz w:val="24"/>
          <w:szCs w:val="24"/>
        </w:rPr>
      </w:pPr>
      <w:r>
        <w:rPr>
          <w:rFonts w:hint="eastAsia" w:ascii="宋体" w:hAnsi="宋体"/>
          <w:b/>
          <w:color w:val="auto"/>
          <w:sz w:val="24"/>
          <w:szCs w:val="24"/>
        </w:rPr>
        <w:t>一、投诉相关主体基本情况</w:t>
      </w:r>
    </w:p>
    <w:p>
      <w:pPr>
        <w:autoSpaceDE w:val="0"/>
        <w:autoSpaceDN w:val="0"/>
        <w:rPr>
          <w:rFonts w:ascii="宋体" w:hAnsi="宋体"/>
          <w:color w:val="auto"/>
          <w:sz w:val="24"/>
          <w:szCs w:val="24"/>
        </w:rPr>
      </w:pPr>
      <w:r>
        <w:rPr>
          <w:rFonts w:hint="eastAsia" w:ascii="宋体" w:hAnsi="宋体"/>
          <w:color w:val="auto"/>
          <w:sz w:val="24"/>
          <w:szCs w:val="24"/>
        </w:rPr>
        <w:t>投诉人：</w:t>
      </w:r>
      <w:r>
        <w:rPr>
          <w:rFonts w:hint="eastAsia" w:ascii="宋体" w:hAnsi="宋体"/>
          <w:color w:val="auto"/>
          <w:sz w:val="24"/>
          <w:szCs w:val="24"/>
          <w:u w:val="single"/>
        </w:rPr>
        <w:t xml:space="preserve">                                                                   </w:t>
      </w:r>
    </w:p>
    <w:p>
      <w:pPr>
        <w:autoSpaceDE w:val="0"/>
        <w:autoSpaceDN w:val="0"/>
        <w:rPr>
          <w:rFonts w:ascii="宋体" w:hAnsi="宋体"/>
          <w:color w:val="auto"/>
          <w:sz w:val="24"/>
          <w:szCs w:val="24"/>
        </w:rPr>
      </w:pPr>
      <w:r>
        <w:rPr>
          <w:rFonts w:hint="eastAsia" w:ascii="宋体" w:hAnsi="宋体"/>
          <w:color w:val="auto"/>
          <w:sz w:val="24"/>
          <w:szCs w:val="24"/>
        </w:rPr>
        <w:t>地址：</w:t>
      </w:r>
      <w:r>
        <w:rPr>
          <w:rFonts w:hint="eastAsia" w:ascii="宋体" w:hAnsi="宋体"/>
          <w:color w:val="auto"/>
          <w:sz w:val="24"/>
          <w:szCs w:val="24"/>
          <w:u w:val="single"/>
        </w:rPr>
        <w:t xml:space="preserve">                                              </w:t>
      </w:r>
      <w:r>
        <w:rPr>
          <w:rFonts w:hint="eastAsia" w:ascii="宋体" w:hAnsi="宋体"/>
          <w:color w:val="auto"/>
          <w:sz w:val="24"/>
          <w:szCs w:val="24"/>
        </w:rPr>
        <w:t xml:space="preserve">  邮编：</w:t>
      </w:r>
      <w:r>
        <w:rPr>
          <w:rFonts w:hint="eastAsia" w:ascii="宋体" w:hAnsi="宋体"/>
          <w:color w:val="auto"/>
          <w:sz w:val="24"/>
          <w:szCs w:val="24"/>
          <w:u w:val="single"/>
        </w:rPr>
        <w:t xml:space="preserve">               </w:t>
      </w:r>
    </w:p>
    <w:p>
      <w:pPr>
        <w:autoSpaceDE w:val="0"/>
        <w:autoSpaceDN w:val="0"/>
        <w:rPr>
          <w:rFonts w:ascii="宋体" w:hAnsi="宋体"/>
          <w:color w:val="auto"/>
          <w:sz w:val="24"/>
          <w:szCs w:val="24"/>
          <w:u w:val="single"/>
        </w:rPr>
      </w:pPr>
      <w:r>
        <w:rPr>
          <w:rFonts w:hint="eastAsia" w:ascii="宋体" w:hAnsi="宋体"/>
          <w:color w:val="auto"/>
          <w:sz w:val="24"/>
          <w:szCs w:val="24"/>
        </w:rPr>
        <w:t>法定代表人/主要负责人：</w:t>
      </w:r>
      <w:r>
        <w:rPr>
          <w:rFonts w:hint="eastAsia" w:ascii="宋体" w:hAnsi="宋体"/>
          <w:color w:val="auto"/>
          <w:sz w:val="24"/>
          <w:szCs w:val="24"/>
          <w:u w:val="single"/>
        </w:rPr>
        <w:t xml:space="preserve">                             </w:t>
      </w:r>
      <w:r>
        <w:rPr>
          <w:rFonts w:hint="eastAsia" w:ascii="宋体" w:hAnsi="宋体"/>
          <w:color w:val="auto"/>
          <w:sz w:val="24"/>
          <w:szCs w:val="24"/>
        </w:rPr>
        <w:t xml:space="preserve">  联系电话：</w:t>
      </w:r>
      <w:r>
        <w:rPr>
          <w:rFonts w:hint="eastAsia" w:ascii="宋体" w:hAnsi="宋体"/>
          <w:color w:val="auto"/>
          <w:sz w:val="24"/>
          <w:szCs w:val="24"/>
          <w:u w:val="single"/>
        </w:rPr>
        <w:t xml:space="preserve">           </w:t>
      </w:r>
    </w:p>
    <w:p>
      <w:pPr>
        <w:autoSpaceDE w:val="0"/>
        <w:autoSpaceDN w:val="0"/>
        <w:rPr>
          <w:rFonts w:ascii="宋体" w:hAnsi="宋体"/>
          <w:color w:val="auto"/>
          <w:sz w:val="24"/>
          <w:szCs w:val="24"/>
          <w:u w:val="single"/>
        </w:rPr>
      </w:pPr>
      <w:r>
        <w:rPr>
          <w:rFonts w:hint="eastAsia" w:ascii="宋体" w:hAnsi="宋体"/>
          <w:color w:val="auto"/>
          <w:sz w:val="24"/>
          <w:szCs w:val="24"/>
        </w:rPr>
        <w:t>授权代表：</w:t>
      </w:r>
      <w:r>
        <w:rPr>
          <w:rFonts w:hint="eastAsia" w:ascii="宋体" w:hAnsi="宋体"/>
          <w:color w:val="auto"/>
          <w:sz w:val="24"/>
          <w:szCs w:val="24"/>
          <w:u w:val="single"/>
        </w:rPr>
        <w:t xml:space="preserve">                                          </w:t>
      </w:r>
      <w:r>
        <w:rPr>
          <w:rFonts w:hint="eastAsia" w:ascii="宋体" w:hAnsi="宋体"/>
          <w:color w:val="auto"/>
          <w:sz w:val="24"/>
          <w:szCs w:val="24"/>
        </w:rPr>
        <w:t xml:space="preserve">  联系电话：</w:t>
      </w:r>
      <w:r>
        <w:rPr>
          <w:rFonts w:hint="eastAsia" w:ascii="宋体" w:hAnsi="宋体"/>
          <w:color w:val="auto"/>
          <w:sz w:val="24"/>
          <w:szCs w:val="24"/>
          <w:u w:val="single"/>
        </w:rPr>
        <w:t xml:space="preserve">           </w:t>
      </w:r>
    </w:p>
    <w:p>
      <w:pPr>
        <w:autoSpaceDE w:val="0"/>
        <w:autoSpaceDN w:val="0"/>
        <w:rPr>
          <w:rFonts w:ascii="宋体" w:hAnsi="宋体"/>
          <w:color w:val="auto"/>
          <w:sz w:val="24"/>
          <w:szCs w:val="24"/>
        </w:rPr>
      </w:pPr>
      <w:r>
        <w:rPr>
          <w:rFonts w:hint="eastAsia" w:ascii="宋体" w:hAnsi="宋体"/>
          <w:color w:val="auto"/>
          <w:sz w:val="24"/>
          <w:szCs w:val="24"/>
        </w:rPr>
        <w:t>地址：</w:t>
      </w:r>
      <w:r>
        <w:rPr>
          <w:rFonts w:hint="eastAsia" w:ascii="宋体" w:hAnsi="宋体"/>
          <w:color w:val="auto"/>
          <w:sz w:val="24"/>
          <w:szCs w:val="24"/>
          <w:u w:val="single"/>
        </w:rPr>
        <w:t xml:space="preserve">                                              </w:t>
      </w:r>
      <w:r>
        <w:rPr>
          <w:rFonts w:hint="eastAsia" w:ascii="宋体" w:hAnsi="宋体"/>
          <w:color w:val="auto"/>
          <w:sz w:val="24"/>
          <w:szCs w:val="24"/>
        </w:rPr>
        <w:t xml:space="preserve">  邮编：</w:t>
      </w:r>
      <w:r>
        <w:rPr>
          <w:rFonts w:hint="eastAsia" w:ascii="宋体" w:hAnsi="宋体"/>
          <w:color w:val="auto"/>
          <w:sz w:val="24"/>
          <w:szCs w:val="24"/>
          <w:u w:val="single"/>
        </w:rPr>
        <w:t xml:space="preserve">               </w:t>
      </w:r>
    </w:p>
    <w:p>
      <w:pPr>
        <w:autoSpaceDE w:val="0"/>
        <w:autoSpaceDN w:val="0"/>
        <w:rPr>
          <w:rFonts w:ascii="宋体" w:hAnsi="宋体"/>
          <w:color w:val="auto"/>
          <w:sz w:val="24"/>
          <w:szCs w:val="24"/>
          <w:u w:val="single"/>
        </w:rPr>
      </w:pPr>
      <w:r>
        <w:rPr>
          <w:rFonts w:hint="eastAsia" w:ascii="宋体" w:hAnsi="宋体"/>
          <w:color w:val="auto"/>
          <w:sz w:val="24"/>
          <w:szCs w:val="24"/>
        </w:rPr>
        <w:t>被投诉人1：</w:t>
      </w:r>
      <w:r>
        <w:rPr>
          <w:rFonts w:hint="eastAsia" w:ascii="宋体" w:hAnsi="宋体"/>
          <w:color w:val="auto"/>
          <w:sz w:val="24"/>
          <w:szCs w:val="24"/>
          <w:u w:val="single"/>
        </w:rPr>
        <w:t xml:space="preserve">                                                                </w:t>
      </w:r>
    </w:p>
    <w:p>
      <w:pPr>
        <w:autoSpaceDE w:val="0"/>
        <w:autoSpaceDN w:val="0"/>
        <w:rPr>
          <w:rFonts w:ascii="宋体" w:hAnsi="宋体"/>
          <w:color w:val="auto"/>
          <w:sz w:val="24"/>
          <w:szCs w:val="24"/>
        </w:rPr>
      </w:pPr>
      <w:r>
        <w:rPr>
          <w:rFonts w:hint="eastAsia" w:ascii="宋体" w:hAnsi="宋体"/>
          <w:color w:val="auto"/>
          <w:sz w:val="24"/>
          <w:szCs w:val="24"/>
        </w:rPr>
        <w:t>地址：</w:t>
      </w:r>
      <w:r>
        <w:rPr>
          <w:rFonts w:hint="eastAsia" w:ascii="宋体" w:hAnsi="宋体"/>
          <w:color w:val="auto"/>
          <w:sz w:val="24"/>
          <w:szCs w:val="24"/>
          <w:u w:val="single"/>
        </w:rPr>
        <w:t xml:space="preserve">                                              </w:t>
      </w:r>
      <w:r>
        <w:rPr>
          <w:rFonts w:hint="eastAsia" w:ascii="宋体" w:hAnsi="宋体"/>
          <w:color w:val="auto"/>
          <w:sz w:val="24"/>
          <w:szCs w:val="24"/>
        </w:rPr>
        <w:t xml:space="preserve">  邮编：</w:t>
      </w:r>
      <w:r>
        <w:rPr>
          <w:rFonts w:hint="eastAsia" w:ascii="宋体" w:hAnsi="宋体"/>
          <w:color w:val="auto"/>
          <w:sz w:val="24"/>
          <w:szCs w:val="24"/>
          <w:u w:val="single"/>
        </w:rPr>
        <w:t xml:space="preserve">               </w:t>
      </w:r>
    </w:p>
    <w:p>
      <w:pPr>
        <w:autoSpaceDE w:val="0"/>
        <w:autoSpaceDN w:val="0"/>
        <w:rPr>
          <w:rFonts w:ascii="宋体" w:hAnsi="宋体"/>
          <w:color w:val="auto"/>
          <w:sz w:val="24"/>
          <w:szCs w:val="24"/>
        </w:rPr>
      </w:pPr>
      <w:r>
        <w:rPr>
          <w:rFonts w:hint="eastAsia" w:ascii="宋体" w:hAnsi="宋体"/>
          <w:color w:val="auto"/>
          <w:sz w:val="24"/>
          <w:szCs w:val="24"/>
        </w:rPr>
        <w:t>联系人：</w:t>
      </w:r>
      <w:r>
        <w:rPr>
          <w:rFonts w:hint="eastAsia" w:ascii="宋体" w:hAnsi="宋体"/>
          <w:color w:val="auto"/>
          <w:sz w:val="24"/>
          <w:szCs w:val="24"/>
          <w:u w:val="single"/>
        </w:rPr>
        <w:t xml:space="preserve">                                            </w:t>
      </w:r>
      <w:r>
        <w:rPr>
          <w:rFonts w:hint="eastAsia" w:ascii="宋体" w:hAnsi="宋体"/>
          <w:color w:val="auto"/>
          <w:sz w:val="24"/>
          <w:szCs w:val="24"/>
        </w:rPr>
        <w:t xml:space="preserve">  联系电话：</w:t>
      </w:r>
      <w:r>
        <w:rPr>
          <w:rFonts w:hint="eastAsia" w:ascii="宋体" w:hAnsi="宋体"/>
          <w:color w:val="auto"/>
          <w:sz w:val="24"/>
          <w:szCs w:val="24"/>
          <w:u w:val="single"/>
        </w:rPr>
        <w:t xml:space="preserve">           </w:t>
      </w:r>
    </w:p>
    <w:p>
      <w:pPr>
        <w:autoSpaceDE w:val="0"/>
        <w:autoSpaceDN w:val="0"/>
        <w:rPr>
          <w:rFonts w:ascii="宋体" w:hAnsi="宋体"/>
          <w:color w:val="auto"/>
          <w:sz w:val="24"/>
          <w:szCs w:val="24"/>
        </w:rPr>
      </w:pPr>
      <w:r>
        <w:rPr>
          <w:rFonts w:hint="eastAsia" w:ascii="宋体" w:hAnsi="宋体"/>
          <w:color w:val="auto"/>
          <w:sz w:val="24"/>
          <w:szCs w:val="24"/>
        </w:rPr>
        <w:t>被投诉人2：</w:t>
      </w:r>
      <w:r>
        <w:rPr>
          <w:rFonts w:hint="eastAsia" w:ascii="宋体" w:hAnsi="宋体"/>
          <w:color w:val="auto"/>
          <w:sz w:val="24"/>
          <w:szCs w:val="24"/>
          <w:u w:val="single"/>
        </w:rPr>
        <w:t xml:space="preserve">                                                                </w:t>
      </w:r>
    </w:p>
    <w:p>
      <w:pPr>
        <w:autoSpaceDE w:val="0"/>
        <w:autoSpaceDN w:val="0"/>
        <w:rPr>
          <w:rFonts w:ascii="宋体" w:hAnsi="宋体"/>
          <w:color w:val="auto"/>
          <w:sz w:val="24"/>
          <w:szCs w:val="24"/>
        </w:rPr>
      </w:pPr>
      <w:r>
        <w:rPr>
          <w:rFonts w:hint="eastAsia" w:ascii="宋体" w:hAnsi="宋体"/>
          <w:color w:val="auto"/>
          <w:sz w:val="24"/>
          <w:szCs w:val="24"/>
        </w:rPr>
        <w:t>……</w:t>
      </w:r>
    </w:p>
    <w:p>
      <w:pPr>
        <w:autoSpaceDE w:val="0"/>
        <w:autoSpaceDN w:val="0"/>
        <w:rPr>
          <w:rFonts w:ascii="宋体" w:hAnsi="宋体"/>
          <w:color w:val="auto"/>
          <w:sz w:val="24"/>
          <w:szCs w:val="24"/>
          <w:u w:val="single"/>
        </w:rPr>
      </w:pPr>
      <w:r>
        <w:rPr>
          <w:rFonts w:hint="eastAsia" w:ascii="宋体" w:hAnsi="宋体"/>
          <w:color w:val="auto"/>
          <w:sz w:val="24"/>
          <w:szCs w:val="24"/>
        </w:rPr>
        <w:t>相关供应商：</w:t>
      </w:r>
      <w:r>
        <w:rPr>
          <w:rFonts w:hint="eastAsia" w:ascii="宋体" w:hAnsi="宋体"/>
          <w:color w:val="auto"/>
          <w:sz w:val="24"/>
          <w:szCs w:val="24"/>
          <w:u w:val="single"/>
        </w:rPr>
        <w:t xml:space="preserve">                                                               </w:t>
      </w:r>
    </w:p>
    <w:p>
      <w:pPr>
        <w:autoSpaceDE w:val="0"/>
        <w:autoSpaceDN w:val="0"/>
        <w:rPr>
          <w:rFonts w:ascii="宋体" w:hAnsi="宋体"/>
          <w:color w:val="auto"/>
          <w:sz w:val="24"/>
          <w:szCs w:val="24"/>
        </w:rPr>
      </w:pPr>
      <w:r>
        <w:rPr>
          <w:rFonts w:hint="eastAsia" w:ascii="宋体" w:hAnsi="宋体"/>
          <w:color w:val="auto"/>
          <w:sz w:val="24"/>
          <w:szCs w:val="24"/>
        </w:rPr>
        <w:t>地址：</w:t>
      </w:r>
      <w:r>
        <w:rPr>
          <w:rFonts w:hint="eastAsia" w:ascii="宋体" w:hAnsi="宋体"/>
          <w:color w:val="auto"/>
          <w:sz w:val="24"/>
          <w:szCs w:val="24"/>
          <w:u w:val="single"/>
        </w:rPr>
        <w:t xml:space="preserve">                                              </w:t>
      </w:r>
      <w:r>
        <w:rPr>
          <w:rFonts w:hint="eastAsia" w:ascii="宋体" w:hAnsi="宋体"/>
          <w:color w:val="auto"/>
          <w:sz w:val="24"/>
          <w:szCs w:val="24"/>
        </w:rPr>
        <w:t xml:space="preserve">  邮编：</w:t>
      </w:r>
      <w:r>
        <w:rPr>
          <w:rFonts w:hint="eastAsia" w:ascii="宋体" w:hAnsi="宋体"/>
          <w:color w:val="auto"/>
          <w:sz w:val="24"/>
          <w:szCs w:val="24"/>
          <w:u w:val="single"/>
        </w:rPr>
        <w:t xml:space="preserve">               </w:t>
      </w:r>
    </w:p>
    <w:p>
      <w:pPr>
        <w:autoSpaceDE w:val="0"/>
        <w:autoSpaceDN w:val="0"/>
        <w:rPr>
          <w:rFonts w:ascii="宋体" w:hAnsi="宋体"/>
          <w:color w:val="auto"/>
          <w:sz w:val="24"/>
          <w:szCs w:val="24"/>
        </w:rPr>
      </w:pPr>
      <w:r>
        <w:rPr>
          <w:rFonts w:hint="eastAsia" w:ascii="宋体" w:hAnsi="宋体"/>
          <w:color w:val="auto"/>
          <w:sz w:val="24"/>
          <w:szCs w:val="24"/>
        </w:rPr>
        <w:t>联系人：</w:t>
      </w:r>
      <w:r>
        <w:rPr>
          <w:rFonts w:hint="eastAsia" w:ascii="宋体" w:hAnsi="宋体"/>
          <w:color w:val="auto"/>
          <w:sz w:val="24"/>
          <w:szCs w:val="24"/>
          <w:u w:val="single"/>
        </w:rPr>
        <w:t xml:space="preserve">                                            </w:t>
      </w:r>
      <w:r>
        <w:rPr>
          <w:rFonts w:hint="eastAsia" w:ascii="宋体" w:hAnsi="宋体"/>
          <w:color w:val="auto"/>
          <w:sz w:val="24"/>
          <w:szCs w:val="24"/>
        </w:rPr>
        <w:t xml:space="preserve">  联系电话：</w:t>
      </w:r>
      <w:r>
        <w:rPr>
          <w:rFonts w:hint="eastAsia" w:ascii="宋体" w:hAnsi="宋体"/>
          <w:color w:val="auto"/>
          <w:sz w:val="24"/>
          <w:szCs w:val="24"/>
          <w:u w:val="single"/>
        </w:rPr>
        <w:t xml:space="preserve">           </w:t>
      </w:r>
    </w:p>
    <w:p>
      <w:pPr>
        <w:autoSpaceDE w:val="0"/>
        <w:autoSpaceDN w:val="0"/>
        <w:rPr>
          <w:rFonts w:ascii="宋体" w:hAnsi="宋体"/>
          <w:b/>
          <w:color w:val="auto"/>
          <w:sz w:val="24"/>
          <w:szCs w:val="24"/>
        </w:rPr>
      </w:pPr>
      <w:r>
        <w:rPr>
          <w:rFonts w:hint="eastAsia" w:ascii="宋体" w:hAnsi="宋体"/>
          <w:b/>
          <w:color w:val="auto"/>
          <w:sz w:val="24"/>
          <w:szCs w:val="24"/>
        </w:rPr>
        <w:t>二、投诉项目基本情况</w:t>
      </w:r>
    </w:p>
    <w:p>
      <w:pPr>
        <w:autoSpaceDE w:val="0"/>
        <w:autoSpaceDN w:val="0"/>
        <w:rPr>
          <w:rFonts w:ascii="宋体" w:hAnsi="宋体"/>
          <w:color w:val="auto"/>
          <w:sz w:val="24"/>
          <w:szCs w:val="24"/>
          <w:u w:val="single"/>
        </w:rPr>
      </w:pPr>
      <w:r>
        <w:rPr>
          <w:rFonts w:hint="eastAsia" w:ascii="宋体" w:hAnsi="宋体"/>
          <w:color w:val="auto"/>
          <w:sz w:val="24"/>
          <w:szCs w:val="24"/>
        </w:rPr>
        <w:t>采购项目名称：</w:t>
      </w:r>
      <w:r>
        <w:rPr>
          <w:rFonts w:hint="eastAsia" w:ascii="宋体" w:hAnsi="宋体"/>
          <w:color w:val="auto"/>
          <w:sz w:val="24"/>
          <w:szCs w:val="24"/>
          <w:u w:val="single"/>
        </w:rPr>
        <w:t xml:space="preserve">                                                             </w:t>
      </w:r>
    </w:p>
    <w:p>
      <w:pPr>
        <w:autoSpaceDE w:val="0"/>
        <w:autoSpaceDN w:val="0"/>
        <w:rPr>
          <w:rFonts w:ascii="宋体" w:hAnsi="宋体"/>
          <w:color w:val="auto"/>
          <w:sz w:val="24"/>
          <w:szCs w:val="24"/>
          <w:u w:val="single"/>
        </w:rPr>
      </w:pPr>
      <w:r>
        <w:rPr>
          <w:rFonts w:hint="eastAsia" w:ascii="宋体" w:hAnsi="宋体"/>
          <w:color w:val="auto"/>
          <w:sz w:val="24"/>
          <w:szCs w:val="24"/>
        </w:rPr>
        <w:t>采购文件编号：</w:t>
      </w:r>
      <w:r>
        <w:rPr>
          <w:rFonts w:hint="eastAsia" w:ascii="宋体" w:hAnsi="宋体"/>
          <w:color w:val="auto"/>
          <w:sz w:val="24"/>
          <w:szCs w:val="24"/>
          <w:u w:val="single"/>
        </w:rPr>
        <w:t xml:space="preserve">                                      </w:t>
      </w:r>
      <w:r>
        <w:rPr>
          <w:rFonts w:hint="eastAsia" w:ascii="宋体" w:hAnsi="宋体"/>
          <w:color w:val="auto"/>
          <w:sz w:val="24"/>
          <w:szCs w:val="24"/>
        </w:rPr>
        <w:t xml:space="preserve">  采购包号：</w:t>
      </w:r>
      <w:r>
        <w:rPr>
          <w:rFonts w:hint="eastAsia" w:ascii="宋体" w:hAnsi="宋体"/>
          <w:color w:val="auto"/>
          <w:sz w:val="24"/>
          <w:szCs w:val="24"/>
          <w:u w:val="single"/>
        </w:rPr>
        <w:t xml:space="preserve">             </w:t>
      </w:r>
    </w:p>
    <w:p>
      <w:pPr>
        <w:autoSpaceDE w:val="0"/>
        <w:autoSpaceDN w:val="0"/>
        <w:rPr>
          <w:rFonts w:ascii="宋体" w:hAnsi="宋体"/>
          <w:color w:val="auto"/>
          <w:sz w:val="24"/>
          <w:szCs w:val="24"/>
          <w:u w:val="single"/>
        </w:rPr>
      </w:pPr>
      <w:r>
        <w:rPr>
          <w:rFonts w:hint="eastAsia" w:ascii="宋体" w:hAnsi="宋体"/>
          <w:color w:val="auto"/>
          <w:sz w:val="24"/>
          <w:szCs w:val="24"/>
        </w:rPr>
        <w:t>采购人名称：</w:t>
      </w:r>
      <w:r>
        <w:rPr>
          <w:rFonts w:hint="eastAsia" w:ascii="宋体" w:hAnsi="宋体"/>
          <w:color w:val="auto"/>
          <w:sz w:val="24"/>
          <w:szCs w:val="24"/>
          <w:u w:val="single"/>
        </w:rPr>
        <w:t xml:space="preserve">                                                               </w:t>
      </w:r>
    </w:p>
    <w:p>
      <w:pPr>
        <w:autoSpaceDE w:val="0"/>
        <w:autoSpaceDN w:val="0"/>
        <w:rPr>
          <w:rFonts w:ascii="宋体" w:hAnsi="宋体"/>
          <w:color w:val="auto"/>
          <w:sz w:val="24"/>
          <w:szCs w:val="24"/>
          <w:u w:val="single"/>
        </w:rPr>
      </w:pPr>
      <w:r>
        <w:rPr>
          <w:rFonts w:hint="eastAsia" w:ascii="宋体" w:hAnsi="宋体"/>
          <w:color w:val="auto"/>
          <w:sz w:val="24"/>
          <w:szCs w:val="24"/>
        </w:rPr>
        <w:t>采购代理机构名称：</w:t>
      </w:r>
      <w:r>
        <w:rPr>
          <w:rFonts w:hint="eastAsia" w:ascii="宋体" w:hAnsi="宋体"/>
          <w:color w:val="auto"/>
          <w:sz w:val="24"/>
          <w:szCs w:val="24"/>
          <w:u w:val="single"/>
        </w:rPr>
        <w:t xml:space="preserve">                                                         </w:t>
      </w:r>
    </w:p>
    <w:p>
      <w:pPr>
        <w:autoSpaceDE w:val="0"/>
        <w:autoSpaceDN w:val="0"/>
        <w:rPr>
          <w:rFonts w:ascii="宋体" w:hAnsi="宋体"/>
          <w:color w:val="auto"/>
          <w:sz w:val="24"/>
          <w:szCs w:val="24"/>
          <w:u w:val="single"/>
        </w:rPr>
      </w:pPr>
      <w:r>
        <w:rPr>
          <w:rFonts w:hint="eastAsia" w:ascii="宋体" w:hAnsi="宋体"/>
          <w:color w:val="auto"/>
          <w:sz w:val="24"/>
          <w:szCs w:val="24"/>
        </w:rPr>
        <w:t>采购文件公告：是/否  公告期限：</w:t>
      </w:r>
      <w:r>
        <w:rPr>
          <w:rFonts w:hint="eastAsia" w:ascii="宋体" w:hAnsi="宋体"/>
          <w:color w:val="auto"/>
          <w:sz w:val="24"/>
          <w:szCs w:val="24"/>
          <w:u w:val="single"/>
        </w:rPr>
        <w:t xml:space="preserve">                                            </w:t>
      </w:r>
    </w:p>
    <w:p>
      <w:pPr>
        <w:autoSpaceDE w:val="0"/>
        <w:autoSpaceDN w:val="0"/>
        <w:rPr>
          <w:rFonts w:ascii="宋体" w:hAnsi="宋体"/>
          <w:color w:val="auto"/>
          <w:sz w:val="24"/>
          <w:szCs w:val="24"/>
          <w:u w:val="single"/>
        </w:rPr>
      </w:pPr>
      <w:r>
        <w:rPr>
          <w:rFonts w:hint="eastAsia" w:ascii="宋体" w:hAnsi="宋体"/>
          <w:color w:val="auto"/>
          <w:sz w:val="24"/>
          <w:szCs w:val="24"/>
        </w:rPr>
        <w:t>采购结果公告：是/否  公告期限：</w:t>
      </w:r>
      <w:r>
        <w:rPr>
          <w:rFonts w:hint="eastAsia" w:ascii="宋体" w:hAnsi="宋体"/>
          <w:color w:val="auto"/>
          <w:sz w:val="24"/>
          <w:szCs w:val="24"/>
          <w:u w:val="single"/>
        </w:rPr>
        <w:t xml:space="preserve">                                            </w:t>
      </w:r>
    </w:p>
    <w:p>
      <w:pPr>
        <w:autoSpaceDE w:val="0"/>
        <w:autoSpaceDN w:val="0"/>
        <w:rPr>
          <w:rFonts w:ascii="宋体" w:hAnsi="宋体"/>
          <w:b/>
          <w:color w:val="auto"/>
          <w:sz w:val="24"/>
          <w:szCs w:val="24"/>
        </w:rPr>
      </w:pPr>
      <w:r>
        <w:rPr>
          <w:rFonts w:hint="eastAsia" w:ascii="宋体" w:hAnsi="宋体"/>
          <w:b/>
          <w:color w:val="auto"/>
          <w:sz w:val="24"/>
          <w:szCs w:val="24"/>
        </w:rPr>
        <w:t>三、质疑基本情况</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投诉人于</w:t>
      </w:r>
      <w:r>
        <w:rPr>
          <w:rFonts w:hint="eastAsia" w:ascii="宋体" w:hAnsi="宋体"/>
          <w:color w:val="auto"/>
          <w:sz w:val="24"/>
          <w:szCs w:val="24"/>
          <w:u w:val="single"/>
        </w:rPr>
        <w:t xml:space="preserve">    </w:t>
      </w:r>
      <w:r>
        <w:rPr>
          <w:rFonts w:hint="eastAsia" w:ascii="宋体" w:hAnsi="宋体"/>
          <w:color w:val="auto"/>
          <w:sz w:val="24"/>
          <w:szCs w:val="24"/>
        </w:rPr>
        <w:t>年</w:t>
      </w:r>
      <w:r>
        <w:rPr>
          <w:rFonts w:hint="eastAsia" w:ascii="宋体" w:hAnsi="宋体"/>
          <w:color w:val="auto"/>
          <w:sz w:val="24"/>
          <w:szCs w:val="24"/>
          <w:u w:val="single"/>
        </w:rPr>
        <w:t xml:space="preserve">  </w:t>
      </w:r>
      <w:r>
        <w:rPr>
          <w:rFonts w:hint="eastAsia" w:ascii="宋体" w:hAnsi="宋体"/>
          <w:color w:val="auto"/>
          <w:sz w:val="24"/>
          <w:szCs w:val="24"/>
        </w:rPr>
        <w:t>月</w:t>
      </w:r>
      <w:r>
        <w:rPr>
          <w:rFonts w:hint="eastAsia" w:ascii="宋体" w:hAnsi="宋体"/>
          <w:color w:val="auto"/>
          <w:sz w:val="24"/>
          <w:szCs w:val="24"/>
          <w:u w:val="single"/>
        </w:rPr>
        <w:t xml:space="preserve">  </w:t>
      </w:r>
      <w:r>
        <w:rPr>
          <w:rFonts w:hint="eastAsia" w:ascii="宋体" w:hAnsi="宋体"/>
          <w:color w:val="auto"/>
          <w:sz w:val="24"/>
          <w:szCs w:val="24"/>
        </w:rPr>
        <w:t>日，向</w:t>
      </w:r>
      <w:r>
        <w:rPr>
          <w:rFonts w:hint="eastAsia" w:ascii="宋体" w:hAnsi="宋体"/>
          <w:color w:val="auto"/>
          <w:sz w:val="24"/>
          <w:szCs w:val="24"/>
          <w:u w:val="single"/>
        </w:rPr>
        <w:t xml:space="preserve">              </w:t>
      </w:r>
      <w:r>
        <w:rPr>
          <w:rFonts w:hint="eastAsia" w:ascii="宋体" w:hAnsi="宋体"/>
          <w:color w:val="auto"/>
          <w:sz w:val="24"/>
          <w:szCs w:val="24"/>
        </w:rPr>
        <w:t>提出质疑，质疑事项为：</w:t>
      </w:r>
      <w:r>
        <w:rPr>
          <w:rFonts w:hint="eastAsia" w:ascii="宋体" w:hAnsi="宋体"/>
          <w:color w:val="auto"/>
          <w:sz w:val="24"/>
          <w:szCs w:val="24"/>
          <w:u w:val="single"/>
        </w:rPr>
        <w:t xml:space="preserve">         </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采购人/代理机构于</w:t>
      </w:r>
      <w:r>
        <w:rPr>
          <w:rFonts w:hint="eastAsia" w:ascii="宋体" w:hAnsi="宋体"/>
          <w:color w:val="auto"/>
          <w:sz w:val="24"/>
          <w:szCs w:val="24"/>
          <w:u w:val="single"/>
        </w:rPr>
        <w:t xml:space="preserve">    </w:t>
      </w:r>
      <w:r>
        <w:rPr>
          <w:rFonts w:hint="eastAsia" w:ascii="宋体" w:hAnsi="宋体"/>
          <w:color w:val="auto"/>
          <w:sz w:val="24"/>
          <w:szCs w:val="24"/>
        </w:rPr>
        <w:t>年</w:t>
      </w:r>
      <w:r>
        <w:rPr>
          <w:rFonts w:hint="eastAsia" w:ascii="宋体" w:hAnsi="宋体"/>
          <w:color w:val="auto"/>
          <w:sz w:val="24"/>
          <w:szCs w:val="24"/>
          <w:u w:val="single"/>
        </w:rPr>
        <w:t xml:space="preserve">  </w:t>
      </w:r>
      <w:r>
        <w:rPr>
          <w:rFonts w:hint="eastAsia" w:ascii="宋体" w:hAnsi="宋体"/>
          <w:color w:val="auto"/>
          <w:sz w:val="24"/>
          <w:szCs w:val="24"/>
        </w:rPr>
        <w:t>月</w:t>
      </w:r>
      <w:r>
        <w:rPr>
          <w:rFonts w:hint="eastAsia" w:ascii="宋体" w:hAnsi="宋体"/>
          <w:color w:val="auto"/>
          <w:sz w:val="24"/>
          <w:szCs w:val="24"/>
          <w:u w:val="single"/>
        </w:rPr>
        <w:t xml:space="preserve">  </w:t>
      </w:r>
      <w:r>
        <w:rPr>
          <w:rFonts w:hint="eastAsia" w:ascii="宋体" w:hAnsi="宋体"/>
          <w:color w:val="auto"/>
          <w:sz w:val="24"/>
          <w:szCs w:val="24"/>
        </w:rPr>
        <w:t>日，就质疑事项作出了答复/没有在法定期限内作出答复。</w:t>
      </w:r>
    </w:p>
    <w:p>
      <w:pPr>
        <w:autoSpaceDE w:val="0"/>
        <w:autoSpaceDN w:val="0"/>
        <w:rPr>
          <w:rFonts w:ascii="宋体" w:hAnsi="宋体"/>
          <w:b/>
          <w:color w:val="auto"/>
          <w:sz w:val="24"/>
          <w:szCs w:val="24"/>
        </w:rPr>
      </w:pPr>
      <w:r>
        <w:rPr>
          <w:rFonts w:hint="eastAsia" w:ascii="宋体" w:hAnsi="宋体"/>
          <w:b/>
          <w:color w:val="auto"/>
          <w:sz w:val="24"/>
          <w:szCs w:val="24"/>
        </w:rPr>
        <w:t>四、投诉事项具体内容</w:t>
      </w:r>
    </w:p>
    <w:p>
      <w:pPr>
        <w:autoSpaceDE w:val="0"/>
        <w:autoSpaceDN w:val="0"/>
        <w:rPr>
          <w:rFonts w:ascii="宋体" w:hAnsi="宋体"/>
          <w:color w:val="auto"/>
          <w:sz w:val="24"/>
          <w:szCs w:val="24"/>
          <w:u w:val="single"/>
        </w:rPr>
      </w:pPr>
      <w:r>
        <w:rPr>
          <w:rFonts w:hint="eastAsia" w:ascii="宋体" w:hAnsi="宋体"/>
          <w:color w:val="auto"/>
          <w:sz w:val="24"/>
          <w:szCs w:val="24"/>
        </w:rPr>
        <w:t>投诉事项1：</w:t>
      </w:r>
      <w:r>
        <w:rPr>
          <w:rFonts w:hint="eastAsia" w:ascii="宋体" w:hAnsi="宋体"/>
          <w:color w:val="auto"/>
          <w:sz w:val="24"/>
          <w:szCs w:val="24"/>
          <w:u w:val="single"/>
        </w:rPr>
        <w:t xml:space="preserve">                                                                </w:t>
      </w:r>
    </w:p>
    <w:p>
      <w:pPr>
        <w:autoSpaceDE w:val="0"/>
        <w:autoSpaceDN w:val="0"/>
        <w:rPr>
          <w:rFonts w:ascii="宋体" w:hAnsi="宋体"/>
          <w:color w:val="auto"/>
          <w:sz w:val="24"/>
          <w:szCs w:val="24"/>
          <w:u w:val="single"/>
        </w:rPr>
      </w:pPr>
      <w:r>
        <w:rPr>
          <w:rFonts w:hint="eastAsia" w:ascii="宋体" w:hAnsi="宋体"/>
          <w:color w:val="auto"/>
          <w:sz w:val="24"/>
          <w:szCs w:val="24"/>
        </w:rPr>
        <w:t>事实依据：</w:t>
      </w:r>
      <w:r>
        <w:rPr>
          <w:rFonts w:hint="eastAsia" w:ascii="宋体" w:hAnsi="宋体"/>
          <w:color w:val="auto"/>
          <w:sz w:val="24"/>
          <w:szCs w:val="24"/>
          <w:u w:val="single"/>
        </w:rPr>
        <w:t xml:space="preserve">                                                                 </w:t>
      </w:r>
    </w:p>
    <w:p>
      <w:pPr>
        <w:autoSpaceDE w:val="0"/>
        <w:autoSpaceDN w:val="0"/>
        <w:rPr>
          <w:rFonts w:ascii="宋体" w:hAnsi="宋体"/>
          <w:color w:val="auto"/>
          <w:sz w:val="24"/>
          <w:szCs w:val="24"/>
          <w:u w:val="single"/>
        </w:rPr>
      </w:pPr>
      <w:r>
        <w:rPr>
          <w:rFonts w:hint="eastAsia" w:ascii="宋体" w:hAnsi="宋体"/>
          <w:color w:val="auto"/>
          <w:sz w:val="24"/>
          <w:szCs w:val="24"/>
        </w:rPr>
        <w:t>法律依据：</w:t>
      </w:r>
      <w:r>
        <w:rPr>
          <w:rFonts w:hint="eastAsia" w:ascii="宋体" w:hAnsi="宋体"/>
          <w:color w:val="auto"/>
          <w:sz w:val="24"/>
          <w:szCs w:val="24"/>
          <w:u w:val="single"/>
        </w:rPr>
        <w:t xml:space="preserve">                                                                 </w:t>
      </w:r>
    </w:p>
    <w:p>
      <w:pPr>
        <w:autoSpaceDE w:val="0"/>
        <w:autoSpaceDN w:val="0"/>
        <w:rPr>
          <w:rFonts w:ascii="宋体" w:hAnsi="宋体"/>
          <w:color w:val="auto"/>
          <w:sz w:val="24"/>
          <w:szCs w:val="24"/>
        </w:rPr>
      </w:pPr>
      <w:r>
        <w:rPr>
          <w:rFonts w:hint="eastAsia" w:ascii="宋体" w:hAnsi="宋体"/>
          <w:color w:val="auto"/>
          <w:sz w:val="24"/>
          <w:szCs w:val="24"/>
        </w:rPr>
        <w:t>投诉事项2：</w:t>
      </w:r>
      <w:r>
        <w:rPr>
          <w:rFonts w:hint="eastAsia" w:ascii="宋体" w:hAnsi="宋体"/>
          <w:color w:val="auto"/>
          <w:sz w:val="24"/>
          <w:szCs w:val="24"/>
          <w:u w:val="single"/>
        </w:rPr>
        <w:t xml:space="preserve">                                                                </w:t>
      </w:r>
    </w:p>
    <w:p>
      <w:pPr>
        <w:autoSpaceDE w:val="0"/>
        <w:autoSpaceDN w:val="0"/>
        <w:rPr>
          <w:rFonts w:ascii="宋体" w:hAnsi="宋体"/>
          <w:color w:val="auto"/>
          <w:sz w:val="24"/>
          <w:szCs w:val="24"/>
        </w:rPr>
      </w:pPr>
      <w:r>
        <w:rPr>
          <w:rFonts w:hint="eastAsia" w:ascii="宋体" w:hAnsi="宋体"/>
          <w:color w:val="auto"/>
          <w:sz w:val="24"/>
          <w:szCs w:val="24"/>
        </w:rPr>
        <w:t>……</w:t>
      </w:r>
    </w:p>
    <w:p>
      <w:pPr>
        <w:autoSpaceDE w:val="0"/>
        <w:autoSpaceDN w:val="0"/>
        <w:rPr>
          <w:rFonts w:ascii="宋体" w:hAnsi="宋体"/>
          <w:b/>
          <w:color w:val="auto"/>
          <w:sz w:val="24"/>
          <w:szCs w:val="24"/>
        </w:rPr>
      </w:pPr>
      <w:r>
        <w:rPr>
          <w:rFonts w:hint="eastAsia" w:ascii="宋体" w:hAnsi="宋体"/>
          <w:b/>
          <w:color w:val="auto"/>
          <w:sz w:val="24"/>
          <w:szCs w:val="24"/>
        </w:rPr>
        <w:t>五、与投诉事项相关的投诉请求</w:t>
      </w:r>
    </w:p>
    <w:p>
      <w:pPr>
        <w:autoSpaceDE w:val="0"/>
        <w:autoSpaceDN w:val="0"/>
        <w:rPr>
          <w:rFonts w:ascii="宋体" w:hAnsi="宋体"/>
          <w:color w:val="auto"/>
          <w:sz w:val="24"/>
          <w:szCs w:val="24"/>
          <w:u w:val="single"/>
        </w:rPr>
      </w:pPr>
      <w:r>
        <w:rPr>
          <w:rFonts w:hint="eastAsia" w:ascii="宋体" w:hAnsi="宋体"/>
          <w:color w:val="auto"/>
          <w:sz w:val="24"/>
          <w:szCs w:val="24"/>
        </w:rPr>
        <w:t>请求：</w:t>
      </w:r>
      <w:r>
        <w:rPr>
          <w:rFonts w:hint="eastAsia" w:ascii="宋体" w:hAnsi="宋体"/>
          <w:color w:val="auto"/>
          <w:sz w:val="24"/>
          <w:szCs w:val="24"/>
          <w:u w:val="single"/>
        </w:rPr>
        <w:t xml:space="preserve">                                                                     </w:t>
      </w:r>
    </w:p>
    <w:p>
      <w:pPr>
        <w:autoSpaceDE w:val="0"/>
        <w:autoSpaceDN w:val="0"/>
        <w:rPr>
          <w:rFonts w:ascii="宋体" w:hAnsi="宋体"/>
          <w:color w:val="auto"/>
          <w:sz w:val="24"/>
          <w:szCs w:val="24"/>
        </w:rPr>
      </w:pPr>
      <w:r>
        <w:rPr>
          <w:rFonts w:hint="eastAsia" w:ascii="宋体" w:hAnsi="宋体"/>
          <w:color w:val="auto"/>
          <w:sz w:val="24"/>
          <w:szCs w:val="24"/>
        </w:rPr>
        <w:t>代表（签字或盖章）：</w:t>
      </w:r>
      <w:r>
        <w:rPr>
          <w:rFonts w:hint="eastAsia" w:ascii="宋体" w:hAnsi="宋体"/>
          <w:color w:val="auto"/>
          <w:sz w:val="24"/>
          <w:szCs w:val="24"/>
          <w:u w:val="single"/>
        </w:rPr>
        <w:t xml:space="preserve">                   </w:t>
      </w:r>
      <w:r>
        <w:rPr>
          <w:rFonts w:hint="eastAsia" w:ascii="宋体" w:hAnsi="宋体"/>
          <w:color w:val="auto"/>
          <w:sz w:val="24"/>
          <w:szCs w:val="24"/>
        </w:rPr>
        <w:t xml:space="preserve">  （机构供应商）公章：</w:t>
      </w:r>
      <w:r>
        <w:rPr>
          <w:rFonts w:hint="eastAsia" w:ascii="宋体" w:hAnsi="宋体"/>
          <w:color w:val="auto"/>
          <w:sz w:val="24"/>
          <w:szCs w:val="24"/>
          <w:u w:val="single"/>
        </w:rPr>
        <w:t xml:space="preserve">               </w:t>
      </w:r>
    </w:p>
    <w:p>
      <w:pPr>
        <w:autoSpaceDE w:val="0"/>
        <w:autoSpaceDN w:val="0"/>
        <w:rPr>
          <w:rFonts w:ascii="宋体" w:hAnsi="宋体"/>
          <w:color w:val="auto"/>
          <w:sz w:val="24"/>
          <w:szCs w:val="24"/>
        </w:rPr>
      </w:pPr>
      <w:r>
        <w:rPr>
          <w:rFonts w:hint="eastAsia" w:ascii="宋体" w:hAnsi="宋体"/>
          <w:color w:val="auto"/>
          <w:sz w:val="24"/>
          <w:szCs w:val="24"/>
        </w:rPr>
        <w:t>投诉日期：</w:t>
      </w:r>
      <w:r>
        <w:rPr>
          <w:rFonts w:hint="eastAsia" w:ascii="宋体" w:hAnsi="宋体"/>
          <w:color w:val="auto"/>
          <w:sz w:val="24"/>
          <w:szCs w:val="24"/>
          <w:u w:val="single"/>
        </w:rPr>
        <w:t xml:space="preserve">        </w:t>
      </w:r>
      <w:r>
        <w:rPr>
          <w:rFonts w:hint="eastAsia" w:ascii="宋体" w:hAnsi="宋体"/>
          <w:color w:val="auto"/>
          <w:sz w:val="24"/>
          <w:szCs w:val="24"/>
        </w:rPr>
        <w:t>年</w:t>
      </w:r>
      <w:r>
        <w:rPr>
          <w:rFonts w:hint="eastAsia" w:ascii="宋体" w:hAnsi="宋体"/>
          <w:color w:val="auto"/>
          <w:sz w:val="24"/>
          <w:szCs w:val="24"/>
          <w:u w:val="single"/>
        </w:rPr>
        <w:t xml:space="preserve">    </w:t>
      </w:r>
      <w:r>
        <w:rPr>
          <w:rFonts w:hint="eastAsia" w:ascii="宋体" w:hAnsi="宋体"/>
          <w:color w:val="auto"/>
          <w:sz w:val="24"/>
          <w:szCs w:val="24"/>
        </w:rPr>
        <w:t>月</w:t>
      </w:r>
      <w:r>
        <w:rPr>
          <w:rFonts w:hint="eastAsia" w:ascii="宋体" w:hAnsi="宋体"/>
          <w:color w:val="auto"/>
          <w:sz w:val="24"/>
          <w:szCs w:val="24"/>
          <w:u w:val="single"/>
        </w:rPr>
        <w:t xml:space="preserve">    </w:t>
      </w:r>
      <w:r>
        <w:rPr>
          <w:rFonts w:hint="eastAsia" w:ascii="宋体" w:hAnsi="宋体"/>
          <w:color w:val="auto"/>
          <w:sz w:val="24"/>
          <w:szCs w:val="24"/>
        </w:rPr>
        <w:t>日</w:t>
      </w:r>
    </w:p>
    <w:p>
      <w:pPr>
        <w:autoSpaceDE w:val="0"/>
        <w:autoSpaceDN w:val="0"/>
        <w:rPr>
          <w:rFonts w:ascii="宋体" w:hAnsi="宋体"/>
          <w:b/>
          <w:color w:val="auto"/>
          <w:sz w:val="24"/>
          <w:szCs w:val="24"/>
        </w:rPr>
      </w:pPr>
      <w:r>
        <w:rPr>
          <w:rFonts w:hint="eastAsia" w:ascii="宋体" w:hAnsi="宋体"/>
          <w:b/>
          <w:color w:val="auto"/>
          <w:sz w:val="24"/>
          <w:szCs w:val="24"/>
        </w:rPr>
        <w:t>投诉书制作说明：</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1.投诉人提起投诉时，应当提交投诉书和必要的证明材料，并按照被投诉人和与投诉事项有关的供应商数量提供投诉书副本。</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2.投诉人若委托代理人进行投诉的，投诉书应按照要求列明“授权代表”的有关内容，并在附件中提交由投诉人签署的授权委托书。授权委托书应当载明代理人的姓名或者名称、代理事项、具体权限、期限和相关事项。</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3.投诉人若对项目的某一分包进行投诉，投诉书应列明具体分包号。</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4.投诉书应简要列明质疑事项，质疑函、质疑答复等作为附件材料提供。</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5.投诉书的投诉事项应具体、明确，并有必要的事实依据和法律依据。</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6.投诉书的投诉请求应与投诉事项相关。</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7.投诉人为自然人的，投诉书应当由本人签字；投诉人为法人或者其他组织的，投诉书应当由法定代表人、主要负责人，或者其授权代表签字或者盖章，并加盖公章。</w:t>
      </w:r>
    </w:p>
    <w:p>
      <w:pPr>
        <w:autoSpaceDE w:val="0"/>
        <w:autoSpaceDN w:val="0"/>
        <w:spacing w:line="360" w:lineRule="auto"/>
        <w:ind w:firstLine="480" w:firstLineChars="200"/>
        <w:rPr>
          <w:rFonts w:ascii="宋体" w:hAnsi="宋体"/>
          <w:color w:val="auto"/>
          <w:sz w:val="24"/>
          <w:szCs w:val="24"/>
        </w:rPr>
      </w:pPr>
      <w:r>
        <w:rPr>
          <w:rFonts w:ascii="宋体" w:hAnsi="宋体"/>
          <w:color w:val="auto"/>
          <w:sz w:val="24"/>
          <w:szCs w:val="24"/>
        </w:rPr>
        <w:br w:type="page"/>
      </w: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pStyle w:val="3"/>
        <w:numPr>
          <w:ilvl w:val="0"/>
          <w:numId w:val="3"/>
        </w:numPr>
        <w:spacing w:before="0" w:after="0" w:line="360" w:lineRule="auto"/>
        <w:ind w:left="0" w:firstLine="0"/>
        <w:jc w:val="center"/>
        <w:rPr>
          <w:rFonts w:ascii="宋体" w:hAnsi="宋体"/>
          <w:color w:val="auto"/>
          <w:kern w:val="0"/>
          <w:sz w:val="36"/>
          <w:szCs w:val="36"/>
        </w:rPr>
      </w:pPr>
      <w:r>
        <w:rPr>
          <w:rFonts w:hint="eastAsia" w:ascii="宋体" w:hAnsi="宋体"/>
          <w:color w:val="auto"/>
          <w:kern w:val="0"/>
          <w:sz w:val="36"/>
          <w:szCs w:val="36"/>
        </w:rPr>
        <w:t xml:space="preserve">  </w:t>
      </w:r>
      <w:bookmarkStart w:id="233" w:name="_Toc28919"/>
      <w:r>
        <w:rPr>
          <w:rFonts w:hint="eastAsia" w:ascii="宋体" w:hAnsi="宋体"/>
          <w:color w:val="auto"/>
          <w:kern w:val="0"/>
          <w:sz w:val="36"/>
          <w:szCs w:val="36"/>
        </w:rPr>
        <w:t>评标办法</w:t>
      </w:r>
      <w:bookmarkEnd w:id="233"/>
    </w:p>
    <w:p>
      <w:pPr>
        <w:pStyle w:val="4"/>
        <w:jc w:val="center"/>
        <w:rPr>
          <w:color w:val="auto"/>
        </w:rPr>
      </w:pPr>
      <w:r>
        <w:rPr>
          <w:color w:val="auto"/>
          <w:sz w:val="24"/>
          <w:szCs w:val="24"/>
        </w:rPr>
        <w:br w:type="page"/>
      </w:r>
      <w:bookmarkStart w:id="234" w:name="_Toc20972"/>
      <w:bookmarkStart w:id="235" w:name="_Toc54335429"/>
      <w:r>
        <w:rPr>
          <w:rFonts w:hint="eastAsia"/>
          <w:color w:val="auto"/>
        </w:rPr>
        <w:t>评标办法前附表</w:t>
      </w:r>
      <w:bookmarkEnd w:id="234"/>
      <w:bookmarkEnd w:id="235"/>
    </w:p>
    <w:p>
      <w:pPr>
        <w:ind w:firstLine="240" w:firstLineChars="100"/>
        <w:rPr>
          <w:rFonts w:ascii="宋体" w:hAnsi="宋体"/>
          <w:color w:val="auto"/>
          <w:sz w:val="24"/>
          <w:szCs w:val="24"/>
        </w:rPr>
      </w:pPr>
      <w:r>
        <w:rPr>
          <w:rFonts w:hint="eastAsia" w:ascii="宋体" w:hAnsi="宋体"/>
          <w:color w:val="auto"/>
          <w:sz w:val="24"/>
          <w:szCs w:val="24"/>
        </w:rPr>
        <w:t>本表中相关选择项，以在“□”中标黑“■”或打勾“</w:t>
      </w:r>
      <w:r>
        <w:rPr>
          <w:rFonts w:hint="eastAsia" w:ascii="宋体" w:hAnsi="宋体"/>
          <w:b/>
          <w:color w:val="auto"/>
          <w:sz w:val="24"/>
          <w:szCs w:val="24"/>
          <w:bdr w:val="single" w:color="auto" w:sz="4" w:space="0"/>
        </w:rPr>
        <w:t>√</w:t>
      </w:r>
      <w:r>
        <w:rPr>
          <w:rFonts w:hint="eastAsia" w:ascii="宋体" w:hAnsi="宋体"/>
          <w:color w:val="auto"/>
          <w:sz w:val="24"/>
          <w:szCs w:val="24"/>
        </w:rPr>
        <w:t>”为准。</w:t>
      </w:r>
      <w:r>
        <w:rPr>
          <w:rFonts w:hint="eastAsia" w:ascii="宋体" w:hAnsi="宋体" w:cs="宋体"/>
          <w:bCs/>
          <w:color w:val="auto"/>
          <w:sz w:val="24"/>
          <w:szCs w:val="24"/>
        </w:rPr>
        <w:t>本表内容须与《评标办法》正文对应条款的内容一起阅读理解，《评标办法》</w:t>
      </w:r>
      <w:r>
        <w:rPr>
          <w:rFonts w:hint="eastAsia" w:ascii="宋体" w:hAnsi="宋体"/>
          <w:color w:val="auto"/>
          <w:sz w:val="24"/>
          <w:szCs w:val="24"/>
        </w:rPr>
        <w:t>正文与《</w:t>
      </w:r>
      <w:r>
        <w:rPr>
          <w:rFonts w:hint="eastAsia" w:ascii="宋体" w:hAnsi="宋体" w:cs="宋体"/>
          <w:bCs/>
          <w:color w:val="auto"/>
          <w:sz w:val="24"/>
          <w:szCs w:val="24"/>
        </w:rPr>
        <w:t>评标办法</w:t>
      </w:r>
      <w:r>
        <w:rPr>
          <w:rFonts w:hint="eastAsia" w:ascii="宋体" w:hAnsi="宋体"/>
          <w:color w:val="auto"/>
          <w:sz w:val="24"/>
          <w:szCs w:val="24"/>
        </w:rPr>
        <w:t>前附表》描述存在不一致之处，以《评标办法前附表》为准。</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179"/>
        <w:gridCol w:w="1985"/>
        <w:gridCol w:w="5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23" w:type="dxa"/>
            <w:vAlign w:val="center"/>
          </w:tcPr>
          <w:p>
            <w:pPr>
              <w:autoSpaceDE w:val="0"/>
              <w:autoSpaceDN w:val="0"/>
              <w:spacing w:line="312" w:lineRule="auto"/>
              <w:jc w:val="center"/>
              <w:rPr>
                <w:rFonts w:ascii="宋体" w:hAnsi="宋体"/>
                <w:b/>
                <w:color w:val="auto"/>
                <w:sz w:val="24"/>
                <w:szCs w:val="24"/>
              </w:rPr>
            </w:pPr>
            <w:r>
              <w:rPr>
                <w:rFonts w:hint="eastAsia" w:ascii="宋体" w:hAnsi="宋体"/>
                <w:b/>
                <w:color w:val="auto"/>
                <w:sz w:val="24"/>
                <w:szCs w:val="24"/>
              </w:rPr>
              <w:t>序号</w:t>
            </w:r>
          </w:p>
        </w:tc>
        <w:tc>
          <w:tcPr>
            <w:tcW w:w="1179" w:type="dxa"/>
            <w:vAlign w:val="center"/>
          </w:tcPr>
          <w:p>
            <w:pPr>
              <w:autoSpaceDE w:val="0"/>
              <w:autoSpaceDN w:val="0"/>
              <w:spacing w:line="312" w:lineRule="auto"/>
              <w:jc w:val="center"/>
              <w:rPr>
                <w:rFonts w:ascii="宋体" w:hAnsi="宋体"/>
                <w:b/>
                <w:color w:val="auto"/>
                <w:sz w:val="24"/>
                <w:szCs w:val="24"/>
              </w:rPr>
            </w:pPr>
            <w:r>
              <w:rPr>
                <w:rFonts w:hint="eastAsia" w:ascii="宋体" w:hAnsi="宋体"/>
                <w:b/>
                <w:color w:val="auto"/>
                <w:sz w:val="24"/>
                <w:szCs w:val="24"/>
              </w:rPr>
              <w:t>条款号</w:t>
            </w:r>
          </w:p>
        </w:tc>
        <w:tc>
          <w:tcPr>
            <w:tcW w:w="1985" w:type="dxa"/>
            <w:vAlign w:val="center"/>
          </w:tcPr>
          <w:p>
            <w:pPr>
              <w:autoSpaceDE w:val="0"/>
              <w:autoSpaceDN w:val="0"/>
              <w:spacing w:line="312" w:lineRule="auto"/>
              <w:jc w:val="center"/>
              <w:rPr>
                <w:rFonts w:ascii="宋体" w:hAnsi="宋体"/>
                <w:b/>
                <w:color w:val="auto"/>
                <w:sz w:val="24"/>
                <w:szCs w:val="24"/>
              </w:rPr>
            </w:pPr>
            <w:r>
              <w:rPr>
                <w:rFonts w:hint="eastAsia" w:ascii="宋体" w:hAnsi="宋体"/>
                <w:b/>
                <w:color w:val="auto"/>
                <w:sz w:val="24"/>
                <w:szCs w:val="24"/>
              </w:rPr>
              <w:t>内容</w:t>
            </w:r>
          </w:p>
        </w:tc>
        <w:tc>
          <w:tcPr>
            <w:tcW w:w="5512" w:type="dxa"/>
            <w:vAlign w:val="center"/>
          </w:tcPr>
          <w:p>
            <w:pPr>
              <w:autoSpaceDE w:val="0"/>
              <w:autoSpaceDN w:val="0"/>
              <w:spacing w:line="312" w:lineRule="auto"/>
              <w:jc w:val="center"/>
              <w:rPr>
                <w:rFonts w:ascii="宋体" w:hAnsi="宋体"/>
                <w:b/>
                <w:color w:val="auto"/>
                <w:sz w:val="24"/>
                <w:szCs w:val="24"/>
              </w:rPr>
            </w:pPr>
            <w:r>
              <w:rPr>
                <w:rFonts w:hint="eastAsia" w:ascii="宋体" w:hAnsi="宋体"/>
                <w:b/>
                <w:color w:val="auto"/>
                <w:sz w:val="24"/>
                <w:szCs w:val="24"/>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23" w:type="dxa"/>
            <w:vAlign w:val="center"/>
          </w:tcPr>
          <w:p>
            <w:pPr>
              <w:numPr>
                <w:ilvl w:val="0"/>
                <w:numId w:val="44"/>
              </w:numPr>
              <w:autoSpaceDE w:val="0"/>
              <w:autoSpaceDN w:val="0"/>
              <w:spacing w:line="312" w:lineRule="auto"/>
              <w:jc w:val="center"/>
              <w:rPr>
                <w:rFonts w:ascii="宋体" w:hAnsi="宋体"/>
                <w:color w:val="auto"/>
                <w:sz w:val="24"/>
                <w:szCs w:val="24"/>
              </w:rPr>
            </w:pPr>
          </w:p>
        </w:tc>
        <w:tc>
          <w:tcPr>
            <w:tcW w:w="1179"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2.1</w:t>
            </w:r>
          </w:p>
        </w:tc>
        <w:tc>
          <w:tcPr>
            <w:tcW w:w="1985"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评标委员会</w:t>
            </w:r>
          </w:p>
        </w:tc>
        <w:tc>
          <w:tcPr>
            <w:tcW w:w="5512" w:type="dxa"/>
            <w:vAlign w:val="center"/>
          </w:tcPr>
          <w:p>
            <w:pPr>
              <w:autoSpaceDE w:val="0"/>
              <w:autoSpaceDN w:val="0"/>
              <w:spacing w:line="312" w:lineRule="auto"/>
              <w:ind w:left="120" w:hanging="120" w:hangingChars="50"/>
              <w:rPr>
                <w:rFonts w:ascii="宋体" w:hAnsi="宋体"/>
                <w:color w:val="auto"/>
                <w:sz w:val="24"/>
                <w:szCs w:val="24"/>
              </w:rPr>
            </w:pPr>
            <w:r>
              <w:rPr>
                <w:rFonts w:hint="eastAsia" w:ascii="宋体" w:hAnsi="宋体"/>
                <w:color w:val="auto"/>
                <w:sz w:val="24"/>
                <w:szCs w:val="24"/>
              </w:rPr>
              <w:t>本次招标依法组建评标委员会。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23" w:type="dxa"/>
            <w:vAlign w:val="center"/>
          </w:tcPr>
          <w:p>
            <w:pPr>
              <w:numPr>
                <w:ilvl w:val="0"/>
                <w:numId w:val="44"/>
              </w:numPr>
              <w:autoSpaceDE w:val="0"/>
              <w:autoSpaceDN w:val="0"/>
              <w:spacing w:line="312" w:lineRule="auto"/>
              <w:jc w:val="center"/>
              <w:rPr>
                <w:rFonts w:ascii="宋体" w:hAnsi="宋体"/>
                <w:color w:val="auto"/>
                <w:sz w:val="24"/>
                <w:szCs w:val="24"/>
              </w:rPr>
            </w:pPr>
          </w:p>
        </w:tc>
        <w:tc>
          <w:tcPr>
            <w:tcW w:w="1179"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3.9</w:t>
            </w:r>
          </w:p>
        </w:tc>
        <w:tc>
          <w:tcPr>
            <w:tcW w:w="1985"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投标无效情形</w:t>
            </w:r>
          </w:p>
        </w:tc>
        <w:tc>
          <w:tcPr>
            <w:tcW w:w="5512" w:type="dxa"/>
            <w:vAlign w:val="center"/>
          </w:tcPr>
          <w:p>
            <w:pPr>
              <w:autoSpaceDE w:val="0"/>
              <w:autoSpaceDN w:val="0"/>
              <w:spacing w:line="312" w:lineRule="auto"/>
              <w:ind w:left="120" w:hanging="120" w:hangingChars="50"/>
              <w:rPr>
                <w:rFonts w:ascii="宋体" w:hAnsi="宋体"/>
                <w:color w:val="auto"/>
                <w:sz w:val="24"/>
                <w:szCs w:val="24"/>
              </w:rPr>
            </w:pPr>
            <w:r>
              <w:rPr>
                <w:rFonts w:hint="eastAsia" w:ascii="宋体" w:hAnsi="宋体"/>
                <w:color w:val="auto"/>
                <w:sz w:val="24"/>
                <w:szCs w:val="24"/>
              </w:rPr>
              <w:t>详见附表6《无效投标或投标无效情形汇总表》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4" w:hRule="atLeast"/>
          <w:jc w:val="center"/>
        </w:trPr>
        <w:tc>
          <w:tcPr>
            <w:tcW w:w="723" w:type="dxa"/>
            <w:vMerge w:val="restart"/>
            <w:vAlign w:val="center"/>
          </w:tcPr>
          <w:p>
            <w:pPr>
              <w:numPr>
                <w:ilvl w:val="0"/>
                <w:numId w:val="44"/>
              </w:numPr>
              <w:autoSpaceDE w:val="0"/>
              <w:autoSpaceDN w:val="0"/>
              <w:spacing w:line="312" w:lineRule="auto"/>
              <w:jc w:val="center"/>
              <w:rPr>
                <w:rFonts w:ascii="宋体" w:hAnsi="宋体"/>
                <w:color w:val="auto"/>
                <w:sz w:val="24"/>
                <w:szCs w:val="24"/>
              </w:rPr>
            </w:pPr>
          </w:p>
        </w:tc>
        <w:tc>
          <w:tcPr>
            <w:tcW w:w="1179" w:type="dxa"/>
            <w:vMerge w:val="restart"/>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4.1</w:t>
            </w:r>
          </w:p>
        </w:tc>
        <w:tc>
          <w:tcPr>
            <w:tcW w:w="1985" w:type="dxa"/>
            <w:vMerge w:val="restart"/>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评标办法</w:t>
            </w:r>
          </w:p>
        </w:tc>
        <w:tc>
          <w:tcPr>
            <w:tcW w:w="5512" w:type="dxa"/>
            <w:vAlign w:val="center"/>
          </w:tcPr>
          <w:p>
            <w:pPr>
              <w:autoSpaceDE w:val="0"/>
              <w:autoSpaceDN w:val="0"/>
              <w:spacing w:line="312" w:lineRule="auto"/>
              <w:rPr>
                <w:rFonts w:ascii="宋体" w:hAnsi="宋体"/>
                <w:color w:val="auto"/>
                <w:sz w:val="24"/>
                <w:szCs w:val="24"/>
              </w:rPr>
            </w:pPr>
            <w:r>
              <w:rPr>
                <w:rFonts w:hint="eastAsia" w:ascii="宋体" w:hAnsi="宋体"/>
                <w:color w:val="auto"/>
                <w:sz w:val="24"/>
                <w:szCs w:val="24"/>
              </w:rPr>
              <w:t>☑综合评分法：满分100分，分值构成如下：</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1"/>
              <w:gridCol w:w="1322"/>
              <w:gridCol w:w="1321"/>
              <w:gridCol w:w="1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1" w:type="dxa"/>
                  <w:vAlign w:val="center"/>
                </w:tcPr>
                <w:p>
                  <w:pPr>
                    <w:autoSpaceDE w:val="0"/>
                    <w:autoSpaceDN w:val="0"/>
                    <w:spacing w:line="312" w:lineRule="auto"/>
                    <w:jc w:val="center"/>
                    <w:rPr>
                      <w:rFonts w:ascii="宋体" w:hAnsi="宋体"/>
                      <w:b/>
                      <w:color w:val="auto"/>
                      <w:sz w:val="24"/>
                      <w:szCs w:val="24"/>
                    </w:rPr>
                  </w:pPr>
                  <w:r>
                    <w:rPr>
                      <w:rFonts w:hint="eastAsia" w:ascii="宋体" w:hAnsi="宋体"/>
                      <w:b/>
                      <w:color w:val="auto"/>
                      <w:sz w:val="24"/>
                      <w:szCs w:val="24"/>
                    </w:rPr>
                    <w:t>评审项目</w:t>
                  </w:r>
                </w:p>
              </w:tc>
              <w:tc>
                <w:tcPr>
                  <w:tcW w:w="1322" w:type="dxa"/>
                  <w:vAlign w:val="center"/>
                </w:tcPr>
                <w:p>
                  <w:pPr>
                    <w:autoSpaceDE w:val="0"/>
                    <w:autoSpaceDN w:val="0"/>
                    <w:spacing w:line="312" w:lineRule="auto"/>
                    <w:jc w:val="center"/>
                    <w:rPr>
                      <w:rFonts w:ascii="宋体" w:hAnsi="宋体"/>
                      <w:b/>
                      <w:color w:val="auto"/>
                      <w:sz w:val="24"/>
                      <w:szCs w:val="24"/>
                    </w:rPr>
                  </w:pPr>
                  <w:r>
                    <w:rPr>
                      <w:rFonts w:hint="eastAsia" w:ascii="宋体" w:hAnsi="宋体"/>
                      <w:b/>
                      <w:color w:val="auto"/>
                      <w:sz w:val="24"/>
                      <w:szCs w:val="24"/>
                    </w:rPr>
                    <w:t>技术部分</w:t>
                  </w:r>
                </w:p>
              </w:tc>
              <w:tc>
                <w:tcPr>
                  <w:tcW w:w="1321" w:type="dxa"/>
                  <w:vAlign w:val="center"/>
                </w:tcPr>
                <w:p>
                  <w:pPr>
                    <w:autoSpaceDE w:val="0"/>
                    <w:autoSpaceDN w:val="0"/>
                    <w:spacing w:line="312" w:lineRule="auto"/>
                    <w:jc w:val="center"/>
                    <w:rPr>
                      <w:rFonts w:ascii="宋体" w:hAnsi="宋体"/>
                      <w:b/>
                      <w:color w:val="auto"/>
                      <w:sz w:val="24"/>
                      <w:szCs w:val="24"/>
                    </w:rPr>
                  </w:pPr>
                  <w:r>
                    <w:rPr>
                      <w:rFonts w:hint="eastAsia" w:ascii="宋体" w:hAnsi="宋体"/>
                      <w:b/>
                      <w:color w:val="auto"/>
                      <w:sz w:val="24"/>
                      <w:szCs w:val="24"/>
                    </w:rPr>
                    <w:t>商务部分</w:t>
                  </w:r>
                </w:p>
              </w:tc>
              <w:tc>
                <w:tcPr>
                  <w:tcW w:w="1322" w:type="dxa"/>
                  <w:vAlign w:val="center"/>
                </w:tcPr>
                <w:p>
                  <w:pPr>
                    <w:autoSpaceDE w:val="0"/>
                    <w:autoSpaceDN w:val="0"/>
                    <w:spacing w:line="312" w:lineRule="auto"/>
                    <w:jc w:val="center"/>
                    <w:rPr>
                      <w:rFonts w:ascii="宋体" w:hAnsi="宋体"/>
                      <w:b/>
                      <w:color w:val="auto"/>
                      <w:sz w:val="24"/>
                      <w:szCs w:val="24"/>
                    </w:rPr>
                  </w:pPr>
                  <w:r>
                    <w:rPr>
                      <w:rFonts w:hint="eastAsia" w:ascii="宋体" w:hAnsi="宋体"/>
                      <w:b/>
                      <w:color w:val="auto"/>
                      <w:sz w:val="24"/>
                      <w:szCs w:val="24"/>
                    </w:rPr>
                    <w:t>价格部分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1"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项目分值</w:t>
                  </w:r>
                </w:p>
              </w:tc>
              <w:tc>
                <w:tcPr>
                  <w:tcW w:w="1322" w:type="dxa"/>
                  <w:vAlign w:val="center"/>
                </w:tcPr>
                <w:p>
                  <w:pPr>
                    <w:autoSpaceDE w:val="0"/>
                    <w:autoSpaceDN w:val="0"/>
                    <w:spacing w:line="360" w:lineRule="auto"/>
                    <w:jc w:val="center"/>
                    <w:rPr>
                      <w:rFonts w:ascii="宋体" w:hAnsi="宋体"/>
                      <w:color w:val="auto"/>
                      <w:sz w:val="24"/>
                      <w:szCs w:val="24"/>
                    </w:rPr>
                  </w:pPr>
                  <w:r>
                    <w:rPr>
                      <w:rFonts w:hint="eastAsia" w:ascii="宋体" w:hAnsi="宋体" w:cs="宋体"/>
                      <w:color w:val="auto"/>
                      <w:sz w:val="24"/>
                      <w:szCs w:val="24"/>
                      <w:lang w:val="en-US" w:eastAsia="zh-CN"/>
                    </w:rPr>
                    <w:t>44</w:t>
                  </w:r>
                  <w:r>
                    <w:rPr>
                      <w:rFonts w:hint="eastAsia" w:ascii="宋体" w:hAnsi="宋体" w:cs="宋体"/>
                      <w:color w:val="auto"/>
                      <w:sz w:val="24"/>
                      <w:szCs w:val="24"/>
                    </w:rPr>
                    <w:t>分</w:t>
                  </w:r>
                </w:p>
              </w:tc>
              <w:tc>
                <w:tcPr>
                  <w:tcW w:w="1321" w:type="dxa"/>
                  <w:vAlign w:val="center"/>
                </w:tcPr>
                <w:p>
                  <w:pPr>
                    <w:autoSpaceDE w:val="0"/>
                    <w:autoSpaceDN w:val="0"/>
                    <w:spacing w:line="360" w:lineRule="auto"/>
                    <w:jc w:val="center"/>
                    <w:rPr>
                      <w:rFonts w:ascii="宋体" w:hAnsi="宋体"/>
                      <w:color w:val="auto"/>
                      <w:sz w:val="24"/>
                      <w:szCs w:val="24"/>
                    </w:rPr>
                  </w:pPr>
                  <w:r>
                    <w:rPr>
                      <w:rFonts w:hint="eastAsia" w:ascii="宋体" w:hAnsi="宋体" w:cs="宋体"/>
                      <w:color w:val="auto"/>
                      <w:sz w:val="24"/>
                      <w:szCs w:val="24"/>
                      <w:lang w:val="en-US" w:eastAsia="zh-CN"/>
                    </w:rPr>
                    <w:t>26</w:t>
                  </w:r>
                  <w:r>
                    <w:rPr>
                      <w:rFonts w:hint="eastAsia" w:ascii="宋体" w:hAnsi="宋体" w:cs="宋体"/>
                      <w:color w:val="auto"/>
                      <w:sz w:val="24"/>
                      <w:szCs w:val="24"/>
                    </w:rPr>
                    <w:t>分</w:t>
                  </w:r>
                </w:p>
              </w:tc>
              <w:tc>
                <w:tcPr>
                  <w:tcW w:w="1322" w:type="dxa"/>
                  <w:vAlign w:val="center"/>
                </w:tcPr>
                <w:p>
                  <w:pPr>
                    <w:autoSpaceDE w:val="0"/>
                    <w:autoSpaceDN w:val="0"/>
                    <w:spacing w:line="360" w:lineRule="auto"/>
                    <w:jc w:val="center"/>
                    <w:rPr>
                      <w:rFonts w:ascii="宋体" w:hAnsi="宋体"/>
                      <w:color w:val="auto"/>
                      <w:sz w:val="24"/>
                      <w:szCs w:val="24"/>
                    </w:rPr>
                  </w:pPr>
                  <w:r>
                    <w:rPr>
                      <w:rFonts w:hint="eastAsia" w:ascii="宋体" w:hAnsi="宋体" w:cs="宋体"/>
                      <w:color w:val="auto"/>
                      <w:sz w:val="24"/>
                      <w:szCs w:val="24"/>
                    </w:rPr>
                    <w:t>30分</w:t>
                  </w:r>
                </w:p>
              </w:tc>
            </w:tr>
          </w:tbl>
          <w:p>
            <w:pPr>
              <w:autoSpaceDE w:val="0"/>
              <w:autoSpaceDN w:val="0"/>
              <w:spacing w:line="312" w:lineRule="auto"/>
              <w:rPr>
                <w:rFonts w:ascii="宋体" w:hAnsi="宋体"/>
                <w:color w:val="auto"/>
                <w:sz w:val="24"/>
                <w:szCs w:val="24"/>
              </w:rPr>
            </w:pPr>
            <w:r>
              <w:rPr>
                <w:rFonts w:hint="eastAsia" w:ascii="宋体" w:hAnsi="宋体"/>
                <w:b/>
                <w:color w:val="auto"/>
                <w:sz w:val="24"/>
                <w:szCs w:val="24"/>
              </w:rPr>
              <w:t>综合得分=技术部分得分+商务部分得分+价格部分得分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23" w:type="dxa"/>
            <w:vMerge w:val="continue"/>
            <w:vAlign w:val="center"/>
          </w:tcPr>
          <w:p>
            <w:pPr>
              <w:numPr>
                <w:ilvl w:val="0"/>
                <w:numId w:val="44"/>
              </w:numPr>
              <w:autoSpaceDE w:val="0"/>
              <w:autoSpaceDN w:val="0"/>
              <w:spacing w:line="312" w:lineRule="auto"/>
              <w:jc w:val="center"/>
              <w:rPr>
                <w:rFonts w:ascii="宋体" w:hAnsi="宋体"/>
                <w:color w:val="auto"/>
                <w:sz w:val="24"/>
                <w:szCs w:val="24"/>
              </w:rPr>
            </w:pPr>
          </w:p>
        </w:tc>
        <w:tc>
          <w:tcPr>
            <w:tcW w:w="1179" w:type="dxa"/>
            <w:vMerge w:val="continue"/>
            <w:vAlign w:val="center"/>
          </w:tcPr>
          <w:p>
            <w:pPr>
              <w:autoSpaceDE w:val="0"/>
              <w:autoSpaceDN w:val="0"/>
              <w:spacing w:line="312" w:lineRule="auto"/>
              <w:jc w:val="center"/>
              <w:rPr>
                <w:rFonts w:ascii="宋体" w:hAnsi="宋体"/>
                <w:color w:val="auto"/>
                <w:sz w:val="24"/>
                <w:szCs w:val="24"/>
              </w:rPr>
            </w:pPr>
          </w:p>
        </w:tc>
        <w:tc>
          <w:tcPr>
            <w:tcW w:w="1985" w:type="dxa"/>
            <w:vMerge w:val="continue"/>
            <w:vAlign w:val="center"/>
          </w:tcPr>
          <w:p>
            <w:pPr>
              <w:autoSpaceDE w:val="0"/>
              <w:autoSpaceDN w:val="0"/>
              <w:spacing w:line="312" w:lineRule="auto"/>
              <w:jc w:val="center"/>
              <w:rPr>
                <w:rFonts w:ascii="宋体" w:hAnsi="宋体"/>
                <w:color w:val="auto"/>
                <w:sz w:val="24"/>
                <w:szCs w:val="24"/>
              </w:rPr>
            </w:pPr>
          </w:p>
        </w:tc>
        <w:tc>
          <w:tcPr>
            <w:tcW w:w="5512" w:type="dxa"/>
            <w:vAlign w:val="center"/>
          </w:tcPr>
          <w:p>
            <w:pPr>
              <w:autoSpaceDE w:val="0"/>
              <w:autoSpaceDN w:val="0"/>
              <w:spacing w:line="312" w:lineRule="auto"/>
              <w:rPr>
                <w:rFonts w:ascii="宋体" w:hAnsi="宋体"/>
                <w:color w:val="auto"/>
                <w:sz w:val="24"/>
                <w:szCs w:val="24"/>
              </w:rPr>
            </w:pPr>
            <w:r>
              <w:rPr>
                <w:rFonts w:hint="eastAsia" w:ascii="宋体" w:hAnsi="宋体"/>
                <w:color w:val="auto"/>
                <w:sz w:val="24"/>
                <w:szCs w:val="24"/>
              </w:rPr>
              <w:t>□最低评标价法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23" w:type="dxa"/>
            <w:vAlign w:val="center"/>
          </w:tcPr>
          <w:p>
            <w:pPr>
              <w:numPr>
                <w:ilvl w:val="0"/>
                <w:numId w:val="44"/>
              </w:numPr>
              <w:autoSpaceDE w:val="0"/>
              <w:autoSpaceDN w:val="0"/>
              <w:spacing w:line="312" w:lineRule="auto"/>
              <w:jc w:val="center"/>
              <w:rPr>
                <w:rFonts w:ascii="宋体" w:hAnsi="宋体"/>
                <w:color w:val="auto"/>
                <w:sz w:val="24"/>
                <w:szCs w:val="24"/>
              </w:rPr>
            </w:pPr>
          </w:p>
        </w:tc>
        <w:tc>
          <w:tcPr>
            <w:tcW w:w="1179"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5.1</w:t>
            </w:r>
          </w:p>
        </w:tc>
        <w:tc>
          <w:tcPr>
            <w:tcW w:w="1985"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资格审查标准</w:t>
            </w:r>
          </w:p>
        </w:tc>
        <w:tc>
          <w:tcPr>
            <w:tcW w:w="5512" w:type="dxa"/>
            <w:vAlign w:val="center"/>
          </w:tcPr>
          <w:p>
            <w:pPr>
              <w:autoSpaceDE w:val="0"/>
              <w:autoSpaceDN w:val="0"/>
              <w:spacing w:line="312" w:lineRule="auto"/>
              <w:rPr>
                <w:rFonts w:ascii="宋体" w:hAnsi="宋体"/>
                <w:color w:val="auto"/>
                <w:sz w:val="24"/>
                <w:szCs w:val="24"/>
              </w:rPr>
            </w:pPr>
            <w:r>
              <w:rPr>
                <w:rFonts w:hint="eastAsia" w:ascii="宋体" w:hAnsi="宋体"/>
                <w:color w:val="auto"/>
                <w:sz w:val="24"/>
                <w:szCs w:val="24"/>
              </w:rPr>
              <w:t>详见附表1《资格审查表》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23" w:type="dxa"/>
            <w:vAlign w:val="center"/>
          </w:tcPr>
          <w:p>
            <w:pPr>
              <w:numPr>
                <w:ilvl w:val="0"/>
                <w:numId w:val="44"/>
              </w:numPr>
              <w:autoSpaceDE w:val="0"/>
              <w:autoSpaceDN w:val="0"/>
              <w:spacing w:line="312" w:lineRule="auto"/>
              <w:jc w:val="center"/>
              <w:rPr>
                <w:rFonts w:ascii="宋体" w:hAnsi="宋体"/>
                <w:color w:val="auto"/>
                <w:sz w:val="24"/>
                <w:szCs w:val="24"/>
              </w:rPr>
            </w:pPr>
          </w:p>
        </w:tc>
        <w:tc>
          <w:tcPr>
            <w:tcW w:w="1179"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5.2</w:t>
            </w:r>
          </w:p>
        </w:tc>
        <w:tc>
          <w:tcPr>
            <w:tcW w:w="1985"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符合性审查标准</w:t>
            </w:r>
          </w:p>
        </w:tc>
        <w:tc>
          <w:tcPr>
            <w:tcW w:w="5512" w:type="dxa"/>
            <w:vAlign w:val="center"/>
          </w:tcPr>
          <w:p>
            <w:pPr>
              <w:autoSpaceDE w:val="0"/>
              <w:autoSpaceDN w:val="0"/>
              <w:spacing w:line="312" w:lineRule="auto"/>
              <w:rPr>
                <w:rFonts w:ascii="宋体" w:hAnsi="宋体"/>
                <w:color w:val="auto"/>
                <w:sz w:val="24"/>
                <w:szCs w:val="24"/>
              </w:rPr>
            </w:pPr>
            <w:r>
              <w:rPr>
                <w:rFonts w:hint="eastAsia" w:ascii="宋体" w:hAnsi="宋体"/>
                <w:color w:val="auto"/>
                <w:sz w:val="24"/>
                <w:szCs w:val="24"/>
              </w:rPr>
              <w:t>详见附表2《符合性审查表》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723" w:type="dxa"/>
            <w:vAlign w:val="center"/>
          </w:tcPr>
          <w:p>
            <w:pPr>
              <w:numPr>
                <w:ilvl w:val="0"/>
                <w:numId w:val="44"/>
              </w:numPr>
              <w:autoSpaceDE w:val="0"/>
              <w:autoSpaceDN w:val="0"/>
              <w:spacing w:line="312" w:lineRule="auto"/>
              <w:jc w:val="center"/>
              <w:rPr>
                <w:rFonts w:ascii="宋体" w:hAnsi="宋体"/>
                <w:color w:val="auto"/>
                <w:sz w:val="24"/>
                <w:szCs w:val="24"/>
              </w:rPr>
            </w:pPr>
          </w:p>
        </w:tc>
        <w:tc>
          <w:tcPr>
            <w:tcW w:w="1179"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6.</w:t>
            </w:r>
          </w:p>
        </w:tc>
        <w:tc>
          <w:tcPr>
            <w:tcW w:w="1985"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技术、商务评审标准</w:t>
            </w:r>
          </w:p>
        </w:tc>
        <w:tc>
          <w:tcPr>
            <w:tcW w:w="5512" w:type="dxa"/>
            <w:vAlign w:val="center"/>
          </w:tcPr>
          <w:p>
            <w:pPr>
              <w:autoSpaceDE w:val="0"/>
              <w:autoSpaceDN w:val="0"/>
              <w:spacing w:line="312" w:lineRule="auto"/>
              <w:rPr>
                <w:rFonts w:ascii="宋体" w:hAnsi="宋体"/>
                <w:color w:val="auto"/>
                <w:sz w:val="24"/>
                <w:szCs w:val="24"/>
              </w:rPr>
            </w:pPr>
            <w:r>
              <w:rPr>
                <w:rFonts w:hint="eastAsia" w:ascii="宋体" w:hAnsi="宋体"/>
                <w:color w:val="auto"/>
                <w:sz w:val="24"/>
                <w:szCs w:val="24"/>
              </w:rPr>
              <w:t>详见附表3《技术评审表》、附表4《商务评审表》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23" w:type="dxa"/>
            <w:vAlign w:val="center"/>
          </w:tcPr>
          <w:p>
            <w:pPr>
              <w:numPr>
                <w:ilvl w:val="0"/>
                <w:numId w:val="44"/>
              </w:numPr>
              <w:autoSpaceDE w:val="0"/>
              <w:autoSpaceDN w:val="0"/>
              <w:spacing w:line="312" w:lineRule="auto"/>
              <w:jc w:val="center"/>
              <w:rPr>
                <w:rFonts w:ascii="宋体" w:hAnsi="宋体"/>
                <w:color w:val="auto"/>
                <w:sz w:val="24"/>
                <w:szCs w:val="24"/>
              </w:rPr>
            </w:pPr>
          </w:p>
        </w:tc>
        <w:tc>
          <w:tcPr>
            <w:tcW w:w="1179"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7.</w:t>
            </w:r>
          </w:p>
        </w:tc>
        <w:tc>
          <w:tcPr>
            <w:tcW w:w="1985"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价格评审标准</w:t>
            </w:r>
          </w:p>
        </w:tc>
        <w:tc>
          <w:tcPr>
            <w:tcW w:w="5512" w:type="dxa"/>
            <w:vAlign w:val="center"/>
          </w:tcPr>
          <w:p>
            <w:pPr>
              <w:autoSpaceDE w:val="0"/>
              <w:autoSpaceDN w:val="0"/>
              <w:spacing w:line="312" w:lineRule="auto"/>
              <w:rPr>
                <w:rFonts w:ascii="宋体" w:hAnsi="宋体"/>
                <w:color w:val="auto"/>
                <w:sz w:val="24"/>
                <w:szCs w:val="24"/>
              </w:rPr>
            </w:pPr>
            <w:r>
              <w:rPr>
                <w:rFonts w:hint="eastAsia" w:ascii="宋体" w:hAnsi="宋体"/>
                <w:color w:val="auto"/>
                <w:sz w:val="24"/>
                <w:szCs w:val="24"/>
              </w:rPr>
              <w:t>详见附表5《价格评审表》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44"/>
              </w:numPr>
              <w:autoSpaceDE w:val="0"/>
              <w:autoSpaceDN w:val="0"/>
              <w:spacing w:line="312" w:lineRule="auto"/>
              <w:jc w:val="center"/>
              <w:rPr>
                <w:rFonts w:ascii="宋体" w:hAnsi="宋体"/>
                <w:color w:val="auto"/>
                <w:sz w:val="24"/>
                <w:szCs w:val="24"/>
              </w:rPr>
            </w:pPr>
          </w:p>
        </w:tc>
        <w:tc>
          <w:tcPr>
            <w:tcW w:w="1179" w:type="dxa"/>
            <w:vMerge w:val="restart"/>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7.2</w:t>
            </w:r>
          </w:p>
        </w:tc>
        <w:tc>
          <w:tcPr>
            <w:tcW w:w="1985" w:type="dxa"/>
            <w:vMerge w:val="restart"/>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小型、微型企业产品的评审优惠</w:t>
            </w:r>
          </w:p>
        </w:tc>
        <w:tc>
          <w:tcPr>
            <w:tcW w:w="5512" w:type="dxa"/>
            <w:vAlign w:val="center"/>
          </w:tcPr>
          <w:p>
            <w:pPr>
              <w:autoSpaceDE w:val="0"/>
              <w:autoSpaceDN w:val="0"/>
              <w:spacing w:line="312" w:lineRule="auto"/>
              <w:rPr>
                <w:rFonts w:ascii="宋体" w:hAnsi="宋体"/>
                <w:color w:val="auto"/>
                <w:sz w:val="24"/>
                <w:szCs w:val="24"/>
              </w:rPr>
            </w:pPr>
            <w:r>
              <w:rPr>
                <w:rFonts w:hint="eastAsia" w:ascii="宋体" w:hAnsi="宋体"/>
                <w:color w:val="auto"/>
                <w:sz w:val="24"/>
                <w:szCs w:val="24"/>
              </w:rPr>
              <w:t>☑不属于专门面向中小企业的采购项目（采购包）：</w:t>
            </w:r>
          </w:p>
          <w:p>
            <w:pPr>
              <w:autoSpaceDE w:val="0"/>
              <w:autoSpaceDN w:val="0"/>
              <w:spacing w:line="312" w:lineRule="auto"/>
              <w:rPr>
                <w:rFonts w:ascii="宋体" w:hAnsi="宋体"/>
                <w:color w:val="auto"/>
                <w:sz w:val="24"/>
                <w:szCs w:val="24"/>
              </w:rPr>
            </w:pPr>
            <w:r>
              <w:rPr>
                <w:rFonts w:hint="eastAsia" w:ascii="宋体" w:hAnsi="宋体"/>
                <w:color w:val="auto"/>
                <w:sz w:val="24"/>
                <w:szCs w:val="24"/>
              </w:rPr>
              <w:t>☑价格扣除比例：C1=6%</w:t>
            </w:r>
          </w:p>
          <w:p>
            <w:pPr>
              <w:autoSpaceDE w:val="0"/>
              <w:autoSpaceDN w:val="0"/>
              <w:spacing w:line="312" w:lineRule="auto"/>
              <w:rPr>
                <w:rFonts w:ascii="宋体" w:hAnsi="宋体"/>
                <w:color w:val="auto"/>
                <w:sz w:val="24"/>
                <w:szCs w:val="24"/>
              </w:rPr>
            </w:pPr>
            <w:r>
              <w:rPr>
                <w:rFonts w:hint="eastAsia" w:ascii="宋体" w:hAnsi="宋体"/>
                <w:color w:val="auto"/>
                <w:sz w:val="24"/>
                <w:szCs w:val="24"/>
              </w:rPr>
              <w:t>□价格扣除比例：C2=2%（若允许联合体投标）</w:t>
            </w:r>
          </w:p>
          <w:p>
            <w:pPr>
              <w:autoSpaceDE w:val="0"/>
              <w:autoSpaceDN w:val="0"/>
              <w:spacing w:line="312" w:lineRule="auto"/>
              <w:rPr>
                <w:rFonts w:ascii="宋体" w:hAnsi="宋体"/>
                <w:i/>
                <w:color w:val="auto"/>
                <w:sz w:val="24"/>
                <w:szCs w:val="24"/>
              </w:rPr>
            </w:pPr>
            <w:r>
              <w:rPr>
                <w:rFonts w:hint="eastAsia" w:ascii="宋体" w:hAnsi="宋体"/>
                <w:color w:val="auto"/>
                <w:sz w:val="24"/>
                <w:szCs w:val="24"/>
              </w:rPr>
              <w:t>□价格扣除比例：C2=2%（若允许合同分包）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44"/>
              </w:numPr>
              <w:autoSpaceDE w:val="0"/>
              <w:autoSpaceDN w:val="0"/>
              <w:spacing w:line="312" w:lineRule="auto"/>
              <w:jc w:val="center"/>
              <w:rPr>
                <w:rFonts w:ascii="宋体" w:hAnsi="宋体"/>
                <w:color w:val="auto"/>
                <w:sz w:val="24"/>
                <w:szCs w:val="24"/>
              </w:rPr>
            </w:pPr>
          </w:p>
        </w:tc>
        <w:tc>
          <w:tcPr>
            <w:tcW w:w="1179" w:type="dxa"/>
            <w:vMerge w:val="continue"/>
            <w:vAlign w:val="center"/>
          </w:tcPr>
          <w:p>
            <w:pPr>
              <w:autoSpaceDE w:val="0"/>
              <w:autoSpaceDN w:val="0"/>
              <w:spacing w:line="312" w:lineRule="auto"/>
              <w:jc w:val="center"/>
              <w:rPr>
                <w:rFonts w:ascii="宋体" w:hAnsi="宋体"/>
                <w:color w:val="auto"/>
                <w:sz w:val="24"/>
                <w:szCs w:val="24"/>
              </w:rPr>
            </w:pPr>
          </w:p>
        </w:tc>
        <w:tc>
          <w:tcPr>
            <w:tcW w:w="1985" w:type="dxa"/>
            <w:vMerge w:val="continue"/>
            <w:vAlign w:val="center"/>
          </w:tcPr>
          <w:p>
            <w:pPr>
              <w:autoSpaceDE w:val="0"/>
              <w:autoSpaceDN w:val="0"/>
              <w:spacing w:line="312" w:lineRule="auto"/>
              <w:rPr>
                <w:rFonts w:ascii="宋体" w:hAnsi="宋体"/>
                <w:color w:val="auto"/>
                <w:sz w:val="24"/>
                <w:szCs w:val="24"/>
              </w:rPr>
            </w:pPr>
          </w:p>
        </w:tc>
        <w:tc>
          <w:tcPr>
            <w:tcW w:w="5512" w:type="dxa"/>
            <w:vAlign w:val="center"/>
          </w:tcPr>
          <w:p>
            <w:pPr>
              <w:autoSpaceDE w:val="0"/>
              <w:autoSpaceDN w:val="0"/>
              <w:spacing w:line="312" w:lineRule="auto"/>
              <w:rPr>
                <w:rFonts w:ascii="宋体" w:hAnsi="宋体"/>
                <w:color w:val="auto"/>
                <w:sz w:val="24"/>
                <w:szCs w:val="24"/>
              </w:rPr>
            </w:pPr>
            <w:r>
              <w:rPr>
                <w:rFonts w:hint="eastAsia" w:ascii="宋体" w:hAnsi="宋体"/>
                <w:color w:val="auto"/>
                <w:sz w:val="24"/>
                <w:szCs w:val="24"/>
              </w:rPr>
              <w:t>□属于专门面向中小企业的采购项目（采购包）：</w:t>
            </w:r>
          </w:p>
          <w:p>
            <w:pPr>
              <w:autoSpaceDE w:val="0"/>
              <w:autoSpaceDN w:val="0"/>
              <w:spacing w:line="312" w:lineRule="auto"/>
              <w:rPr>
                <w:rFonts w:ascii="宋体" w:hAnsi="宋体"/>
                <w:color w:val="auto"/>
                <w:sz w:val="24"/>
                <w:szCs w:val="24"/>
              </w:rPr>
            </w:pPr>
            <w:r>
              <w:rPr>
                <w:rFonts w:hint="eastAsia" w:ascii="宋体" w:hAnsi="宋体"/>
                <w:color w:val="auto"/>
                <w:sz w:val="24"/>
                <w:szCs w:val="24"/>
              </w:rPr>
              <w:t>不再执行价格评审优惠的扶持政策。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44"/>
              </w:numPr>
              <w:autoSpaceDE w:val="0"/>
              <w:autoSpaceDN w:val="0"/>
              <w:spacing w:line="312" w:lineRule="auto"/>
              <w:jc w:val="center"/>
              <w:rPr>
                <w:rFonts w:ascii="宋体" w:hAnsi="宋体"/>
                <w:color w:val="auto"/>
                <w:sz w:val="24"/>
                <w:szCs w:val="24"/>
              </w:rPr>
            </w:pPr>
          </w:p>
        </w:tc>
        <w:tc>
          <w:tcPr>
            <w:tcW w:w="1179" w:type="dxa"/>
            <w:vMerge w:val="continue"/>
            <w:vAlign w:val="center"/>
          </w:tcPr>
          <w:p>
            <w:pPr>
              <w:autoSpaceDE w:val="0"/>
              <w:autoSpaceDN w:val="0"/>
              <w:spacing w:line="312" w:lineRule="auto"/>
              <w:jc w:val="center"/>
              <w:rPr>
                <w:rFonts w:ascii="宋体" w:hAnsi="宋体"/>
                <w:color w:val="auto"/>
                <w:sz w:val="24"/>
                <w:szCs w:val="24"/>
              </w:rPr>
            </w:pPr>
          </w:p>
        </w:tc>
        <w:tc>
          <w:tcPr>
            <w:tcW w:w="1985"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节能产品的评审优惠</w:t>
            </w:r>
          </w:p>
        </w:tc>
        <w:tc>
          <w:tcPr>
            <w:tcW w:w="5512" w:type="dxa"/>
            <w:vAlign w:val="center"/>
          </w:tcPr>
          <w:p>
            <w:pPr>
              <w:autoSpaceDE w:val="0"/>
              <w:autoSpaceDN w:val="0"/>
              <w:spacing w:line="312" w:lineRule="auto"/>
              <w:rPr>
                <w:rFonts w:ascii="宋体" w:hAnsi="宋体"/>
                <w:color w:val="auto"/>
                <w:sz w:val="24"/>
                <w:szCs w:val="24"/>
                <w:u w:val="single"/>
              </w:rPr>
            </w:pPr>
            <w:r>
              <w:rPr>
                <w:rFonts w:hint="eastAsia" w:ascii="宋体" w:hAnsi="宋体"/>
                <w:color w:val="auto"/>
                <w:sz w:val="24"/>
                <w:szCs w:val="24"/>
              </w:rPr>
              <w:t>☑价格扣除方式：扣除比例C3=</w:t>
            </w:r>
            <w:r>
              <w:rPr>
                <w:rFonts w:hint="eastAsia" w:ascii="宋体" w:hAnsi="宋体"/>
                <w:color w:val="auto"/>
                <w:sz w:val="24"/>
                <w:szCs w:val="24"/>
                <w:u w:val="single"/>
              </w:rPr>
              <w:t xml:space="preserve"> 1 </w:t>
            </w:r>
            <w:r>
              <w:rPr>
                <w:rFonts w:hint="eastAsia" w:ascii="宋体" w:hAnsi="宋体"/>
                <w:color w:val="auto"/>
                <w:sz w:val="24"/>
                <w:szCs w:val="24"/>
              </w:rPr>
              <w:t>%。</w:t>
            </w:r>
          </w:p>
          <w:p>
            <w:pPr>
              <w:autoSpaceDE w:val="0"/>
              <w:autoSpaceDN w:val="0"/>
              <w:spacing w:line="312" w:lineRule="auto"/>
              <w:rPr>
                <w:rFonts w:ascii="宋体" w:hAnsi="宋体"/>
                <w:color w:val="auto"/>
                <w:sz w:val="24"/>
                <w:szCs w:val="24"/>
              </w:rPr>
            </w:pPr>
            <w:r>
              <w:rPr>
                <w:rFonts w:hint="eastAsia" w:ascii="宋体" w:hAnsi="宋体"/>
                <w:color w:val="auto"/>
                <w:sz w:val="24"/>
                <w:szCs w:val="24"/>
              </w:rPr>
              <w:t>□技术加分方式：详见《技术评审表》。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44"/>
              </w:numPr>
              <w:autoSpaceDE w:val="0"/>
              <w:autoSpaceDN w:val="0"/>
              <w:spacing w:line="312" w:lineRule="auto"/>
              <w:jc w:val="center"/>
              <w:rPr>
                <w:rFonts w:ascii="宋体" w:hAnsi="宋体"/>
                <w:color w:val="auto"/>
                <w:sz w:val="24"/>
                <w:szCs w:val="24"/>
              </w:rPr>
            </w:pPr>
          </w:p>
        </w:tc>
        <w:tc>
          <w:tcPr>
            <w:tcW w:w="1179" w:type="dxa"/>
            <w:vMerge w:val="continue"/>
            <w:vAlign w:val="center"/>
          </w:tcPr>
          <w:p>
            <w:pPr>
              <w:autoSpaceDE w:val="0"/>
              <w:autoSpaceDN w:val="0"/>
              <w:spacing w:line="312" w:lineRule="auto"/>
              <w:jc w:val="center"/>
              <w:rPr>
                <w:rFonts w:ascii="宋体" w:hAnsi="宋体"/>
                <w:color w:val="auto"/>
                <w:sz w:val="24"/>
                <w:szCs w:val="24"/>
              </w:rPr>
            </w:pPr>
          </w:p>
        </w:tc>
        <w:tc>
          <w:tcPr>
            <w:tcW w:w="1985"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环境标志产品的评审优惠</w:t>
            </w:r>
          </w:p>
        </w:tc>
        <w:tc>
          <w:tcPr>
            <w:tcW w:w="5512" w:type="dxa"/>
            <w:vAlign w:val="center"/>
          </w:tcPr>
          <w:p>
            <w:pPr>
              <w:autoSpaceDE w:val="0"/>
              <w:autoSpaceDN w:val="0"/>
              <w:spacing w:line="312" w:lineRule="auto"/>
              <w:rPr>
                <w:rFonts w:ascii="宋体" w:hAnsi="宋体"/>
                <w:color w:val="auto"/>
                <w:sz w:val="24"/>
                <w:szCs w:val="24"/>
                <w:u w:val="single"/>
              </w:rPr>
            </w:pPr>
            <w:r>
              <w:rPr>
                <w:rFonts w:hint="eastAsia" w:ascii="宋体" w:hAnsi="宋体"/>
                <w:color w:val="auto"/>
                <w:sz w:val="24"/>
                <w:szCs w:val="24"/>
              </w:rPr>
              <w:t>☑价格扣除方式：扣除比例C4=</w:t>
            </w:r>
            <w:r>
              <w:rPr>
                <w:rFonts w:hint="eastAsia" w:ascii="宋体" w:hAnsi="宋体"/>
                <w:color w:val="auto"/>
                <w:sz w:val="24"/>
                <w:szCs w:val="24"/>
                <w:u w:val="single"/>
              </w:rPr>
              <w:t xml:space="preserve"> 1 </w:t>
            </w:r>
            <w:r>
              <w:rPr>
                <w:rFonts w:hint="eastAsia" w:ascii="宋体" w:hAnsi="宋体"/>
                <w:color w:val="auto"/>
                <w:sz w:val="24"/>
                <w:szCs w:val="24"/>
              </w:rPr>
              <w:t>%。</w:t>
            </w:r>
          </w:p>
          <w:p>
            <w:pPr>
              <w:autoSpaceDE w:val="0"/>
              <w:autoSpaceDN w:val="0"/>
              <w:spacing w:line="312" w:lineRule="auto"/>
              <w:rPr>
                <w:rFonts w:ascii="宋体" w:hAnsi="宋体"/>
                <w:color w:val="auto"/>
                <w:sz w:val="24"/>
                <w:szCs w:val="24"/>
              </w:rPr>
            </w:pPr>
            <w:r>
              <w:rPr>
                <w:rFonts w:hint="eastAsia" w:ascii="宋体" w:hAnsi="宋体"/>
                <w:color w:val="auto"/>
                <w:sz w:val="24"/>
                <w:szCs w:val="24"/>
              </w:rPr>
              <w:t>□技术加分方式：详见《技术评审表》。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44"/>
              </w:numPr>
              <w:autoSpaceDE w:val="0"/>
              <w:autoSpaceDN w:val="0"/>
              <w:spacing w:line="312" w:lineRule="auto"/>
              <w:jc w:val="center"/>
              <w:rPr>
                <w:rFonts w:ascii="宋体" w:hAnsi="宋体"/>
                <w:color w:val="auto"/>
                <w:sz w:val="24"/>
                <w:szCs w:val="24"/>
              </w:rPr>
            </w:pPr>
          </w:p>
        </w:tc>
        <w:tc>
          <w:tcPr>
            <w:tcW w:w="1179"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9.1.2；9.2.2</w:t>
            </w:r>
          </w:p>
        </w:tc>
        <w:tc>
          <w:tcPr>
            <w:tcW w:w="1985"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核心产品</w:t>
            </w:r>
          </w:p>
        </w:tc>
        <w:tc>
          <w:tcPr>
            <w:tcW w:w="5512" w:type="dxa"/>
            <w:vAlign w:val="center"/>
          </w:tcPr>
          <w:p>
            <w:pPr>
              <w:autoSpaceDE w:val="0"/>
              <w:autoSpaceDN w:val="0"/>
              <w:spacing w:line="312" w:lineRule="auto"/>
              <w:rPr>
                <w:rFonts w:ascii="宋体" w:hAnsi="宋体"/>
                <w:color w:val="auto"/>
                <w:sz w:val="24"/>
                <w:szCs w:val="24"/>
              </w:rPr>
            </w:pPr>
            <w:r>
              <w:rPr>
                <w:rFonts w:hint="eastAsia" w:ascii="宋体" w:hAnsi="宋体"/>
                <w:color w:val="auto"/>
                <w:sz w:val="24"/>
                <w:szCs w:val="24"/>
              </w:rPr>
              <w:t>□本项目为单一产品采购项目。</w:t>
            </w:r>
          </w:p>
          <w:p>
            <w:pPr>
              <w:autoSpaceDE w:val="0"/>
              <w:autoSpaceDN w:val="0"/>
              <w:spacing w:line="312" w:lineRule="auto"/>
              <w:rPr>
                <w:rFonts w:ascii="宋体" w:hAnsi="宋体"/>
                <w:color w:val="auto"/>
                <w:sz w:val="24"/>
                <w:szCs w:val="24"/>
              </w:rPr>
            </w:pPr>
            <w:r>
              <w:rPr>
                <w:rFonts w:hint="eastAsia" w:ascii="宋体" w:hAnsi="宋体"/>
                <w:color w:val="auto"/>
                <w:sz w:val="24"/>
                <w:szCs w:val="24"/>
              </w:rPr>
              <w:t>☑本项目为非单一产品采购项目。核心产品：</w:t>
            </w:r>
            <w:r>
              <w:rPr>
                <w:rFonts w:hint="eastAsia" w:ascii="宋体" w:hAnsi="宋体"/>
                <w:color w:val="auto"/>
                <w:sz w:val="24"/>
                <w:szCs w:val="24"/>
                <w:u w:val="single"/>
              </w:rPr>
              <w:t>详见《采购需求》</w:t>
            </w:r>
            <w:r>
              <w:rPr>
                <w:rFonts w:hint="eastAsia" w:ascii="宋体" w:hAnsi="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723" w:type="dxa"/>
            <w:vAlign w:val="center"/>
          </w:tcPr>
          <w:p>
            <w:pPr>
              <w:numPr>
                <w:ilvl w:val="0"/>
                <w:numId w:val="44"/>
              </w:numPr>
              <w:autoSpaceDE w:val="0"/>
              <w:autoSpaceDN w:val="0"/>
              <w:spacing w:line="312" w:lineRule="auto"/>
              <w:jc w:val="center"/>
              <w:rPr>
                <w:rFonts w:ascii="宋体" w:hAnsi="宋体"/>
                <w:color w:val="auto"/>
                <w:sz w:val="24"/>
                <w:szCs w:val="24"/>
              </w:rPr>
            </w:pPr>
          </w:p>
        </w:tc>
        <w:tc>
          <w:tcPr>
            <w:tcW w:w="1179"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9.3</w:t>
            </w:r>
          </w:p>
        </w:tc>
        <w:tc>
          <w:tcPr>
            <w:tcW w:w="1985"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中标候选人数量</w:t>
            </w:r>
          </w:p>
        </w:tc>
        <w:tc>
          <w:tcPr>
            <w:tcW w:w="5512" w:type="dxa"/>
            <w:vAlign w:val="center"/>
          </w:tcPr>
          <w:p>
            <w:pPr>
              <w:autoSpaceDE w:val="0"/>
              <w:autoSpaceDN w:val="0"/>
              <w:spacing w:line="312" w:lineRule="auto"/>
              <w:rPr>
                <w:rFonts w:ascii="宋体" w:hAnsi="宋体"/>
                <w:i/>
                <w:color w:val="auto"/>
                <w:sz w:val="24"/>
                <w:szCs w:val="24"/>
              </w:rPr>
            </w:pPr>
            <w:r>
              <w:rPr>
                <w:rFonts w:hint="eastAsia" w:ascii="宋体" w:hAnsi="宋体"/>
                <w:color w:val="auto"/>
                <w:sz w:val="24"/>
                <w:szCs w:val="24"/>
              </w:rPr>
              <w:t>推荐中标候选人数</w:t>
            </w:r>
            <w:r>
              <w:rPr>
                <w:rFonts w:ascii="宋体" w:hAnsi="宋体"/>
                <w:color w:val="auto"/>
                <w:sz w:val="24"/>
                <w:szCs w:val="24"/>
              </w:rPr>
              <w:t>量</w:t>
            </w:r>
            <w:r>
              <w:rPr>
                <w:rFonts w:hint="eastAsia" w:ascii="宋体" w:hAnsi="宋体"/>
                <w:color w:val="auto"/>
                <w:sz w:val="24"/>
                <w:szCs w:val="24"/>
              </w:rPr>
              <w:t>：</w:t>
            </w:r>
            <w:r>
              <w:rPr>
                <w:rFonts w:hint="eastAsia" w:ascii="宋体" w:hAnsi="宋体"/>
                <w:color w:val="auto"/>
                <w:sz w:val="24"/>
                <w:szCs w:val="24"/>
                <w:u w:val="single"/>
              </w:rPr>
              <w:t xml:space="preserve"> 3 </w:t>
            </w:r>
            <w:r>
              <w:rPr>
                <w:rFonts w:hint="eastAsia" w:ascii="宋体" w:hAnsi="宋体"/>
                <w:color w:val="auto"/>
                <w:sz w:val="24"/>
                <w:szCs w:val="24"/>
              </w:rPr>
              <w:t>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723" w:type="dxa"/>
            <w:vAlign w:val="center"/>
          </w:tcPr>
          <w:p>
            <w:pPr>
              <w:numPr>
                <w:ilvl w:val="0"/>
                <w:numId w:val="44"/>
              </w:numPr>
              <w:autoSpaceDE w:val="0"/>
              <w:autoSpaceDN w:val="0"/>
              <w:spacing w:line="312" w:lineRule="auto"/>
              <w:jc w:val="center"/>
              <w:rPr>
                <w:rFonts w:ascii="宋体" w:hAnsi="宋体"/>
                <w:color w:val="auto"/>
                <w:sz w:val="24"/>
                <w:szCs w:val="24"/>
              </w:rPr>
            </w:pPr>
          </w:p>
        </w:tc>
        <w:tc>
          <w:tcPr>
            <w:tcW w:w="1179"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10.1</w:t>
            </w:r>
          </w:p>
        </w:tc>
        <w:tc>
          <w:tcPr>
            <w:tcW w:w="1985"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中标供应商数量</w:t>
            </w:r>
          </w:p>
        </w:tc>
        <w:tc>
          <w:tcPr>
            <w:tcW w:w="5512" w:type="dxa"/>
            <w:vAlign w:val="center"/>
          </w:tcPr>
          <w:p>
            <w:pPr>
              <w:autoSpaceDE w:val="0"/>
              <w:autoSpaceDN w:val="0"/>
              <w:spacing w:line="312" w:lineRule="auto"/>
              <w:rPr>
                <w:rFonts w:ascii="宋体" w:hAnsi="宋体"/>
                <w:color w:val="auto"/>
                <w:sz w:val="24"/>
                <w:szCs w:val="24"/>
              </w:rPr>
            </w:pPr>
            <w:r>
              <w:rPr>
                <w:rFonts w:hint="eastAsia" w:ascii="宋体" w:hAnsi="宋体"/>
                <w:color w:val="auto"/>
                <w:sz w:val="24"/>
                <w:szCs w:val="24"/>
              </w:rPr>
              <w:t>1名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vAlign w:val="center"/>
          </w:tcPr>
          <w:p>
            <w:pPr>
              <w:numPr>
                <w:ilvl w:val="0"/>
                <w:numId w:val="44"/>
              </w:numPr>
              <w:autoSpaceDE w:val="0"/>
              <w:autoSpaceDN w:val="0"/>
              <w:spacing w:line="312" w:lineRule="auto"/>
              <w:jc w:val="center"/>
              <w:rPr>
                <w:rFonts w:ascii="宋体" w:hAnsi="宋体"/>
                <w:color w:val="auto"/>
                <w:sz w:val="24"/>
                <w:szCs w:val="24"/>
              </w:rPr>
            </w:pPr>
          </w:p>
        </w:tc>
        <w:tc>
          <w:tcPr>
            <w:tcW w:w="1179"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12.2</w:t>
            </w:r>
          </w:p>
        </w:tc>
        <w:tc>
          <w:tcPr>
            <w:tcW w:w="1985" w:type="dxa"/>
            <w:vAlign w:val="center"/>
          </w:tcPr>
          <w:p>
            <w:pPr>
              <w:autoSpaceDE w:val="0"/>
              <w:autoSpaceDN w:val="0"/>
              <w:spacing w:line="312" w:lineRule="auto"/>
              <w:jc w:val="center"/>
              <w:rPr>
                <w:rFonts w:ascii="宋体" w:hAnsi="宋体"/>
                <w:color w:val="auto"/>
                <w:sz w:val="24"/>
                <w:szCs w:val="24"/>
              </w:rPr>
            </w:pPr>
            <w:r>
              <w:rPr>
                <w:rFonts w:hint="eastAsia" w:ascii="宋体" w:hAnsi="宋体"/>
                <w:color w:val="auto"/>
                <w:sz w:val="24"/>
                <w:szCs w:val="24"/>
              </w:rPr>
              <w:t>如本项目属于专门面向中小企业采购项目或采购包</w:t>
            </w:r>
          </w:p>
        </w:tc>
        <w:tc>
          <w:tcPr>
            <w:tcW w:w="5512" w:type="dxa"/>
            <w:vAlign w:val="center"/>
          </w:tcPr>
          <w:p>
            <w:pPr>
              <w:spacing w:line="312" w:lineRule="auto"/>
              <w:rPr>
                <w:rFonts w:ascii="宋体" w:hAnsi="宋体"/>
                <w:color w:val="auto"/>
                <w:sz w:val="24"/>
                <w:szCs w:val="24"/>
              </w:rPr>
            </w:pPr>
            <w:r>
              <w:rPr>
                <w:rFonts w:hint="eastAsia" w:ascii="宋体" w:hAnsi="宋体"/>
                <w:color w:val="auto"/>
                <w:sz w:val="24"/>
                <w:szCs w:val="24"/>
              </w:rPr>
              <w:t>根据《政府采购促进中小企业发展管理办法》（财库〔2020〕46号），预留份额的采购项目或者采购包，通过发布公告方式邀请供应商后，符合资格条件的中小企业数量不足3家的，应当中止采购活动，视同未预留份额的采购项目或者采购包，按照有关规定重新组织采购活动。</w:t>
            </w:r>
          </w:p>
        </w:tc>
      </w:tr>
    </w:tbl>
    <w:p>
      <w:pPr>
        <w:spacing w:line="360" w:lineRule="auto"/>
        <w:rPr>
          <w:rFonts w:ascii="宋体" w:hAnsi="宋体" w:cs="Arial"/>
          <w:color w:val="auto"/>
          <w:sz w:val="24"/>
          <w:szCs w:val="24"/>
        </w:rPr>
      </w:pPr>
      <w:r>
        <w:rPr>
          <w:rFonts w:hint="eastAsia" w:ascii="宋体" w:hAnsi="宋体" w:cs="Arial"/>
          <w:color w:val="auto"/>
          <w:sz w:val="24"/>
          <w:szCs w:val="24"/>
        </w:rPr>
        <w:t>附评审标准如下：</w:t>
      </w:r>
    </w:p>
    <w:p>
      <w:pPr>
        <w:spacing w:line="360" w:lineRule="auto"/>
        <w:rPr>
          <w:rFonts w:ascii="宋体" w:hAnsi="宋体" w:cs="Arial"/>
          <w:color w:val="auto"/>
          <w:sz w:val="24"/>
          <w:szCs w:val="24"/>
        </w:rPr>
      </w:pPr>
    </w:p>
    <w:p>
      <w:pPr>
        <w:pStyle w:val="5"/>
        <w:numPr>
          <w:ilvl w:val="0"/>
          <w:numId w:val="0"/>
        </w:numPr>
        <w:tabs>
          <w:tab w:val="left" w:pos="945"/>
        </w:tabs>
        <w:spacing w:before="0" w:after="0" w:line="360" w:lineRule="auto"/>
        <w:ind w:left="425" w:hanging="425"/>
        <w:rPr>
          <w:rFonts w:ascii="宋体" w:hAnsi="宋体"/>
          <w:color w:val="auto"/>
          <w:sz w:val="24"/>
          <w:szCs w:val="24"/>
        </w:rPr>
      </w:pPr>
      <w:bookmarkStart w:id="236" w:name="_Toc54335430"/>
      <w:bookmarkStart w:id="237" w:name="_Toc15326"/>
      <w:r>
        <w:rPr>
          <w:rFonts w:hint="eastAsia" w:ascii="宋体" w:hAnsi="宋体"/>
          <w:color w:val="auto"/>
          <w:sz w:val="24"/>
          <w:szCs w:val="24"/>
        </w:rPr>
        <w:t>附表1：资格审查表</w:t>
      </w:r>
      <w:bookmarkEnd w:id="236"/>
      <w:bookmarkEnd w:id="237"/>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6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01" w:type="dxa"/>
          </w:tcPr>
          <w:p>
            <w:pPr>
              <w:autoSpaceDE w:val="0"/>
              <w:autoSpaceDN w:val="0"/>
              <w:spacing w:line="288" w:lineRule="auto"/>
              <w:jc w:val="center"/>
              <w:rPr>
                <w:rFonts w:ascii="宋体" w:hAnsi="宋体"/>
                <w:b/>
                <w:color w:val="auto"/>
                <w:sz w:val="24"/>
                <w:szCs w:val="24"/>
              </w:rPr>
            </w:pPr>
            <w:r>
              <w:rPr>
                <w:rFonts w:hint="eastAsia" w:ascii="宋体" w:hAnsi="宋体"/>
                <w:b/>
                <w:color w:val="auto"/>
                <w:sz w:val="24"/>
                <w:szCs w:val="24"/>
              </w:rPr>
              <w:t>审查项目</w:t>
            </w:r>
          </w:p>
        </w:tc>
        <w:tc>
          <w:tcPr>
            <w:tcW w:w="6524" w:type="dxa"/>
            <w:vAlign w:val="center"/>
          </w:tcPr>
          <w:p>
            <w:pPr>
              <w:autoSpaceDE w:val="0"/>
              <w:autoSpaceDN w:val="0"/>
              <w:spacing w:line="288" w:lineRule="auto"/>
              <w:jc w:val="center"/>
              <w:rPr>
                <w:rFonts w:ascii="宋体" w:hAnsi="宋体"/>
                <w:b/>
                <w:color w:val="auto"/>
                <w:sz w:val="24"/>
                <w:szCs w:val="24"/>
              </w:rPr>
            </w:pPr>
            <w:r>
              <w:rPr>
                <w:rFonts w:hint="eastAsia" w:ascii="宋体" w:hAnsi="宋体"/>
                <w:b/>
                <w:color w:val="auto"/>
                <w:sz w:val="24"/>
                <w:szCs w:val="24"/>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pPr>
              <w:autoSpaceDE w:val="0"/>
              <w:autoSpaceDN w:val="0"/>
              <w:spacing w:line="288" w:lineRule="auto"/>
              <w:jc w:val="center"/>
              <w:rPr>
                <w:rFonts w:ascii="宋体" w:hAnsi="宋体"/>
                <w:color w:val="auto"/>
                <w:sz w:val="24"/>
                <w:szCs w:val="24"/>
              </w:rPr>
            </w:pPr>
            <w:r>
              <w:rPr>
                <w:rFonts w:hint="eastAsia" w:ascii="宋体" w:hAnsi="宋体"/>
                <w:color w:val="auto"/>
                <w:sz w:val="24"/>
                <w:szCs w:val="24"/>
              </w:rPr>
              <w:t>资格性审查</w:t>
            </w:r>
          </w:p>
        </w:tc>
        <w:tc>
          <w:tcPr>
            <w:tcW w:w="6524" w:type="dxa"/>
            <w:vAlign w:val="center"/>
          </w:tcPr>
          <w:p>
            <w:pPr>
              <w:spacing w:line="360" w:lineRule="auto"/>
              <w:rPr>
                <w:rFonts w:ascii="宋体" w:hAnsi="宋体"/>
                <w:color w:val="auto"/>
                <w:sz w:val="24"/>
                <w:szCs w:val="24"/>
              </w:rPr>
            </w:pPr>
            <w:r>
              <w:rPr>
                <w:rFonts w:hint="eastAsia" w:ascii="宋体" w:hAnsi="宋体"/>
                <w:color w:val="auto"/>
                <w:sz w:val="24"/>
                <w:szCs w:val="24"/>
              </w:rPr>
              <w:t>与本项目招标公告及本文件《投标邀请》中供应商的资格要求一致（</w:t>
            </w:r>
            <w:r>
              <w:rPr>
                <w:rFonts w:hint="eastAsia" w:ascii="宋体" w:hAnsi="宋体" w:cs="宋体"/>
                <w:color w:val="auto"/>
                <w:sz w:val="24"/>
                <w:szCs w:val="24"/>
              </w:rPr>
              <w:t>如有不一致的，以招标公告发布的内容为准</w:t>
            </w:r>
            <w:r>
              <w:rPr>
                <w:rFonts w:hint="eastAsia" w:ascii="宋体" w:hAnsi="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pPr>
              <w:autoSpaceDE w:val="0"/>
              <w:autoSpaceDN w:val="0"/>
              <w:spacing w:line="288" w:lineRule="auto"/>
              <w:jc w:val="center"/>
              <w:rPr>
                <w:rFonts w:ascii="宋体" w:hAnsi="宋体"/>
                <w:color w:val="auto"/>
                <w:sz w:val="24"/>
                <w:szCs w:val="24"/>
              </w:rPr>
            </w:pPr>
            <w:r>
              <w:rPr>
                <w:rFonts w:hint="eastAsia" w:ascii="宋体" w:hAnsi="宋体"/>
                <w:color w:val="auto"/>
                <w:sz w:val="24"/>
                <w:szCs w:val="24"/>
              </w:rPr>
              <w:t>结论</w:t>
            </w:r>
          </w:p>
        </w:tc>
        <w:tc>
          <w:tcPr>
            <w:tcW w:w="6524" w:type="dxa"/>
            <w:vAlign w:val="center"/>
          </w:tcPr>
          <w:p>
            <w:pPr>
              <w:spacing w:line="360" w:lineRule="auto"/>
              <w:rPr>
                <w:rFonts w:ascii="宋体" w:hAnsi="宋体"/>
                <w:color w:val="auto"/>
                <w:sz w:val="24"/>
                <w:szCs w:val="24"/>
              </w:rPr>
            </w:pPr>
          </w:p>
        </w:tc>
      </w:tr>
    </w:tbl>
    <w:p>
      <w:pPr>
        <w:spacing w:line="360" w:lineRule="auto"/>
        <w:ind w:firstLine="480" w:firstLineChars="200"/>
        <w:rPr>
          <w:rFonts w:ascii="宋体" w:hAnsi="宋体"/>
          <w:color w:val="auto"/>
          <w:sz w:val="24"/>
          <w:szCs w:val="24"/>
        </w:rPr>
      </w:pPr>
      <w:r>
        <w:rPr>
          <w:rFonts w:hint="eastAsia" w:ascii="宋体" w:hAnsi="宋体"/>
          <w:b/>
          <w:color w:val="auto"/>
          <w:sz w:val="24"/>
          <w:szCs w:val="24"/>
        </w:rPr>
        <w:t>备注：</w:t>
      </w:r>
      <w:r>
        <w:rPr>
          <w:rFonts w:hint="eastAsia" w:ascii="宋体" w:hAnsi="宋体"/>
          <w:color w:val="auto"/>
          <w:sz w:val="24"/>
          <w:szCs w:val="24"/>
        </w:rPr>
        <w:t>资格审查时：</w:t>
      </w:r>
    </w:p>
    <w:p>
      <w:pPr>
        <w:spacing w:line="360" w:lineRule="auto"/>
        <w:ind w:firstLine="480" w:firstLineChars="200"/>
        <w:rPr>
          <w:rFonts w:ascii="宋体" w:hAnsi="宋体"/>
          <w:color w:val="auto"/>
          <w:sz w:val="24"/>
          <w:szCs w:val="24"/>
        </w:rPr>
      </w:pPr>
      <w:r>
        <w:rPr>
          <w:rFonts w:hint="eastAsia" w:ascii="宋体" w:hAnsi="宋体"/>
          <w:color w:val="auto"/>
          <w:sz w:val="24"/>
          <w:szCs w:val="24"/>
        </w:rPr>
        <w:t>1.每一项符合的打“O”，不符合的打“×”。</w:t>
      </w:r>
    </w:p>
    <w:p>
      <w:pPr>
        <w:spacing w:line="360" w:lineRule="auto"/>
        <w:ind w:firstLine="480" w:firstLineChars="200"/>
        <w:rPr>
          <w:rFonts w:ascii="宋体" w:hAnsi="宋体"/>
          <w:color w:val="auto"/>
          <w:sz w:val="24"/>
          <w:szCs w:val="24"/>
        </w:rPr>
      </w:pPr>
      <w:r>
        <w:rPr>
          <w:rFonts w:hint="eastAsia" w:ascii="宋体" w:hAnsi="宋体"/>
          <w:color w:val="auto"/>
          <w:sz w:val="24"/>
          <w:szCs w:val="24"/>
        </w:rPr>
        <w:t>2.“结论”一栏填写“通过”或“不通过”；任何一项出现“×”的，结论为不通过；不通过的为无效投标。</w:t>
      </w:r>
    </w:p>
    <w:p>
      <w:pPr>
        <w:spacing w:line="360" w:lineRule="auto"/>
        <w:ind w:firstLine="480" w:firstLineChars="200"/>
        <w:rPr>
          <w:rFonts w:ascii="宋体" w:hAnsi="宋体"/>
          <w:color w:val="auto"/>
          <w:sz w:val="24"/>
          <w:szCs w:val="24"/>
        </w:rPr>
      </w:pPr>
    </w:p>
    <w:p>
      <w:pPr>
        <w:spacing w:line="360" w:lineRule="auto"/>
        <w:ind w:firstLine="480" w:firstLineChars="200"/>
        <w:rPr>
          <w:rFonts w:ascii="宋体" w:hAnsi="宋体"/>
          <w:color w:val="auto"/>
          <w:sz w:val="24"/>
          <w:szCs w:val="24"/>
        </w:rPr>
      </w:pPr>
    </w:p>
    <w:p>
      <w:pPr>
        <w:spacing w:line="360" w:lineRule="auto"/>
        <w:ind w:firstLine="480" w:firstLineChars="200"/>
        <w:rPr>
          <w:rFonts w:ascii="宋体" w:hAnsi="宋体"/>
          <w:color w:val="auto"/>
          <w:sz w:val="24"/>
          <w:szCs w:val="24"/>
        </w:rPr>
      </w:pPr>
    </w:p>
    <w:p>
      <w:pPr>
        <w:spacing w:line="360" w:lineRule="auto"/>
        <w:ind w:firstLine="480" w:firstLineChars="200"/>
        <w:rPr>
          <w:rFonts w:ascii="宋体" w:hAnsi="宋体"/>
          <w:color w:val="auto"/>
          <w:sz w:val="24"/>
          <w:szCs w:val="24"/>
        </w:rPr>
      </w:pPr>
    </w:p>
    <w:p>
      <w:pPr>
        <w:spacing w:line="360" w:lineRule="auto"/>
        <w:ind w:firstLine="480" w:firstLineChars="200"/>
        <w:rPr>
          <w:rFonts w:ascii="宋体" w:hAnsi="宋体"/>
          <w:color w:val="auto"/>
          <w:sz w:val="24"/>
          <w:szCs w:val="24"/>
        </w:rPr>
      </w:pPr>
    </w:p>
    <w:p>
      <w:pPr>
        <w:spacing w:line="360" w:lineRule="auto"/>
        <w:ind w:firstLine="480" w:firstLineChars="200"/>
        <w:rPr>
          <w:rFonts w:ascii="宋体" w:hAnsi="宋体"/>
          <w:color w:val="auto"/>
          <w:sz w:val="24"/>
          <w:szCs w:val="24"/>
        </w:rPr>
      </w:pPr>
    </w:p>
    <w:p>
      <w:pPr>
        <w:spacing w:line="360" w:lineRule="auto"/>
        <w:ind w:firstLine="480" w:firstLineChars="200"/>
        <w:rPr>
          <w:rFonts w:ascii="宋体" w:hAnsi="宋体"/>
          <w:color w:val="auto"/>
          <w:sz w:val="24"/>
          <w:szCs w:val="24"/>
        </w:rPr>
      </w:pPr>
    </w:p>
    <w:p>
      <w:pPr>
        <w:pStyle w:val="5"/>
        <w:numPr>
          <w:ilvl w:val="0"/>
          <w:numId w:val="0"/>
        </w:numPr>
        <w:tabs>
          <w:tab w:val="left" w:pos="945"/>
        </w:tabs>
        <w:spacing w:before="0" w:after="0" w:line="360" w:lineRule="auto"/>
        <w:ind w:left="425" w:hanging="425"/>
        <w:rPr>
          <w:rFonts w:ascii="宋体" w:hAnsi="宋体"/>
          <w:color w:val="auto"/>
          <w:sz w:val="24"/>
          <w:szCs w:val="24"/>
        </w:rPr>
      </w:pPr>
      <w:bookmarkStart w:id="238" w:name="_Toc54335431"/>
      <w:bookmarkStart w:id="239" w:name="_Toc22806165"/>
      <w:r>
        <w:rPr>
          <w:rFonts w:hint="eastAsia" w:ascii="宋体" w:hAnsi="宋体"/>
          <w:color w:val="auto"/>
          <w:sz w:val="24"/>
          <w:szCs w:val="24"/>
        </w:rPr>
        <w:br w:type="page"/>
      </w:r>
      <w:bookmarkStart w:id="240" w:name="_Toc32135"/>
      <w:r>
        <w:rPr>
          <w:rFonts w:hint="eastAsia" w:ascii="宋体" w:hAnsi="宋体"/>
          <w:color w:val="auto"/>
          <w:sz w:val="24"/>
          <w:szCs w:val="24"/>
        </w:rPr>
        <w:t>附表2：符合性审查表</w:t>
      </w:r>
      <w:bookmarkEnd w:id="238"/>
      <w:bookmarkEnd w:id="239"/>
      <w:bookmarkEnd w:id="240"/>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1764"/>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62" w:type="dxa"/>
            <w:vAlign w:val="center"/>
          </w:tcPr>
          <w:p>
            <w:pPr>
              <w:autoSpaceDE w:val="0"/>
              <w:autoSpaceDN w:val="0"/>
              <w:jc w:val="center"/>
              <w:rPr>
                <w:rFonts w:ascii="宋体" w:hAnsi="宋体"/>
                <w:b/>
                <w:color w:val="auto"/>
                <w:sz w:val="24"/>
                <w:szCs w:val="24"/>
              </w:rPr>
            </w:pPr>
            <w:r>
              <w:rPr>
                <w:rFonts w:hint="eastAsia" w:ascii="宋体" w:hAnsi="宋体"/>
                <w:b/>
                <w:color w:val="auto"/>
                <w:sz w:val="24"/>
                <w:szCs w:val="24"/>
              </w:rPr>
              <w:t>序号</w:t>
            </w:r>
          </w:p>
        </w:tc>
        <w:tc>
          <w:tcPr>
            <w:tcW w:w="1764" w:type="dxa"/>
            <w:vAlign w:val="center"/>
          </w:tcPr>
          <w:p>
            <w:pPr>
              <w:autoSpaceDE w:val="0"/>
              <w:autoSpaceDN w:val="0"/>
              <w:jc w:val="center"/>
              <w:rPr>
                <w:rFonts w:ascii="宋体" w:hAnsi="宋体"/>
                <w:b/>
                <w:color w:val="auto"/>
                <w:sz w:val="24"/>
                <w:szCs w:val="24"/>
              </w:rPr>
            </w:pPr>
            <w:r>
              <w:rPr>
                <w:rFonts w:hint="eastAsia" w:ascii="宋体" w:hAnsi="宋体"/>
                <w:b/>
                <w:color w:val="auto"/>
                <w:sz w:val="24"/>
                <w:szCs w:val="24"/>
              </w:rPr>
              <w:t>审查项目</w:t>
            </w:r>
          </w:p>
        </w:tc>
        <w:tc>
          <w:tcPr>
            <w:tcW w:w="6237" w:type="dxa"/>
            <w:vAlign w:val="center"/>
          </w:tcPr>
          <w:p>
            <w:pPr>
              <w:autoSpaceDE w:val="0"/>
              <w:autoSpaceDN w:val="0"/>
              <w:jc w:val="center"/>
              <w:rPr>
                <w:rFonts w:ascii="宋体" w:hAnsi="宋体"/>
                <w:b/>
                <w:color w:val="auto"/>
                <w:sz w:val="24"/>
                <w:szCs w:val="24"/>
              </w:rPr>
            </w:pPr>
            <w:r>
              <w:rPr>
                <w:rFonts w:hint="eastAsia" w:ascii="宋体" w:hAnsi="宋体"/>
                <w:b/>
                <w:color w:val="auto"/>
                <w:sz w:val="24"/>
                <w:szCs w:val="24"/>
              </w:rPr>
              <w:t>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numPr>
                <w:ilvl w:val="0"/>
                <w:numId w:val="45"/>
              </w:numPr>
              <w:autoSpaceDE w:val="0"/>
              <w:autoSpaceDN w:val="0"/>
              <w:ind w:left="0" w:firstLine="0"/>
              <w:jc w:val="center"/>
              <w:rPr>
                <w:rFonts w:ascii="宋体" w:hAnsi="宋体"/>
                <w:color w:val="auto"/>
                <w:sz w:val="24"/>
                <w:szCs w:val="24"/>
              </w:rPr>
            </w:pPr>
          </w:p>
        </w:tc>
        <w:tc>
          <w:tcPr>
            <w:tcW w:w="1764" w:type="dxa"/>
            <w:vAlign w:val="center"/>
          </w:tcPr>
          <w:p>
            <w:pPr>
              <w:autoSpaceDE w:val="0"/>
              <w:autoSpaceDN w:val="0"/>
              <w:rPr>
                <w:rFonts w:ascii="宋体" w:hAnsi="宋体"/>
                <w:color w:val="auto"/>
                <w:sz w:val="24"/>
                <w:szCs w:val="24"/>
              </w:rPr>
            </w:pPr>
            <w:r>
              <w:rPr>
                <w:rFonts w:hint="eastAsia" w:ascii="宋体" w:hAnsi="宋体"/>
                <w:color w:val="auto"/>
                <w:sz w:val="24"/>
                <w:szCs w:val="24"/>
              </w:rPr>
              <w:t>投标函</w:t>
            </w:r>
          </w:p>
        </w:tc>
        <w:tc>
          <w:tcPr>
            <w:tcW w:w="6237" w:type="dxa"/>
            <w:vAlign w:val="center"/>
          </w:tcPr>
          <w:p>
            <w:pPr>
              <w:autoSpaceDE w:val="0"/>
              <w:autoSpaceDN w:val="0"/>
              <w:rPr>
                <w:rFonts w:ascii="宋体" w:hAnsi="宋体"/>
                <w:color w:val="auto"/>
                <w:sz w:val="24"/>
                <w:szCs w:val="24"/>
              </w:rPr>
            </w:pPr>
            <w:r>
              <w:rPr>
                <w:rFonts w:hint="eastAsia" w:ascii="宋体" w:hAnsi="宋体"/>
                <w:color w:val="auto"/>
                <w:sz w:val="24"/>
                <w:szCs w:val="24"/>
              </w:rPr>
              <w:t>已按规定格式编制及盖章、签署，投标有效期满足招标文件要求。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numPr>
                <w:ilvl w:val="0"/>
                <w:numId w:val="45"/>
              </w:numPr>
              <w:autoSpaceDE w:val="0"/>
              <w:autoSpaceDN w:val="0"/>
              <w:ind w:left="0" w:firstLine="0"/>
              <w:jc w:val="center"/>
              <w:rPr>
                <w:rFonts w:ascii="宋体" w:hAnsi="宋体"/>
                <w:color w:val="auto"/>
                <w:sz w:val="24"/>
                <w:szCs w:val="24"/>
              </w:rPr>
            </w:pPr>
          </w:p>
        </w:tc>
        <w:tc>
          <w:tcPr>
            <w:tcW w:w="1764" w:type="dxa"/>
            <w:vAlign w:val="center"/>
          </w:tcPr>
          <w:p>
            <w:pPr>
              <w:autoSpaceDE w:val="0"/>
              <w:autoSpaceDN w:val="0"/>
              <w:rPr>
                <w:rFonts w:ascii="宋体" w:hAnsi="宋体"/>
                <w:color w:val="auto"/>
                <w:sz w:val="24"/>
                <w:szCs w:val="24"/>
              </w:rPr>
            </w:pPr>
            <w:r>
              <w:rPr>
                <w:rFonts w:hint="eastAsia" w:ascii="宋体" w:hAnsi="宋体"/>
                <w:color w:val="auto"/>
                <w:sz w:val="24"/>
                <w:szCs w:val="24"/>
              </w:rPr>
              <w:t>授权文件（如适用）</w:t>
            </w:r>
          </w:p>
        </w:tc>
        <w:tc>
          <w:tcPr>
            <w:tcW w:w="6237" w:type="dxa"/>
            <w:vAlign w:val="center"/>
          </w:tcPr>
          <w:p>
            <w:pPr>
              <w:autoSpaceDE w:val="0"/>
              <w:autoSpaceDN w:val="0"/>
              <w:rPr>
                <w:rFonts w:ascii="宋体" w:hAnsi="宋体"/>
                <w:color w:val="auto"/>
                <w:sz w:val="24"/>
                <w:szCs w:val="24"/>
              </w:rPr>
            </w:pPr>
            <w:r>
              <w:rPr>
                <w:rFonts w:hint="eastAsia" w:ascii="宋体" w:hAnsi="宋体"/>
                <w:color w:val="auto"/>
                <w:sz w:val="24"/>
                <w:szCs w:val="24"/>
              </w:rPr>
              <w:t>法定代表人（负责人）证明书、法定代表人（负责人）授权委托书已按要求提供。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numPr>
                <w:ilvl w:val="0"/>
                <w:numId w:val="45"/>
              </w:numPr>
              <w:autoSpaceDE w:val="0"/>
              <w:autoSpaceDN w:val="0"/>
              <w:ind w:left="0" w:firstLine="0"/>
              <w:jc w:val="center"/>
              <w:rPr>
                <w:rFonts w:ascii="宋体" w:hAnsi="宋体"/>
                <w:color w:val="auto"/>
                <w:sz w:val="24"/>
                <w:szCs w:val="24"/>
              </w:rPr>
            </w:pPr>
          </w:p>
        </w:tc>
        <w:tc>
          <w:tcPr>
            <w:tcW w:w="1764" w:type="dxa"/>
            <w:vAlign w:val="center"/>
          </w:tcPr>
          <w:p>
            <w:pPr>
              <w:autoSpaceDE w:val="0"/>
              <w:autoSpaceDN w:val="0"/>
              <w:rPr>
                <w:rFonts w:ascii="宋体" w:hAnsi="宋体"/>
                <w:color w:val="auto"/>
                <w:sz w:val="24"/>
                <w:szCs w:val="24"/>
              </w:rPr>
            </w:pPr>
            <w:r>
              <w:rPr>
                <w:rFonts w:hint="eastAsia" w:ascii="宋体" w:hAnsi="宋体"/>
                <w:color w:val="auto"/>
                <w:sz w:val="24"/>
                <w:szCs w:val="24"/>
              </w:rPr>
              <w:t>投标文件内容</w:t>
            </w:r>
          </w:p>
        </w:tc>
        <w:tc>
          <w:tcPr>
            <w:tcW w:w="6237" w:type="dxa"/>
            <w:vAlign w:val="center"/>
          </w:tcPr>
          <w:p>
            <w:pPr>
              <w:autoSpaceDE w:val="0"/>
              <w:autoSpaceDN w:val="0"/>
              <w:rPr>
                <w:rFonts w:ascii="宋体" w:hAnsi="宋体"/>
                <w:color w:val="auto"/>
                <w:sz w:val="24"/>
                <w:szCs w:val="24"/>
              </w:rPr>
            </w:pPr>
            <w:r>
              <w:rPr>
                <w:rFonts w:hint="eastAsia" w:ascii="宋体" w:hAnsi="宋体"/>
                <w:color w:val="auto"/>
                <w:sz w:val="24"/>
                <w:szCs w:val="24"/>
              </w:rPr>
              <w:t>投标文件内容完整，无重大错漏，并已按招标文件要求盖章、签署。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numPr>
                <w:ilvl w:val="0"/>
                <w:numId w:val="45"/>
              </w:numPr>
              <w:autoSpaceDE w:val="0"/>
              <w:autoSpaceDN w:val="0"/>
              <w:ind w:left="0" w:firstLine="0"/>
              <w:jc w:val="center"/>
              <w:rPr>
                <w:rFonts w:ascii="宋体" w:hAnsi="宋体"/>
                <w:color w:val="auto"/>
                <w:sz w:val="24"/>
                <w:szCs w:val="24"/>
              </w:rPr>
            </w:pPr>
          </w:p>
        </w:tc>
        <w:tc>
          <w:tcPr>
            <w:tcW w:w="1764" w:type="dxa"/>
            <w:vAlign w:val="center"/>
          </w:tcPr>
          <w:p>
            <w:pPr>
              <w:autoSpaceDE w:val="0"/>
              <w:autoSpaceDN w:val="0"/>
              <w:rPr>
                <w:rFonts w:ascii="宋体" w:hAnsi="宋体"/>
                <w:color w:val="auto"/>
                <w:sz w:val="24"/>
                <w:szCs w:val="24"/>
              </w:rPr>
            </w:pPr>
            <w:r>
              <w:rPr>
                <w:rFonts w:hint="eastAsia" w:ascii="宋体" w:hAnsi="宋体"/>
                <w:color w:val="auto"/>
                <w:sz w:val="24"/>
                <w:szCs w:val="24"/>
              </w:rPr>
              <w:t>实质性要求</w:t>
            </w:r>
          </w:p>
        </w:tc>
        <w:tc>
          <w:tcPr>
            <w:tcW w:w="6237" w:type="dxa"/>
            <w:vAlign w:val="center"/>
          </w:tcPr>
          <w:p>
            <w:pPr>
              <w:autoSpaceDE w:val="0"/>
              <w:autoSpaceDN w:val="0"/>
              <w:rPr>
                <w:rFonts w:ascii="宋体" w:hAnsi="宋体"/>
                <w:color w:val="auto"/>
                <w:sz w:val="24"/>
                <w:szCs w:val="24"/>
              </w:rPr>
            </w:pPr>
            <w:r>
              <w:rPr>
                <w:rFonts w:hint="eastAsia" w:ascii="宋体" w:hAnsi="宋体"/>
                <w:color w:val="auto"/>
                <w:sz w:val="24"/>
                <w:szCs w:val="24"/>
              </w:rPr>
              <w:t>已满足招标文件实质性要求（含带★号的条款和指标）。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numPr>
                <w:ilvl w:val="0"/>
                <w:numId w:val="45"/>
              </w:numPr>
              <w:autoSpaceDE w:val="0"/>
              <w:autoSpaceDN w:val="0"/>
              <w:ind w:left="0" w:firstLine="0"/>
              <w:jc w:val="center"/>
              <w:rPr>
                <w:rFonts w:ascii="宋体" w:hAnsi="宋体"/>
                <w:color w:val="auto"/>
                <w:sz w:val="24"/>
                <w:szCs w:val="24"/>
              </w:rPr>
            </w:pPr>
          </w:p>
        </w:tc>
        <w:tc>
          <w:tcPr>
            <w:tcW w:w="1764" w:type="dxa"/>
            <w:vAlign w:val="center"/>
          </w:tcPr>
          <w:p>
            <w:pPr>
              <w:autoSpaceDE w:val="0"/>
              <w:autoSpaceDN w:val="0"/>
              <w:rPr>
                <w:rFonts w:ascii="宋体" w:hAnsi="宋体"/>
                <w:color w:val="auto"/>
                <w:sz w:val="24"/>
                <w:szCs w:val="24"/>
              </w:rPr>
            </w:pPr>
            <w:r>
              <w:rPr>
                <w:rFonts w:hint="eastAsia" w:ascii="宋体" w:hAnsi="宋体"/>
                <w:color w:val="auto"/>
                <w:sz w:val="24"/>
                <w:szCs w:val="24"/>
              </w:rPr>
              <w:t>进口产品</w:t>
            </w:r>
          </w:p>
          <w:p>
            <w:pPr>
              <w:autoSpaceDE w:val="0"/>
              <w:autoSpaceDN w:val="0"/>
              <w:rPr>
                <w:rFonts w:ascii="宋体" w:hAnsi="宋体"/>
                <w:color w:val="auto"/>
                <w:sz w:val="24"/>
                <w:szCs w:val="24"/>
              </w:rPr>
            </w:pPr>
            <w:r>
              <w:rPr>
                <w:rFonts w:hint="eastAsia" w:ascii="宋体" w:hAnsi="宋体"/>
                <w:color w:val="auto"/>
                <w:sz w:val="24"/>
                <w:szCs w:val="24"/>
              </w:rPr>
              <w:t>（如适用）</w:t>
            </w:r>
          </w:p>
        </w:tc>
        <w:tc>
          <w:tcPr>
            <w:tcW w:w="6237" w:type="dxa"/>
            <w:vAlign w:val="center"/>
          </w:tcPr>
          <w:p>
            <w:pPr>
              <w:autoSpaceDE w:val="0"/>
              <w:autoSpaceDN w:val="0"/>
              <w:rPr>
                <w:rFonts w:ascii="宋体" w:hAnsi="宋体"/>
                <w:color w:val="auto"/>
                <w:sz w:val="24"/>
                <w:szCs w:val="24"/>
              </w:rPr>
            </w:pPr>
            <w:r>
              <w:rPr>
                <w:rFonts w:hint="eastAsia" w:ascii="宋体" w:hAnsi="宋体"/>
                <w:color w:val="auto"/>
                <w:sz w:val="24"/>
                <w:szCs w:val="24"/>
              </w:rPr>
              <w:t>不允许采购进口产品的，未以进口产品投标。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numPr>
                <w:ilvl w:val="0"/>
                <w:numId w:val="45"/>
              </w:numPr>
              <w:autoSpaceDE w:val="0"/>
              <w:autoSpaceDN w:val="0"/>
              <w:ind w:left="0" w:firstLine="0"/>
              <w:jc w:val="center"/>
              <w:rPr>
                <w:rFonts w:ascii="宋体" w:hAnsi="宋体"/>
                <w:color w:val="auto"/>
                <w:sz w:val="24"/>
                <w:szCs w:val="24"/>
              </w:rPr>
            </w:pPr>
          </w:p>
        </w:tc>
        <w:tc>
          <w:tcPr>
            <w:tcW w:w="1764" w:type="dxa"/>
            <w:vAlign w:val="center"/>
          </w:tcPr>
          <w:p>
            <w:pPr>
              <w:autoSpaceDE w:val="0"/>
              <w:autoSpaceDN w:val="0"/>
              <w:rPr>
                <w:rFonts w:ascii="宋体" w:hAnsi="宋体"/>
                <w:color w:val="auto"/>
                <w:sz w:val="24"/>
                <w:szCs w:val="24"/>
              </w:rPr>
            </w:pPr>
            <w:r>
              <w:rPr>
                <w:rFonts w:hint="eastAsia" w:ascii="宋体" w:hAnsi="宋体"/>
                <w:color w:val="auto"/>
                <w:sz w:val="24"/>
                <w:szCs w:val="24"/>
              </w:rPr>
              <w:t>投标方案</w:t>
            </w:r>
          </w:p>
        </w:tc>
        <w:tc>
          <w:tcPr>
            <w:tcW w:w="6237" w:type="dxa"/>
            <w:vAlign w:val="center"/>
          </w:tcPr>
          <w:p>
            <w:pPr>
              <w:autoSpaceDE w:val="0"/>
              <w:autoSpaceDN w:val="0"/>
              <w:rPr>
                <w:rFonts w:ascii="宋体" w:hAnsi="宋体"/>
                <w:color w:val="auto"/>
                <w:sz w:val="24"/>
                <w:szCs w:val="24"/>
              </w:rPr>
            </w:pPr>
            <w:r>
              <w:rPr>
                <w:rFonts w:hint="eastAsia" w:ascii="宋体" w:hAnsi="宋体"/>
                <w:color w:val="auto"/>
                <w:sz w:val="24"/>
                <w:szCs w:val="24"/>
              </w:rPr>
              <w:t>如招标文件不接受备选方案时，投标人提供的投标方案及报价方案固定；如招标文件接受备选方案的，提交多于一个方案时已明确主选方案。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numPr>
                <w:ilvl w:val="0"/>
                <w:numId w:val="45"/>
              </w:numPr>
              <w:autoSpaceDE w:val="0"/>
              <w:autoSpaceDN w:val="0"/>
              <w:ind w:left="0" w:firstLine="0"/>
              <w:jc w:val="center"/>
              <w:rPr>
                <w:rFonts w:ascii="宋体" w:hAnsi="宋体"/>
                <w:color w:val="auto"/>
                <w:sz w:val="24"/>
                <w:szCs w:val="24"/>
              </w:rPr>
            </w:pPr>
          </w:p>
        </w:tc>
        <w:tc>
          <w:tcPr>
            <w:tcW w:w="1764" w:type="dxa"/>
            <w:vAlign w:val="center"/>
          </w:tcPr>
          <w:p>
            <w:pPr>
              <w:autoSpaceDE w:val="0"/>
              <w:autoSpaceDN w:val="0"/>
              <w:rPr>
                <w:rFonts w:ascii="宋体" w:hAnsi="宋体"/>
                <w:color w:val="auto"/>
                <w:sz w:val="24"/>
                <w:szCs w:val="24"/>
              </w:rPr>
            </w:pPr>
            <w:r>
              <w:rPr>
                <w:rFonts w:hint="eastAsia" w:ascii="宋体" w:hAnsi="宋体"/>
                <w:color w:val="auto"/>
                <w:sz w:val="24"/>
                <w:szCs w:val="24"/>
              </w:rPr>
              <w:t>投标保证金</w:t>
            </w:r>
          </w:p>
          <w:p>
            <w:pPr>
              <w:autoSpaceDE w:val="0"/>
              <w:autoSpaceDN w:val="0"/>
              <w:rPr>
                <w:rFonts w:ascii="宋体" w:hAnsi="宋体"/>
                <w:color w:val="auto"/>
                <w:sz w:val="24"/>
                <w:szCs w:val="24"/>
              </w:rPr>
            </w:pPr>
            <w:r>
              <w:rPr>
                <w:rFonts w:hint="eastAsia" w:ascii="宋体" w:hAnsi="宋体"/>
                <w:color w:val="auto"/>
                <w:sz w:val="24"/>
                <w:szCs w:val="24"/>
              </w:rPr>
              <w:t>（如适用）</w:t>
            </w:r>
          </w:p>
        </w:tc>
        <w:tc>
          <w:tcPr>
            <w:tcW w:w="6237" w:type="dxa"/>
            <w:vAlign w:val="center"/>
          </w:tcPr>
          <w:p>
            <w:pPr>
              <w:autoSpaceDE w:val="0"/>
              <w:autoSpaceDN w:val="0"/>
              <w:rPr>
                <w:rFonts w:ascii="宋体" w:hAnsi="宋体"/>
                <w:color w:val="auto"/>
                <w:sz w:val="24"/>
                <w:szCs w:val="24"/>
              </w:rPr>
            </w:pPr>
            <w:r>
              <w:rPr>
                <w:rFonts w:hint="eastAsia" w:ascii="宋体" w:hAnsi="宋体"/>
                <w:color w:val="auto"/>
                <w:sz w:val="24"/>
                <w:szCs w:val="24"/>
              </w:rPr>
              <w:t>已按招标文件要求交纳足额投标保证金。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762" w:type="dxa"/>
            <w:vAlign w:val="center"/>
          </w:tcPr>
          <w:p>
            <w:pPr>
              <w:numPr>
                <w:ilvl w:val="0"/>
                <w:numId w:val="45"/>
              </w:numPr>
              <w:autoSpaceDE w:val="0"/>
              <w:autoSpaceDN w:val="0"/>
              <w:ind w:left="0" w:firstLine="0"/>
              <w:jc w:val="center"/>
              <w:rPr>
                <w:rFonts w:ascii="宋体" w:hAnsi="宋体"/>
                <w:color w:val="auto"/>
                <w:sz w:val="24"/>
                <w:szCs w:val="24"/>
              </w:rPr>
            </w:pPr>
          </w:p>
        </w:tc>
        <w:tc>
          <w:tcPr>
            <w:tcW w:w="1764" w:type="dxa"/>
            <w:vAlign w:val="center"/>
          </w:tcPr>
          <w:p>
            <w:pPr>
              <w:autoSpaceDE w:val="0"/>
              <w:autoSpaceDN w:val="0"/>
              <w:rPr>
                <w:rFonts w:ascii="宋体" w:hAnsi="宋体"/>
                <w:color w:val="auto"/>
                <w:sz w:val="24"/>
                <w:szCs w:val="24"/>
              </w:rPr>
            </w:pPr>
            <w:r>
              <w:rPr>
                <w:rFonts w:hint="eastAsia" w:ascii="宋体" w:hAnsi="宋体"/>
                <w:color w:val="auto"/>
                <w:sz w:val="24"/>
                <w:szCs w:val="24"/>
              </w:rPr>
              <w:t>投标报价</w:t>
            </w:r>
          </w:p>
        </w:tc>
        <w:tc>
          <w:tcPr>
            <w:tcW w:w="6237" w:type="dxa"/>
            <w:vAlign w:val="center"/>
          </w:tcPr>
          <w:p>
            <w:pPr>
              <w:autoSpaceDE w:val="0"/>
              <w:autoSpaceDN w:val="0"/>
              <w:ind w:left="240" w:hanging="240" w:hangingChars="100"/>
              <w:rPr>
                <w:rFonts w:ascii="宋体" w:hAnsi="宋体"/>
                <w:color w:val="auto"/>
                <w:sz w:val="24"/>
                <w:szCs w:val="24"/>
              </w:rPr>
            </w:pPr>
            <w:r>
              <w:rPr>
                <w:rFonts w:hint="eastAsia" w:ascii="宋体" w:hAnsi="宋体"/>
                <w:color w:val="auto"/>
                <w:sz w:val="24"/>
                <w:szCs w:val="24"/>
              </w:rPr>
              <w:t>1.投标报价（含单项报价，如有要求）确定且未超过招标文件中相应的预算金额或者最高限价。</w:t>
            </w:r>
          </w:p>
          <w:p>
            <w:pPr>
              <w:autoSpaceDE w:val="0"/>
              <w:autoSpaceDN w:val="0"/>
              <w:ind w:left="240" w:hanging="240" w:hangingChars="100"/>
              <w:rPr>
                <w:rFonts w:ascii="宋体" w:hAnsi="宋体"/>
                <w:color w:val="auto"/>
                <w:sz w:val="24"/>
                <w:szCs w:val="24"/>
              </w:rPr>
            </w:pPr>
            <w:r>
              <w:rPr>
                <w:rFonts w:hint="eastAsia" w:ascii="宋体" w:hAnsi="宋体"/>
                <w:color w:val="auto"/>
                <w:sz w:val="24"/>
                <w:szCs w:val="24"/>
              </w:rPr>
              <w:t>2.投标报价中对投标标的的主体、关键内容无漏项、缺项。</w:t>
            </w:r>
          </w:p>
          <w:p>
            <w:pPr>
              <w:autoSpaceDE w:val="0"/>
              <w:autoSpaceDN w:val="0"/>
              <w:ind w:left="240" w:hanging="240" w:hangingChars="100"/>
              <w:rPr>
                <w:rFonts w:ascii="宋体" w:hAnsi="宋体" w:cs="宋体"/>
                <w:color w:val="auto"/>
                <w:sz w:val="24"/>
                <w:szCs w:val="24"/>
              </w:rPr>
            </w:pPr>
            <w:r>
              <w:rPr>
                <w:rFonts w:hint="eastAsia" w:ascii="宋体" w:hAnsi="宋体"/>
                <w:color w:val="auto"/>
                <w:sz w:val="24"/>
                <w:szCs w:val="24"/>
              </w:rPr>
              <w:t>3.如有，</w:t>
            </w:r>
            <w:r>
              <w:rPr>
                <w:rFonts w:hint="eastAsia" w:ascii="宋体" w:hAnsi="宋体" w:cs="宋体"/>
                <w:color w:val="auto"/>
                <w:sz w:val="24"/>
                <w:szCs w:val="24"/>
              </w:rPr>
              <w:t>对评标委员会按照招标文件规定修正后的投标报价，投标人按规定书面确认。</w:t>
            </w:r>
          </w:p>
          <w:p>
            <w:pPr>
              <w:autoSpaceDE w:val="0"/>
              <w:autoSpaceDN w:val="0"/>
              <w:ind w:left="240" w:hanging="240" w:hangingChars="100"/>
              <w:rPr>
                <w:rFonts w:ascii="宋体" w:hAnsi="宋体"/>
                <w:color w:val="auto"/>
                <w:sz w:val="24"/>
                <w:szCs w:val="24"/>
              </w:rPr>
            </w:pPr>
            <w:r>
              <w:rPr>
                <w:rFonts w:hint="eastAsia" w:ascii="宋体" w:hAnsi="宋体" w:cs="宋体"/>
                <w:color w:val="auto"/>
                <w:sz w:val="24"/>
                <w:szCs w:val="24"/>
              </w:rPr>
              <w:t>4.</w:t>
            </w:r>
            <w:r>
              <w:rPr>
                <w:rFonts w:hint="eastAsia" w:ascii="宋体" w:hAnsi="宋体"/>
                <w:color w:val="auto"/>
                <w:sz w:val="24"/>
                <w:szCs w:val="24"/>
              </w:rPr>
              <w:t>如评标委员会认为投标人的报价明显低于其他通过符合性审查投标人的报价，有可能影响项目质量或者不能诚信履约的，将要求其在评标现场合理的时间内提供书面说明，必要时提交相关证明材料。投标人能证明其报价合理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numPr>
                <w:ilvl w:val="0"/>
                <w:numId w:val="45"/>
              </w:numPr>
              <w:autoSpaceDE w:val="0"/>
              <w:autoSpaceDN w:val="0"/>
              <w:ind w:left="0" w:firstLine="0"/>
              <w:jc w:val="center"/>
              <w:rPr>
                <w:rFonts w:ascii="宋体" w:hAnsi="宋体"/>
                <w:color w:val="auto"/>
                <w:sz w:val="24"/>
                <w:szCs w:val="24"/>
              </w:rPr>
            </w:pPr>
          </w:p>
        </w:tc>
        <w:tc>
          <w:tcPr>
            <w:tcW w:w="1764" w:type="dxa"/>
            <w:vAlign w:val="center"/>
          </w:tcPr>
          <w:p>
            <w:pPr>
              <w:autoSpaceDE w:val="0"/>
              <w:autoSpaceDN w:val="0"/>
              <w:rPr>
                <w:rFonts w:ascii="宋体" w:hAnsi="宋体"/>
                <w:color w:val="auto"/>
                <w:sz w:val="24"/>
                <w:szCs w:val="24"/>
              </w:rPr>
            </w:pPr>
            <w:r>
              <w:rPr>
                <w:rFonts w:hint="eastAsia" w:ascii="宋体" w:hAnsi="宋体"/>
                <w:color w:val="auto"/>
                <w:sz w:val="24"/>
                <w:szCs w:val="24"/>
              </w:rPr>
              <w:t>无效情形</w:t>
            </w:r>
          </w:p>
        </w:tc>
        <w:tc>
          <w:tcPr>
            <w:tcW w:w="6237" w:type="dxa"/>
            <w:vAlign w:val="center"/>
          </w:tcPr>
          <w:p>
            <w:pPr>
              <w:autoSpaceDE w:val="0"/>
              <w:autoSpaceDN w:val="0"/>
              <w:rPr>
                <w:rFonts w:ascii="宋体" w:hAnsi="宋体"/>
                <w:color w:val="auto"/>
                <w:sz w:val="24"/>
                <w:szCs w:val="24"/>
              </w:rPr>
            </w:pPr>
            <w:r>
              <w:rPr>
                <w:rFonts w:hint="eastAsia" w:ascii="宋体" w:hAnsi="宋体" w:cs="宋体"/>
                <w:color w:val="auto"/>
                <w:sz w:val="24"/>
              </w:rPr>
              <w:t>未发现投标文件存在法律、法规和招标文件中规定的投标无效情形。（根据《投标函》第（十）点的声明情况进行评审）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dxa"/>
            <w:vAlign w:val="center"/>
          </w:tcPr>
          <w:p>
            <w:pPr>
              <w:autoSpaceDE w:val="0"/>
              <w:autoSpaceDN w:val="0"/>
              <w:rPr>
                <w:rFonts w:ascii="宋体" w:hAnsi="宋体"/>
                <w:color w:val="auto"/>
                <w:sz w:val="24"/>
                <w:szCs w:val="24"/>
              </w:rPr>
            </w:pPr>
          </w:p>
        </w:tc>
        <w:tc>
          <w:tcPr>
            <w:tcW w:w="1764" w:type="dxa"/>
            <w:vAlign w:val="center"/>
          </w:tcPr>
          <w:p>
            <w:pPr>
              <w:autoSpaceDE w:val="0"/>
              <w:autoSpaceDN w:val="0"/>
              <w:rPr>
                <w:rFonts w:ascii="宋体" w:hAnsi="宋体"/>
                <w:color w:val="auto"/>
                <w:sz w:val="24"/>
                <w:szCs w:val="24"/>
              </w:rPr>
            </w:pPr>
            <w:r>
              <w:rPr>
                <w:rFonts w:hint="eastAsia" w:ascii="宋体" w:hAnsi="宋体"/>
                <w:color w:val="auto"/>
                <w:sz w:val="24"/>
                <w:szCs w:val="24"/>
              </w:rPr>
              <w:t>结论</w:t>
            </w:r>
          </w:p>
        </w:tc>
        <w:tc>
          <w:tcPr>
            <w:tcW w:w="6237" w:type="dxa"/>
            <w:vAlign w:val="center"/>
          </w:tcPr>
          <w:p>
            <w:pPr>
              <w:autoSpaceDE w:val="0"/>
              <w:autoSpaceDN w:val="0"/>
              <w:rPr>
                <w:rFonts w:ascii="宋体" w:hAnsi="宋体"/>
                <w:color w:val="auto"/>
                <w:sz w:val="24"/>
                <w:szCs w:val="24"/>
              </w:rPr>
            </w:pPr>
          </w:p>
        </w:tc>
      </w:tr>
    </w:tbl>
    <w:p>
      <w:pPr>
        <w:autoSpaceDE w:val="0"/>
        <w:autoSpaceDN w:val="0"/>
        <w:rPr>
          <w:rFonts w:ascii="宋体" w:hAnsi="宋体"/>
          <w:color w:val="auto"/>
          <w:sz w:val="24"/>
          <w:szCs w:val="24"/>
        </w:rPr>
      </w:pPr>
      <w:r>
        <w:rPr>
          <w:rFonts w:hint="eastAsia" w:ascii="宋体" w:hAnsi="宋体"/>
          <w:b/>
          <w:color w:val="auto"/>
          <w:sz w:val="24"/>
          <w:szCs w:val="24"/>
        </w:rPr>
        <w:t>备注：</w:t>
      </w:r>
      <w:r>
        <w:rPr>
          <w:rFonts w:hint="eastAsia" w:ascii="宋体" w:hAnsi="宋体"/>
          <w:color w:val="auto"/>
          <w:sz w:val="24"/>
          <w:szCs w:val="24"/>
        </w:rPr>
        <w:t>评标委员会审查时：</w:t>
      </w:r>
    </w:p>
    <w:p>
      <w:pPr>
        <w:rPr>
          <w:rFonts w:ascii="宋体" w:hAnsi="宋体"/>
          <w:color w:val="auto"/>
          <w:sz w:val="24"/>
          <w:szCs w:val="24"/>
        </w:rPr>
      </w:pPr>
      <w:r>
        <w:rPr>
          <w:rFonts w:hint="eastAsia" w:ascii="宋体" w:hAnsi="宋体"/>
          <w:color w:val="auto"/>
          <w:sz w:val="24"/>
          <w:szCs w:val="24"/>
        </w:rPr>
        <w:t>1.每一项符合的打“○”，不符合的打“×”。</w:t>
      </w:r>
    </w:p>
    <w:p>
      <w:pPr>
        <w:autoSpaceDE w:val="0"/>
        <w:autoSpaceDN w:val="0"/>
        <w:rPr>
          <w:rFonts w:ascii="宋体" w:hAnsi="宋体"/>
          <w:color w:val="auto"/>
          <w:sz w:val="24"/>
          <w:szCs w:val="24"/>
        </w:rPr>
      </w:pPr>
      <w:r>
        <w:rPr>
          <w:rFonts w:hint="eastAsia" w:ascii="宋体" w:hAnsi="宋体"/>
          <w:color w:val="auto"/>
          <w:sz w:val="24"/>
          <w:szCs w:val="24"/>
        </w:rPr>
        <w:t>2.“结论”一栏填写“通过”或“不通过”；任何一项出现“×”的，结论为不通过；不通过的为无效投标</w:t>
      </w:r>
    </w:p>
    <w:p>
      <w:pPr>
        <w:autoSpaceDE w:val="0"/>
        <w:autoSpaceDN w:val="0"/>
        <w:rPr>
          <w:rFonts w:ascii="宋体" w:hAnsi="宋体"/>
          <w:color w:val="auto"/>
          <w:sz w:val="24"/>
          <w:szCs w:val="24"/>
        </w:rPr>
      </w:pPr>
      <w:r>
        <w:rPr>
          <w:rFonts w:hint="eastAsia" w:ascii="宋体" w:hAnsi="宋体"/>
          <w:color w:val="auto"/>
          <w:sz w:val="24"/>
          <w:szCs w:val="24"/>
        </w:rPr>
        <w:t>3.评标委员会汇总时出现不同意见的，按简单多数原则表决决定。</w:t>
      </w:r>
    </w:p>
    <w:p>
      <w:pPr>
        <w:autoSpaceDE w:val="0"/>
        <w:autoSpaceDN w:val="0"/>
        <w:rPr>
          <w:rFonts w:ascii="宋体" w:hAnsi="宋体"/>
          <w:color w:val="auto"/>
          <w:sz w:val="24"/>
          <w:szCs w:val="24"/>
        </w:rPr>
      </w:pPr>
    </w:p>
    <w:p>
      <w:pPr>
        <w:autoSpaceDE w:val="0"/>
        <w:autoSpaceDN w:val="0"/>
        <w:rPr>
          <w:rFonts w:ascii="宋体" w:hAnsi="宋体"/>
          <w:color w:val="auto"/>
          <w:sz w:val="24"/>
          <w:szCs w:val="24"/>
        </w:rPr>
      </w:pPr>
    </w:p>
    <w:p>
      <w:pPr>
        <w:autoSpaceDE w:val="0"/>
        <w:autoSpaceDN w:val="0"/>
        <w:rPr>
          <w:rFonts w:ascii="宋体" w:hAnsi="宋体"/>
          <w:color w:val="auto"/>
          <w:sz w:val="24"/>
          <w:szCs w:val="24"/>
        </w:rPr>
      </w:pPr>
    </w:p>
    <w:p>
      <w:pPr>
        <w:autoSpaceDE w:val="0"/>
        <w:autoSpaceDN w:val="0"/>
        <w:rPr>
          <w:rFonts w:ascii="宋体" w:hAnsi="宋体"/>
          <w:color w:val="auto"/>
          <w:sz w:val="24"/>
          <w:szCs w:val="24"/>
        </w:rPr>
      </w:pPr>
    </w:p>
    <w:p>
      <w:pPr>
        <w:autoSpaceDE w:val="0"/>
        <w:autoSpaceDN w:val="0"/>
        <w:rPr>
          <w:rFonts w:ascii="宋体" w:hAnsi="宋体"/>
          <w:color w:val="auto"/>
          <w:sz w:val="24"/>
          <w:szCs w:val="24"/>
        </w:rPr>
      </w:pPr>
    </w:p>
    <w:p>
      <w:pPr>
        <w:autoSpaceDE w:val="0"/>
        <w:autoSpaceDN w:val="0"/>
        <w:rPr>
          <w:rFonts w:ascii="宋体" w:hAnsi="宋体"/>
          <w:color w:val="auto"/>
          <w:sz w:val="24"/>
          <w:szCs w:val="24"/>
        </w:rPr>
      </w:pPr>
    </w:p>
    <w:p>
      <w:pPr>
        <w:autoSpaceDE w:val="0"/>
        <w:autoSpaceDN w:val="0"/>
        <w:rPr>
          <w:rFonts w:ascii="宋体" w:hAnsi="宋体"/>
          <w:color w:val="auto"/>
          <w:sz w:val="24"/>
          <w:szCs w:val="24"/>
        </w:rPr>
        <w:sectPr>
          <w:pgSz w:w="11906" w:h="16838"/>
          <w:pgMar w:top="1134" w:right="1134" w:bottom="1134" w:left="1134" w:header="567" w:footer="737" w:gutter="454"/>
          <w:pgNumType w:start="1"/>
          <w:cols w:space="720" w:num="1"/>
          <w:docGrid w:type="linesAndChars" w:linePitch="312" w:charSpace="0"/>
        </w:sectPr>
      </w:pPr>
    </w:p>
    <w:p>
      <w:pPr>
        <w:pStyle w:val="5"/>
        <w:numPr>
          <w:ilvl w:val="0"/>
          <w:numId w:val="0"/>
        </w:numPr>
        <w:tabs>
          <w:tab w:val="left" w:pos="945"/>
        </w:tabs>
        <w:spacing w:before="0" w:after="0" w:line="360" w:lineRule="auto"/>
        <w:ind w:left="425" w:hanging="425"/>
        <w:rPr>
          <w:rFonts w:ascii="宋体" w:hAnsi="宋体"/>
          <w:color w:val="auto"/>
          <w:sz w:val="24"/>
          <w:szCs w:val="24"/>
          <w:highlight w:val="none"/>
        </w:rPr>
      </w:pPr>
      <w:bookmarkStart w:id="241" w:name="_Toc54335432"/>
      <w:bookmarkStart w:id="242" w:name="_Toc22806166"/>
      <w:bookmarkStart w:id="243" w:name="_Toc2112"/>
      <w:r>
        <w:rPr>
          <w:rFonts w:hint="eastAsia" w:ascii="宋体" w:hAnsi="宋体"/>
          <w:color w:val="auto"/>
          <w:sz w:val="24"/>
          <w:szCs w:val="24"/>
          <w:highlight w:val="none"/>
        </w:rPr>
        <w:t>附表3：技术评审表</w:t>
      </w:r>
    </w:p>
    <w:tbl>
      <w:tblPr>
        <w:tblStyle w:val="29"/>
        <w:tblW w:w="14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
        <w:gridCol w:w="1277"/>
        <w:gridCol w:w="1985"/>
        <w:gridCol w:w="643"/>
        <w:gridCol w:w="2692"/>
        <w:gridCol w:w="2428"/>
        <w:gridCol w:w="2490"/>
        <w:gridCol w:w="2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419" w:type="dxa"/>
            <w:vMerge w:val="restart"/>
            <w:vAlign w:val="center"/>
          </w:tcPr>
          <w:p>
            <w:pPr>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1277" w:type="dxa"/>
            <w:vMerge w:val="restart"/>
            <w:vAlign w:val="center"/>
          </w:tcPr>
          <w:p>
            <w:pPr>
              <w:jc w:val="center"/>
              <w:rPr>
                <w:rFonts w:ascii="宋体" w:hAnsi="宋体" w:cs="宋体"/>
                <w:b/>
                <w:color w:val="auto"/>
                <w:szCs w:val="21"/>
                <w:highlight w:val="none"/>
              </w:rPr>
            </w:pPr>
            <w:r>
              <w:rPr>
                <w:rFonts w:hint="eastAsia" w:ascii="宋体" w:hAnsi="宋体" w:cs="宋体"/>
                <w:b/>
                <w:color w:val="auto"/>
                <w:szCs w:val="21"/>
                <w:highlight w:val="none"/>
              </w:rPr>
              <w:t>项目</w:t>
            </w:r>
          </w:p>
        </w:tc>
        <w:tc>
          <w:tcPr>
            <w:tcW w:w="1985" w:type="dxa"/>
            <w:vMerge w:val="restart"/>
            <w:vAlign w:val="center"/>
          </w:tcPr>
          <w:p>
            <w:pPr>
              <w:jc w:val="center"/>
              <w:rPr>
                <w:rFonts w:ascii="宋体" w:hAnsi="宋体" w:cs="宋体"/>
                <w:b/>
                <w:color w:val="auto"/>
                <w:szCs w:val="21"/>
                <w:highlight w:val="none"/>
              </w:rPr>
            </w:pPr>
            <w:r>
              <w:rPr>
                <w:rFonts w:hint="eastAsia" w:ascii="宋体" w:hAnsi="宋体" w:cs="宋体"/>
                <w:b/>
                <w:color w:val="auto"/>
                <w:szCs w:val="21"/>
                <w:highlight w:val="none"/>
              </w:rPr>
              <w:t>评审内容</w:t>
            </w:r>
          </w:p>
        </w:tc>
        <w:tc>
          <w:tcPr>
            <w:tcW w:w="643" w:type="dxa"/>
            <w:vMerge w:val="restart"/>
            <w:vAlign w:val="center"/>
          </w:tcPr>
          <w:p>
            <w:pPr>
              <w:jc w:val="center"/>
              <w:rPr>
                <w:rFonts w:ascii="宋体" w:hAnsi="宋体" w:cs="宋体"/>
                <w:b/>
                <w:color w:val="auto"/>
                <w:szCs w:val="21"/>
                <w:highlight w:val="none"/>
              </w:rPr>
            </w:pPr>
            <w:r>
              <w:rPr>
                <w:rFonts w:hint="eastAsia" w:ascii="宋体" w:hAnsi="宋体" w:cs="宋体"/>
                <w:b/>
                <w:color w:val="auto"/>
                <w:szCs w:val="21"/>
                <w:highlight w:val="none"/>
              </w:rPr>
              <w:t>分值</w:t>
            </w:r>
          </w:p>
        </w:tc>
        <w:tc>
          <w:tcPr>
            <w:tcW w:w="10485" w:type="dxa"/>
            <w:gridSpan w:val="4"/>
            <w:vAlign w:val="center"/>
          </w:tcPr>
          <w:p>
            <w:pPr>
              <w:jc w:val="center"/>
              <w:rPr>
                <w:rFonts w:ascii="宋体" w:hAnsi="宋体" w:cs="宋体"/>
                <w:b/>
                <w:color w:val="auto"/>
                <w:szCs w:val="21"/>
                <w:highlight w:val="none"/>
              </w:rPr>
            </w:pPr>
            <w:r>
              <w:rPr>
                <w:rFonts w:hint="eastAsia" w:ascii="宋体" w:hAnsi="宋体" w:cs="宋体"/>
                <w:b/>
                <w:color w:val="auto"/>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419" w:type="dxa"/>
            <w:vMerge w:val="continue"/>
            <w:vAlign w:val="center"/>
          </w:tcPr>
          <w:p>
            <w:pPr>
              <w:jc w:val="center"/>
              <w:rPr>
                <w:rFonts w:ascii="宋体" w:hAnsi="宋体" w:cs="宋体"/>
                <w:b/>
                <w:color w:val="auto"/>
                <w:szCs w:val="21"/>
                <w:highlight w:val="none"/>
              </w:rPr>
            </w:pPr>
          </w:p>
        </w:tc>
        <w:tc>
          <w:tcPr>
            <w:tcW w:w="1277" w:type="dxa"/>
            <w:vMerge w:val="continue"/>
            <w:vAlign w:val="center"/>
          </w:tcPr>
          <w:p>
            <w:pPr>
              <w:jc w:val="center"/>
              <w:rPr>
                <w:rFonts w:ascii="宋体" w:hAnsi="宋体" w:cs="宋体"/>
                <w:b/>
                <w:color w:val="auto"/>
                <w:szCs w:val="21"/>
                <w:highlight w:val="none"/>
              </w:rPr>
            </w:pPr>
          </w:p>
        </w:tc>
        <w:tc>
          <w:tcPr>
            <w:tcW w:w="1985" w:type="dxa"/>
            <w:vMerge w:val="continue"/>
            <w:vAlign w:val="center"/>
          </w:tcPr>
          <w:p>
            <w:pPr>
              <w:jc w:val="center"/>
              <w:rPr>
                <w:rFonts w:ascii="宋体" w:hAnsi="宋体" w:cs="宋体"/>
                <w:b/>
                <w:color w:val="auto"/>
                <w:szCs w:val="21"/>
                <w:highlight w:val="none"/>
              </w:rPr>
            </w:pPr>
          </w:p>
        </w:tc>
        <w:tc>
          <w:tcPr>
            <w:tcW w:w="643" w:type="dxa"/>
            <w:vMerge w:val="continue"/>
            <w:vAlign w:val="center"/>
          </w:tcPr>
          <w:p>
            <w:pPr>
              <w:jc w:val="center"/>
              <w:rPr>
                <w:rFonts w:ascii="宋体" w:hAnsi="宋体" w:cs="宋体"/>
                <w:b/>
                <w:color w:val="auto"/>
                <w:szCs w:val="21"/>
                <w:highlight w:val="none"/>
              </w:rPr>
            </w:pPr>
          </w:p>
        </w:tc>
        <w:tc>
          <w:tcPr>
            <w:tcW w:w="2692" w:type="dxa"/>
            <w:vAlign w:val="center"/>
          </w:tcPr>
          <w:p>
            <w:pPr>
              <w:jc w:val="center"/>
              <w:rPr>
                <w:rFonts w:ascii="宋体" w:hAnsi="宋体" w:cs="宋体"/>
                <w:b/>
                <w:color w:val="auto"/>
                <w:szCs w:val="21"/>
                <w:highlight w:val="none"/>
              </w:rPr>
            </w:pPr>
            <w:r>
              <w:rPr>
                <w:rFonts w:hint="eastAsia" w:ascii="宋体" w:hAnsi="宋体" w:cs="宋体"/>
                <w:b/>
                <w:color w:val="auto"/>
                <w:szCs w:val="21"/>
                <w:highlight w:val="none"/>
              </w:rPr>
              <w:t>优</w:t>
            </w:r>
          </w:p>
        </w:tc>
        <w:tc>
          <w:tcPr>
            <w:tcW w:w="2428" w:type="dxa"/>
            <w:vAlign w:val="center"/>
          </w:tcPr>
          <w:p>
            <w:pPr>
              <w:jc w:val="center"/>
              <w:rPr>
                <w:rFonts w:ascii="宋体" w:hAnsi="宋体" w:cs="宋体"/>
                <w:b/>
                <w:color w:val="auto"/>
                <w:szCs w:val="21"/>
                <w:highlight w:val="none"/>
              </w:rPr>
            </w:pPr>
            <w:r>
              <w:rPr>
                <w:rFonts w:hint="eastAsia" w:ascii="宋体" w:hAnsi="宋体" w:cs="宋体"/>
                <w:b/>
                <w:color w:val="auto"/>
                <w:szCs w:val="21"/>
                <w:highlight w:val="none"/>
              </w:rPr>
              <w:t>良</w:t>
            </w:r>
          </w:p>
        </w:tc>
        <w:tc>
          <w:tcPr>
            <w:tcW w:w="2490" w:type="dxa"/>
            <w:vAlign w:val="center"/>
          </w:tcPr>
          <w:p>
            <w:pPr>
              <w:jc w:val="center"/>
              <w:rPr>
                <w:rFonts w:ascii="宋体" w:hAnsi="宋体" w:cs="宋体"/>
                <w:b/>
                <w:color w:val="auto"/>
                <w:szCs w:val="21"/>
                <w:highlight w:val="none"/>
              </w:rPr>
            </w:pPr>
            <w:r>
              <w:rPr>
                <w:rFonts w:hint="eastAsia" w:ascii="宋体" w:hAnsi="宋体" w:cs="宋体"/>
                <w:b/>
                <w:color w:val="auto"/>
                <w:szCs w:val="21"/>
                <w:highlight w:val="none"/>
              </w:rPr>
              <w:t>中</w:t>
            </w:r>
          </w:p>
        </w:tc>
        <w:tc>
          <w:tcPr>
            <w:tcW w:w="2875" w:type="dxa"/>
            <w:vAlign w:val="center"/>
          </w:tcPr>
          <w:p>
            <w:pPr>
              <w:jc w:val="center"/>
              <w:rPr>
                <w:rFonts w:ascii="宋体" w:hAnsi="宋体" w:cs="宋体"/>
                <w:b/>
                <w:color w:val="auto"/>
                <w:szCs w:val="21"/>
                <w:highlight w:val="none"/>
              </w:rPr>
            </w:pPr>
            <w:r>
              <w:rPr>
                <w:rFonts w:hint="eastAsia" w:ascii="宋体" w:hAnsi="宋体" w:cs="宋体"/>
                <w:b/>
                <w:color w:val="auto"/>
                <w:szCs w:val="21"/>
                <w:highlight w:val="none"/>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2" w:hRule="atLeast"/>
          <w:jc w:val="center"/>
        </w:trPr>
        <w:tc>
          <w:tcPr>
            <w:tcW w:w="419" w:type="dxa"/>
            <w:vAlign w:val="center"/>
          </w:tcPr>
          <w:p>
            <w:pPr>
              <w:jc w:val="center"/>
              <w:rPr>
                <w:rFonts w:ascii="宋体" w:hAnsi="宋体" w:cs="宋体"/>
                <w:b/>
                <w:color w:val="auto"/>
                <w:szCs w:val="21"/>
                <w:highlight w:val="none"/>
              </w:rPr>
            </w:pPr>
            <w:r>
              <w:rPr>
                <w:rFonts w:hint="eastAsia" w:ascii="宋体" w:hAnsi="宋体" w:cs="宋体"/>
                <w:bCs/>
                <w:color w:val="auto"/>
                <w:szCs w:val="21"/>
                <w:highlight w:val="none"/>
              </w:rPr>
              <w:t>1</w:t>
            </w:r>
          </w:p>
        </w:tc>
        <w:tc>
          <w:tcPr>
            <w:tcW w:w="1277" w:type="dxa"/>
            <w:vAlign w:val="center"/>
          </w:tcPr>
          <w:p>
            <w:pPr>
              <w:jc w:val="center"/>
              <w:rPr>
                <w:rFonts w:ascii="宋体" w:hAnsi="宋体" w:cs="宋体"/>
                <w:b/>
                <w:color w:val="auto"/>
                <w:szCs w:val="21"/>
                <w:highlight w:val="none"/>
              </w:rPr>
            </w:pPr>
            <w:r>
              <w:rPr>
                <w:rFonts w:hint="eastAsia" w:ascii="宋体" w:hAnsi="宋体" w:cs="宋体"/>
                <w:color w:val="auto"/>
                <w:szCs w:val="21"/>
                <w:highlight w:val="none"/>
              </w:rPr>
              <w:t>“▲”号重要条款</w:t>
            </w:r>
          </w:p>
        </w:tc>
        <w:tc>
          <w:tcPr>
            <w:tcW w:w="1985"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“▲”号重要条款响应情况</w:t>
            </w:r>
          </w:p>
        </w:tc>
        <w:tc>
          <w:tcPr>
            <w:tcW w:w="643" w:type="dxa"/>
            <w:vAlign w:val="center"/>
          </w:tcPr>
          <w:p>
            <w:pPr>
              <w:jc w:val="center"/>
              <w:rPr>
                <w:rFonts w:ascii="宋体" w:hAnsi="宋体" w:cs="宋体"/>
                <w:color w:val="auto"/>
                <w:szCs w:val="21"/>
                <w:highlight w:val="none"/>
              </w:rPr>
            </w:pPr>
            <w:r>
              <w:rPr>
                <w:rFonts w:ascii="宋体" w:hAnsi="宋体" w:cs="宋体"/>
                <w:color w:val="auto"/>
                <w:szCs w:val="21"/>
                <w:highlight w:val="none"/>
              </w:rPr>
              <w:t>12.9</w:t>
            </w:r>
          </w:p>
        </w:tc>
        <w:tc>
          <w:tcPr>
            <w:tcW w:w="10485" w:type="dxa"/>
            <w:gridSpan w:val="4"/>
            <w:vAlign w:val="center"/>
          </w:tcPr>
          <w:p>
            <w:pPr>
              <w:ind w:firstLine="420" w:firstLineChars="200"/>
              <w:jc w:val="left"/>
              <w:rPr>
                <w:rFonts w:ascii="宋体" w:hAnsi="宋体" w:cs="宋体"/>
                <w:b/>
                <w:color w:val="auto"/>
                <w:szCs w:val="21"/>
                <w:highlight w:val="none"/>
              </w:rPr>
            </w:pPr>
            <w:r>
              <w:rPr>
                <w:rFonts w:hint="eastAsia" w:ascii="宋体" w:hAnsi="宋体" w:cs="宋体"/>
                <w:color w:val="auto"/>
                <w:szCs w:val="21"/>
                <w:highlight w:val="none"/>
              </w:rPr>
              <w:t>供应商对招标文件“▲”号重要条款每有一项负偏离或者无响应的扣</w:t>
            </w:r>
            <w:r>
              <w:rPr>
                <w:rFonts w:ascii="宋体" w:hAnsi="宋体" w:cs="宋体"/>
                <w:color w:val="auto"/>
                <w:szCs w:val="21"/>
                <w:highlight w:val="none"/>
              </w:rPr>
              <w:t>0.3</w:t>
            </w:r>
            <w:r>
              <w:rPr>
                <w:rFonts w:hint="eastAsia" w:ascii="宋体" w:hAnsi="宋体" w:cs="宋体"/>
                <w:color w:val="auto"/>
                <w:szCs w:val="21"/>
                <w:highlight w:val="none"/>
              </w:rPr>
              <w:t>分，本项最高得</w:t>
            </w:r>
            <w:r>
              <w:rPr>
                <w:rFonts w:ascii="宋体" w:hAnsi="宋体" w:cs="宋体"/>
                <w:color w:val="auto"/>
                <w:szCs w:val="21"/>
                <w:highlight w:val="none"/>
              </w:rPr>
              <w:t>12.9</w:t>
            </w:r>
            <w:r>
              <w:rPr>
                <w:rFonts w:hint="eastAsia" w:ascii="宋体" w:hAnsi="宋体" w:cs="宋体"/>
                <w:color w:val="auto"/>
                <w:szCs w:val="21"/>
                <w:highlight w:val="none"/>
              </w:rPr>
              <w:t>分，最低得0分。（注：发现实际响应参数与供应商提供的《偏离表》上内容不一致时，以实际响应参数为准。不提供《偏离表》或其他情况不得分。）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19"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2</w:t>
            </w:r>
          </w:p>
        </w:tc>
        <w:tc>
          <w:tcPr>
            <w:tcW w:w="1277"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投标人</w:t>
            </w:r>
            <w:r>
              <w:rPr>
                <w:rFonts w:ascii="宋体" w:hAnsi="宋体" w:cs="宋体"/>
                <w:color w:val="auto"/>
                <w:szCs w:val="21"/>
                <w:highlight w:val="none"/>
              </w:rPr>
              <w:t>依据</w:t>
            </w:r>
            <w:r>
              <w:rPr>
                <w:rFonts w:hint="eastAsia" w:ascii="宋体" w:hAnsi="宋体" w:cs="宋体"/>
                <w:color w:val="auto"/>
                <w:szCs w:val="21"/>
                <w:highlight w:val="none"/>
              </w:rPr>
              <w:t>自身实力</w:t>
            </w:r>
            <w:r>
              <w:rPr>
                <w:rFonts w:ascii="宋体" w:hAnsi="宋体" w:cs="宋体"/>
                <w:color w:val="auto"/>
                <w:szCs w:val="21"/>
                <w:highlight w:val="none"/>
              </w:rPr>
              <w:t>、</w:t>
            </w:r>
            <w:r>
              <w:rPr>
                <w:rFonts w:hint="eastAsia" w:ascii="宋体" w:hAnsi="宋体" w:cs="宋体"/>
                <w:color w:val="auto"/>
                <w:szCs w:val="21"/>
                <w:highlight w:val="none"/>
              </w:rPr>
              <w:t>过往成功</w:t>
            </w:r>
            <w:r>
              <w:rPr>
                <w:rFonts w:ascii="宋体" w:hAnsi="宋体" w:cs="宋体"/>
                <w:color w:val="auto"/>
                <w:szCs w:val="21"/>
                <w:highlight w:val="none"/>
              </w:rPr>
              <w:t>经验</w:t>
            </w:r>
            <w:r>
              <w:rPr>
                <w:rFonts w:hint="eastAsia" w:ascii="宋体" w:hAnsi="宋体" w:cs="宋体"/>
                <w:color w:val="auto"/>
                <w:szCs w:val="21"/>
                <w:highlight w:val="none"/>
              </w:rPr>
              <w:t>针对产品配置方案</w:t>
            </w:r>
            <w:r>
              <w:rPr>
                <w:rFonts w:ascii="宋体" w:hAnsi="宋体" w:cs="宋体"/>
                <w:color w:val="auto"/>
                <w:szCs w:val="21"/>
                <w:highlight w:val="none"/>
              </w:rPr>
              <w:t>介绍</w:t>
            </w:r>
          </w:p>
        </w:tc>
        <w:tc>
          <w:tcPr>
            <w:tcW w:w="1985" w:type="dxa"/>
            <w:vMerge w:val="restart"/>
            <w:vAlign w:val="center"/>
          </w:tcPr>
          <w:p>
            <w:pPr>
              <w:jc w:val="center"/>
              <w:outlineLvl w:val="1"/>
              <w:rPr>
                <w:rFonts w:ascii="宋体" w:hAnsi="宋体" w:cs="宋体"/>
                <w:color w:val="auto"/>
                <w:szCs w:val="21"/>
                <w:highlight w:val="none"/>
              </w:rPr>
            </w:pPr>
            <w:r>
              <w:rPr>
                <w:rFonts w:hint="eastAsia" w:ascii="宋体" w:hAnsi="宋体" w:cs="宋体"/>
                <w:color w:val="auto"/>
                <w:szCs w:val="21"/>
                <w:highlight w:val="none"/>
              </w:rPr>
              <w:t>根据投标人的投标文件、现场演示介绍及</w:t>
            </w:r>
            <w:r>
              <w:rPr>
                <w:rFonts w:ascii="宋体" w:hAnsi="宋体" w:cs="宋体"/>
                <w:color w:val="auto"/>
                <w:szCs w:val="21"/>
                <w:highlight w:val="none"/>
              </w:rPr>
              <w:t>问答</w:t>
            </w:r>
            <w:r>
              <w:rPr>
                <w:rFonts w:hint="eastAsia" w:ascii="宋体" w:hAnsi="宋体" w:cs="宋体"/>
                <w:color w:val="auto"/>
                <w:szCs w:val="21"/>
                <w:highlight w:val="none"/>
              </w:rPr>
              <w:t>情况</w:t>
            </w:r>
          </w:p>
          <w:p>
            <w:pPr>
              <w:jc w:val="center"/>
              <w:outlineLvl w:val="1"/>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olor w:val="auto"/>
                <w:szCs w:val="21"/>
                <w:highlight w:val="none"/>
              </w:rPr>
              <w:t>投标人</w:t>
            </w:r>
            <w:r>
              <w:rPr>
                <w:rFonts w:hint="eastAsia" w:ascii="宋体" w:hAnsi="宋体" w:cs="宋体"/>
                <w:color w:val="auto"/>
                <w:szCs w:val="21"/>
                <w:highlight w:val="none"/>
              </w:rPr>
              <w:t>现场演示介绍</w:t>
            </w:r>
            <w:r>
              <w:rPr>
                <w:rFonts w:ascii="宋体" w:hAnsi="宋体"/>
                <w:color w:val="auto"/>
                <w:szCs w:val="21"/>
                <w:highlight w:val="none"/>
              </w:rPr>
              <w:t>不得超过</w:t>
            </w:r>
            <w:r>
              <w:rPr>
                <w:rFonts w:hint="eastAsia" w:ascii="宋体" w:hAnsi="宋体"/>
                <w:color w:val="auto"/>
                <w:szCs w:val="21"/>
                <w:highlight w:val="none"/>
              </w:rPr>
              <w:t>10分钟</w:t>
            </w:r>
            <w:r>
              <w:rPr>
                <w:rFonts w:ascii="宋体" w:hAnsi="宋体"/>
                <w:color w:val="auto"/>
                <w:szCs w:val="21"/>
                <w:highlight w:val="none"/>
              </w:rPr>
              <w:t>，</w:t>
            </w:r>
            <w:r>
              <w:rPr>
                <w:rFonts w:hint="eastAsia" w:ascii="宋体" w:hAnsi="宋体"/>
                <w:color w:val="auto"/>
                <w:szCs w:val="21"/>
                <w:highlight w:val="none"/>
              </w:rPr>
              <w:t>评标</w:t>
            </w:r>
            <w:r>
              <w:rPr>
                <w:rFonts w:ascii="宋体" w:hAnsi="宋体"/>
                <w:color w:val="auto"/>
                <w:szCs w:val="21"/>
                <w:highlight w:val="none"/>
              </w:rPr>
              <w:t>委员会提问</w:t>
            </w:r>
            <w:r>
              <w:rPr>
                <w:rFonts w:hint="eastAsia" w:ascii="宋体" w:hAnsi="宋体"/>
                <w:color w:val="auto"/>
                <w:szCs w:val="21"/>
                <w:highlight w:val="none"/>
              </w:rPr>
              <w:t>回答</w:t>
            </w:r>
            <w:r>
              <w:rPr>
                <w:rFonts w:ascii="宋体" w:hAnsi="宋体"/>
                <w:color w:val="auto"/>
                <w:szCs w:val="21"/>
                <w:highlight w:val="none"/>
              </w:rPr>
              <w:t>时间约</w:t>
            </w:r>
            <w:r>
              <w:rPr>
                <w:rFonts w:hint="eastAsia" w:ascii="宋体" w:hAnsi="宋体"/>
                <w:color w:val="auto"/>
                <w:szCs w:val="21"/>
                <w:highlight w:val="none"/>
              </w:rPr>
              <w:t>5分钟</w:t>
            </w:r>
            <w:r>
              <w:rPr>
                <w:rFonts w:hint="eastAsia" w:ascii="宋体" w:hAnsi="宋体" w:cs="宋体"/>
                <w:color w:val="auto"/>
                <w:szCs w:val="21"/>
                <w:highlight w:val="none"/>
              </w:rPr>
              <w:t>）</w:t>
            </w:r>
          </w:p>
        </w:tc>
        <w:tc>
          <w:tcPr>
            <w:tcW w:w="643" w:type="dxa"/>
            <w:vAlign w:val="center"/>
          </w:tcPr>
          <w:p>
            <w:pPr>
              <w:jc w:val="center"/>
              <w:rPr>
                <w:rFonts w:ascii="宋体" w:hAnsi="宋体" w:cs="宋体"/>
                <w:color w:val="auto"/>
                <w:szCs w:val="21"/>
                <w:highlight w:val="none"/>
              </w:rPr>
            </w:pPr>
            <w:r>
              <w:rPr>
                <w:rFonts w:ascii="宋体" w:hAnsi="宋体" w:cs="宋体"/>
                <w:color w:val="auto"/>
                <w:szCs w:val="21"/>
                <w:highlight w:val="none"/>
              </w:rPr>
              <w:t>12.1</w:t>
            </w:r>
          </w:p>
        </w:tc>
        <w:tc>
          <w:tcPr>
            <w:tcW w:w="2692" w:type="dxa"/>
            <w:vAlign w:val="center"/>
          </w:tcPr>
          <w:p>
            <w:pPr>
              <w:jc w:val="left"/>
              <w:outlineLvl w:val="1"/>
              <w:rPr>
                <w:rFonts w:ascii="宋体" w:hAnsi="宋体" w:cs="宋体"/>
                <w:color w:val="auto"/>
                <w:szCs w:val="21"/>
                <w:highlight w:val="none"/>
              </w:rPr>
            </w:pPr>
            <w:r>
              <w:rPr>
                <w:rFonts w:hint="eastAsia" w:ascii="宋体" w:hAnsi="宋体" w:cs="宋体"/>
                <w:color w:val="auto"/>
                <w:szCs w:val="21"/>
                <w:highlight w:val="none"/>
              </w:rPr>
              <w:t>产品配置方案完全满足本项目要求，设备操作简易，设备的选型配置科学合理（稳定性、先进性、可靠性等方面），安装设计科学，维护便利，可操作性强的，得</w:t>
            </w:r>
            <w:r>
              <w:rPr>
                <w:rFonts w:ascii="宋体" w:hAnsi="宋体" w:cs="宋体"/>
                <w:color w:val="auto"/>
                <w:szCs w:val="21"/>
                <w:highlight w:val="none"/>
              </w:rPr>
              <w:t>12.1</w:t>
            </w:r>
            <w:r>
              <w:rPr>
                <w:rFonts w:hint="eastAsia" w:ascii="宋体" w:hAnsi="宋体" w:cs="宋体"/>
                <w:color w:val="auto"/>
                <w:szCs w:val="21"/>
                <w:highlight w:val="none"/>
              </w:rPr>
              <w:t>分。</w:t>
            </w:r>
          </w:p>
        </w:tc>
        <w:tc>
          <w:tcPr>
            <w:tcW w:w="2428" w:type="dxa"/>
            <w:vAlign w:val="center"/>
          </w:tcPr>
          <w:p>
            <w:pPr>
              <w:jc w:val="left"/>
              <w:outlineLvl w:val="1"/>
              <w:rPr>
                <w:rFonts w:ascii="宋体" w:hAnsi="宋体" w:cs="宋体"/>
                <w:color w:val="auto"/>
                <w:szCs w:val="21"/>
                <w:highlight w:val="none"/>
              </w:rPr>
            </w:pPr>
            <w:r>
              <w:rPr>
                <w:rFonts w:hint="eastAsia" w:ascii="宋体" w:hAnsi="宋体" w:cs="宋体"/>
                <w:color w:val="auto"/>
                <w:szCs w:val="21"/>
                <w:highlight w:val="none"/>
              </w:rPr>
              <w:t>产品配置方案完全满足本项目要求，设备操作简易，设备的选型配置合理（稳定性、先进性、可靠性等方面），安装设计科学的，得</w:t>
            </w:r>
            <w:r>
              <w:rPr>
                <w:rFonts w:ascii="宋体" w:hAnsi="宋体" w:cs="宋体"/>
                <w:color w:val="auto"/>
                <w:szCs w:val="21"/>
                <w:highlight w:val="none"/>
              </w:rPr>
              <w:t>7</w:t>
            </w:r>
            <w:r>
              <w:rPr>
                <w:rFonts w:hint="eastAsia" w:ascii="宋体" w:hAnsi="宋体" w:cs="宋体"/>
                <w:color w:val="auto"/>
                <w:szCs w:val="21"/>
                <w:highlight w:val="none"/>
              </w:rPr>
              <w:t>分。</w:t>
            </w:r>
          </w:p>
        </w:tc>
        <w:tc>
          <w:tcPr>
            <w:tcW w:w="2490" w:type="dxa"/>
            <w:vAlign w:val="center"/>
          </w:tcPr>
          <w:p>
            <w:pPr>
              <w:autoSpaceDN w:val="0"/>
              <w:textAlignment w:val="center"/>
              <w:rPr>
                <w:rFonts w:ascii="宋体" w:hAnsi="宋体" w:cs="宋体"/>
                <w:color w:val="auto"/>
                <w:szCs w:val="21"/>
                <w:highlight w:val="none"/>
              </w:rPr>
            </w:pPr>
            <w:r>
              <w:rPr>
                <w:rFonts w:hint="eastAsia" w:ascii="宋体" w:hAnsi="宋体" w:cs="宋体"/>
                <w:color w:val="auto"/>
                <w:szCs w:val="21"/>
                <w:highlight w:val="none"/>
              </w:rPr>
              <w:t>产品配置方案基本满足本项目要求，设备操作复杂，设备的选型配置一般（稳定性、先进性、可靠性等方面）的，得</w:t>
            </w:r>
            <w:r>
              <w:rPr>
                <w:rFonts w:ascii="宋体" w:hAnsi="宋体" w:cs="宋体"/>
                <w:color w:val="auto"/>
                <w:szCs w:val="21"/>
                <w:highlight w:val="none"/>
              </w:rPr>
              <w:t>3</w:t>
            </w:r>
            <w:r>
              <w:rPr>
                <w:rFonts w:hint="eastAsia" w:ascii="宋体" w:hAnsi="宋体" w:cs="宋体"/>
                <w:color w:val="auto"/>
                <w:szCs w:val="21"/>
                <w:highlight w:val="none"/>
              </w:rPr>
              <w:t>分；</w:t>
            </w:r>
          </w:p>
        </w:tc>
        <w:tc>
          <w:tcPr>
            <w:tcW w:w="2875" w:type="dxa"/>
            <w:vAlign w:val="center"/>
          </w:tcPr>
          <w:p>
            <w:pPr>
              <w:autoSpaceDN w:val="0"/>
              <w:textAlignment w:val="center"/>
              <w:rPr>
                <w:rFonts w:ascii="宋体" w:hAnsi="宋体" w:cs="宋体"/>
                <w:color w:val="auto"/>
                <w:szCs w:val="21"/>
                <w:highlight w:val="none"/>
              </w:rPr>
            </w:pPr>
            <w:r>
              <w:rPr>
                <w:rFonts w:hint="eastAsia" w:ascii="宋体" w:hAnsi="宋体" w:cs="宋体"/>
                <w:color w:val="auto"/>
                <w:szCs w:val="21"/>
                <w:highlight w:val="none"/>
              </w:rPr>
              <w:t>设备操作复杂，设备的选型配置差</w:t>
            </w:r>
            <w:r>
              <w:rPr>
                <w:rFonts w:hint="eastAsia" w:ascii="宋体" w:hAnsi="宋体" w:cs="宋体"/>
                <w:color w:val="auto"/>
                <w:highlight w:val="none"/>
              </w:rPr>
              <w:t>，或产品配置方案不具有合理性、可操作性，</w:t>
            </w:r>
            <w:r>
              <w:rPr>
                <w:rFonts w:hint="eastAsia" w:ascii="宋体" w:hAnsi="宋体" w:cs="宋体"/>
                <w:color w:val="auto"/>
                <w:szCs w:val="21"/>
                <w:highlight w:val="none"/>
              </w:rPr>
              <w:t>维护不便利，</w:t>
            </w:r>
            <w:r>
              <w:rPr>
                <w:rFonts w:ascii="宋体" w:hAnsi="宋体"/>
                <w:color w:val="auto"/>
                <w:szCs w:val="21"/>
                <w:highlight w:val="none"/>
              </w:rPr>
              <w:t>或未提供演示</w:t>
            </w:r>
            <w:r>
              <w:rPr>
                <w:rFonts w:hint="eastAsia" w:ascii="宋体" w:hAnsi="宋体"/>
                <w:color w:val="auto"/>
                <w:szCs w:val="21"/>
                <w:highlight w:val="none"/>
              </w:rPr>
              <w:t>介绍</w:t>
            </w:r>
            <w:r>
              <w:rPr>
                <w:rFonts w:ascii="宋体" w:hAnsi="宋体"/>
                <w:color w:val="auto"/>
                <w:szCs w:val="21"/>
                <w:highlight w:val="none"/>
              </w:rPr>
              <w:t>的</w:t>
            </w:r>
            <w:r>
              <w:rPr>
                <w:rFonts w:hint="eastAsia" w:ascii="宋体" w:hAnsi="宋体"/>
                <w:color w:val="auto"/>
                <w:szCs w:val="21"/>
                <w:highlight w:val="none"/>
              </w:rPr>
              <w:t>，得</w:t>
            </w:r>
            <w:r>
              <w:rPr>
                <w:rFonts w:ascii="宋体" w:hAnsi="宋体"/>
                <w:color w:val="auto"/>
                <w:szCs w:val="21"/>
                <w:highlight w:val="none"/>
              </w:rPr>
              <w:t>0</w:t>
            </w:r>
            <w:r>
              <w:rPr>
                <w:rFonts w:hint="eastAsia" w:ascii="宋体" w:hAnsi="宋体"/>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19"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3</w:t>
            </w:r>
          </w:p>
        </w:tc>
        <w:tc>
          <w:tcPr>
            <w:tcW w:w="1277"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货物生产</w:t>
            </w:r>
            <w:r>
              <w:rPr>
                <w:rFonts w:ascii="宋体" w:hAnsi="宋体" w:cs="宋体"/>
                <w:color w:val="auto"/>
                <w:szCs w:val="21"/>
                <w:highlight w:val="none"/>
              </w:rPr>
              <w:t>及供应保障</w:t>
            </w:r>
            <w:r>
              <w:rPr>
                <w:rFonts w:hint="eastAsia" w:ascii="宋体" w:hAnsi="宋体" w:cs="宋体"/>
                <w:color w:val="auto"/>
                <w:szCs w:val="21"/>
                <w:highlight w:val="none"/>
              </w:rPr>
              <w:t>方案</w:t>
            </w:r>
            <w:r>
              <w:rPr>
                <w:rFonts w:ascii="宋体" w:hAnsi="宋体" w:cs="宋体"/>
                <w:color w:val="auto"/>
                <w:szCs w:val="21"/>
                <w:highlight w:val="none"/>
              </w:rPr>
              <w:t>介绍</w:t>
            </w:r>
          </w:p>
        </w:tc>
        <w:tc>
          <w:tcPr>
            <w:tcW w:w="1985" w:type="dxa"/>
            <w:vMerge w:val="continue"/>
            <w:vAlign w:val="center"/>
          </w:tcPr>
          <w:p>
            <w:pPr>
              <w:jc w:val="center"/>
              <w:outlineLvl w:val="1"/>
              <w:rPr>
                <w:rFonts w:ascii="宋体" w:hAnsi="宋体" w:cs="宋体"/>
                <w:color w:val="auto"/>
                <w:szCs w:val="21"/>
                <w:highlight w:val="none"/>
              </w:rPr>
            </w:pPr>
          </w:p>
        </w:tc>
        <w:tc>
          <w:tcPr>
            <w:tcW w:w="643" w:type="dxa"/>
            <w:vAlign w:val="center"/>
          </w:tcPr>
          <w:p>
            <w:pPr>
              <w:jc w:val="center"/>
              <w:rPr>
                <w:rFonts w:ascii="宋体" w:hAnsi="宋体" w:cs="宋体"/>
                <w:color w:val="auto"/>
                <w:szCs w:val="21"/>
                <w:highlight w:val="none"/>
              </w:rPr>
            </w:pPr>
            <w:r>
              <w:rPr>
                <w:rFonts w:ascii="宋体" w:hAnsi="宋体" w:cs="宋体"/>
                <w:color w:val="auto"/>
                <w:szCs w:val="21"/>
                <w:highlight w:val="none"/>
              </w:rPr>
              <w:t>12</w:t>
            </w:r>
          </w:p>
        </w:tc>
        <w:tc>
          <w:tcPr>
            <w:tcW w:w="2692" w:type="dxa"/>
            <w:vAlign w:val="center"/>
          </w:tcPr>
          <w:p>
            <w:pPr>
              <w:jc w:val="left"/>
              <w:outlineLvl w:val="1"/>
              <w:rPr>
                <w:rFonts w:ascii="宋体" w:hAnsi="宋体" w:cs="宋体"/>
                <w:color w:val="auto"/>
                <w:szCs w:val="21"/>
                <w:highlight w:val="none"/>
              </w:rPr>
            </w:pPr>
            <w:r>
              <w:rPr>
                <w:rFonts w:hint="eastAsia" w:ascii="宋体" w:hAnsi="宋体" w:cs="宋体"/>
                <w:color w:val="auto"/>
                <w:szCs w:val="21"/>
                <w:highlight w:val="none"/>
              </w:rPr>
              <w:t>具有优秀</w:t>
            </w:r>
            <w:r>
              <w:rPr>
                <w:rFonts w:ascii="宋体" w:hAnsi="宋体" w:cs="宋体"/>
                <w:color w:val="auto"/>
                <w:szCs w:val="21"/>
                <w:highlight w:val="none"/>
              </w:rPr>
              <w:t>货物生产能力</w:t>
            </w:r>
            <w:r>
              <w:rPr>
                <w:rFonts w:hint="eastAsia" w:ascii="宋体" w:hAnsi="宋体" w:cs="宋体"/>
                <w:color w:val="auto"/>
                <w:szCs w:val="21"/>
                <w:highlight w:val="none"/>
              </w:rPr>
              <w:t>、</w:t>
            </w:r>
            <w:r>
              <w:rPr>
                <w:rFonts w:ascii="宋体" w:hAnsi="宋体" w:cs="宋体"/>
                <w:color w:val="auto"/>
                <w:szCs w:val="21"/>
                <w:highlight w:val="none"/>
              </w:rPr>
              <w:t>人员</w:t>
            </w:r>
            <w:r>
              <w:rPr>
                <w:rFonts w:hint="eastAsia" w:ascii="宋体" w:hAnsi="宋体"/>
                <w:color w:val="auto"/>
                <w:szCs w:val="21"/>
                <w:highlight w:val="none"/>
              </w:rPr>
              <w:t>技术服务队伍、成功过往</w:t>
            </w:r>
            <w:r>
              <w:rPr>
                <w:rFonts w:ascii="宋体" w:hAnsi="宋体"/>
                <w:color w:val="auto"/>
                <w:szCs w:val="21"/>
                <w:highlight w:val="none"/>
              </w:rPr>
              <w:t>案例</w:t>
            </w:r>
            <w:r>
              <w:rPr>
                <w:rFonts w:hint="eastAsia" w:ascii="宋体" w:hAnsi="宋体"/>
                <w:color w:val="auto"/>
                <w:szCs w:val="21"/>
                <w:highlight w:val="none"/>
              </w:rPr>
              <w:t>、应对</w:t>
            </w:r>
            <w:r>
              <w:rPr>
                <w:rFonts w:ascii="宋体" w:hAnsi="宋体"/>
                <w:color w:val="auto"/>
                <w:szCs w:val="21"/>
                <w:highlight w:val="none"/>
              </w:rPr>
              <w:t>疫情影响方案</w:t>
            </w:r>
            <w:r>
              <w:rPr>
                <w:rFonts w:hint="eastAsia" w:ascii="宋体" w:hAnsi="宋体"/>
                <w:color w:val="auto"/>
                <w:szCs w:val="21"/>
                <w:highlight w:val="none"/>
              </w:rPr>
              <w:t>，</w:t>
            </w:r>
            <w:r>
              <w:rPr>
                <w:rFonts w:ascii="宋体" w:hAnsi="宋体"/>
                <w:color w:val="auto"/>
                <w:szCs w:val="21"/>
                <w:highlight w:val="none"/>
              </w:rPr>
              <w:t>能</w:t>
            </w:r>
            <w:r>
              <w:rPr>
                <w:rFonts w:hint="eastAsia" w:ascii="宋体" w:hAnsi="宋体"/>
                <w:color w:val="auto"/>
                <w:szCs w:val="21"/>
                <w:highlight w:val="none"/>
              </w:rPr>
              <w:t>体现在</w:t>
            </w:r>
            <w:r>
              <w:rPr>
                <w:rFonts w:hint="eastAsia"/>
                <w:color w:val="auto"/>
                <w:highlight w:val="none"/>
              </w:rPr>
              <w:t>承诺的交货期内</w:t>
            </w:r>
            <w:r>
              <w:rPr>
                <w:rFonts w:hint="eastAsia" w:ascii="宋体" w:hAnsi="宋体"/>
                <w:color w:val="auto"/>
                <w:szCs w:val="21"/>
                <w:highlight w:val="none"/>
              </w:rPr>
              <w:t>有足</w:t>
            </w:r>
            <w:r>
              <w:rPr>
                <w:rFonts w:ascii="宋体" w:hAnsi="宋体"/>
                <w:color w:val="auto"/>
                <w:szCs w:val="21"/>
                <w:highlight w:val="none"/>
              </w:rPr>
              <w:t>够</w:t>
            </w:r>
            <w:r>
              <w:rPr>
                <w:rFonts w:hint="eastAsia" w:ascii="宋体" w:hAnsi="宋体"/>
                <w:color w:val="auto"/>
                <w:szCs w:val="21"/>
                <w:highlight w:val="none"/>
              </w:rPr>
              <w:t>完成本</w:t>
            </w:r>
            <w:r>
              <w:rPr>
                <w:rFonts w:ascii="宋体" w:hAnsi="宋体"/>
                <w:color w:val="auto"/>
                <w:szCs w:val="21"/>
                <w:highlight w:val="none"/>
              </w:rPr>
              <w:t>项目</w:t>
            </w:r>
            <w:r>
              <w:rPr>
                <w:rFonts w:hint="eastAsia" w:ascii="宋体" w:hAnsi="宋体"/>
                <w:color w:val="auto"/>
                <w:szCs w:val="21"/>
                <w:highlight w:val="none"/>
              </w:rPr>
              <w:t>能力的，得</w:t>
            </w:r>
            <w:r>
              <w:rPr>
                <w:rFonts w:ascii="宋体" w:hAnsi="宋体"/>
                <w:color w:val="auto"/>
                <w:szCs w:val="21"/>
                <w:highlight w:val="none"/>
              </w:rPr>
              <w:t>12</w:t>
            </w:r>
            <w:r>
              <w:rPr>
                <w:rFonts w:hint="eastAsia" w:ascii="宋体" w:hAnsi="宋体"/>
                <w:color w:val="auto"/>
                <w:szCs w:val="21"/>
                <w:highlight w:val="none"/>
              </w:rPr>
              <w:t>分。</w:t>
            </w:r>
          </w:p>
        </w:tc>
        <w:tc>
          <w:tcPr>
            <w:tcW w:w="2428" w:type="dxa"/>
            <w:vAlign w:val="center"/>
          </w:tcPr>
          <w:p>
            <w:pPr>
              <w:jc w:val="left"/>
              <w:outlineLvl w:val="1"/>
              <w:rPr>
                <w:rFonts w:ascii="宋体" w:hAnsi="宋体" w:cs="宋体"/>
                <w:color w:val="auto"/>
                <w:szCs w:val="21"/>
                <w:highlight w:val="none"/>
              </w:rPr>
            </w:pPr>
            <w:r>
              <w:rPr>
                <w:rFonts w:hint="eastAsia" w:ascii="宋体" w:hAnsi="宋体" w:cs="宋体"/>
                <w:color w:val="auto"/>
                <w:szCs w:val="21"/>
                <w:highlight w:val="none"/>
              </w:rPr>
              <w:t>具有满足</w:t>
            </w:r>
            <w:r>
              <w:rPr>
                <w:rFonts w:ascii="宋体" w:hAnsi="宋体" w:cs="宋体"/>
                <w:color w:val="auto"/>
                <w:szCs w:val="21"/>
                <w:highlight w:val="none"/>
              </w:rPr>
              <w:t>货物生产能力</w:t>
            </w:r>
            <w:r>
              <w:rPr>
                <w:rFonts w:hint="eastAsia" w:ascii="宋体" w:hAnsi="宋体" w:cs="宋体"/>
                <w:color w:val="auto"/>
                <w:szCs w:val="21"/>
                <w:highlight w:val="none"/>
              </w:rPr>
              <w:t>、</w:t>
            </w:r>
            <w:r>
              <w:rPr>
                <w:rFonts w:ascii="宋体" w:hAnsi="宋体" w:cs="宋体"/>
                <w:color w:val="auto"/>
                <w:szCs w:val="21"/>
                <w:highlight w:val="none"/>
              </w:rPr>
              <w:t>人员</w:t>
            </w:r>
            <w:r>
              <w:rPr>
                <w:rFonts w:hint="eastAsia" w:ascii="宋体" w:hAnsi="宋体"/>
                <w:color w:val="auto"/>
                <w:szCs w:val="21"/>
                <w:highlight w:val="none"/>
              </w:rPr>
              <w:t>技术服务队伍、成功过往</w:t>
            </w:r>
            <w:r>
              <w:rPr>
                <w:rFonts w:ascii="宋体" w:hAnsi="宋体"/>
                <w:color w:val="auto"/>
                <w:szCs w:val="21"/>
                <w:highlight w:val="none"/>
              </w:rPr>
              <w:t>案例</w:t>
            </w:r>
            <w:r>
              <w:rPr>
                <w:rFonts w:hint="eastAsia" w:ascii="宋体" w:hAnsi="宋体"/>
                <w:color w:val="auto"/>
                <w:szCs w:val="21"/>
                <w:highlight w:val="none"/>
              </w:rPr>
              <w:t>、应对</w:t>
            </w:r>
            <w:r>
              <w:rPr>
                <w:rFonts w:ascii="宋体" w:hAnsi="宋体"/>
                <w:color w:val="auto"/>
                <w:szCs w:val="21"/>
                <w:highlight w:val="none"/>
              </w:rPr>
              <w:t>疫情影响方案</w:t>
            </w:r>
            <w:r>
              <w:rPr>
                <w:rFonts w:hint="eastAsia" w:ascii="宋体" w:hAnsi="宋体"/>
                <w:color w:val="auto"/>
                <w:szCs w:val="21"/>
                <w:highlight w:val="none"/>
              </w:rPr>
              <w:t>，基本</w:t>
            </w:r>
            <w:r>
              <w:rPr>
                <w:rFonts w:ascii="宋体" w:hAnsi="宋体"/>
                <w:color w:val="auto"/>
                <w:szCs w:val="21"/>
                <w:highlight w:val="none"/>
              </w:rPr>
              <w:t>能</w:t>
            </w:r>
            <w:r>
              <w:rPr>
                <w:rFonts w:hint="eastAsia" w:ascii="宋体" w:hAnsi="宋体"/>
                <w:color w:val="auto"/>
                <w:szCs w:val="21"/>
                <w:highlight w:val="none"/>
              </w:rPr>
              <w:t>体现在</w:t>
            </w:r>
            <w:r>
              <w:rPr>
                <w:rFonts w:hint="eastAsia"/>
                <w:color w:val="auto"/>
                <w:highlight w:val="none"/>
              </w:rPr>
              <w:t>承诺的交货期内</w:t>
            </w:r>
            <w:r>
              <w:rPr>
                <w:rFonts w:hint="eastAsia" w:ascii="宋体" w:hAnsi="宋体"/>
                <w:color w:val="auto"/>
                <w:szCs w:val="21"/>
                <w:highlight w:val="none"/>
              </w:rPr>
              <w:t>有足</w:t>
            </w:r>
            <w:r>
              <w:rPr>
                <w:rFonts w:ascii="宋体" w:hAnsi="宋体"/>
                <w:color w:val="auto"/>
                <w:szCs w:val="21"/>
                <w:highlight w:val="none"/>
              </w:rPr>
              <w:t>够</w:t>
            </w:r>
            <w:r>
              <w:rPr>
                <w:rFonts w:hint="eastAsia" w:ascii="宋体" w:hAnsi="宋体"/>
                <w:color w:val="auto"/>
                <w:szCs w:val="21"/>
                <w:highlight w:val="none"/>
              </w:rPr>
              <w:t>完成本项目能力的，得</w:t>
            </w:r>
            <w:r>
              <w:rPr>
                <w:rFonts w:ascii="宋体" w:hAnsi="宋体"/>
                <w:color w:val="auto"/>
                <w:szCs w:val="21"/>
                <w:highlight w:val="none"/>
              </w:rPr>
              <w:t>7</w:t>
            </w:r>
            <w:r>
              <w:rPr>
                <w:rFonts w:hint="eastAsia" w:ascii="宋体" w:hAnsi="宋体"/>
                <w:color w:val="auto"/>
                <w:szCs w:val="21"/>
                <w:highlight w:val="none"/>
              </w:rPr>
              <w:t>分。</w:t>
            </w:r>
          </w:p>
        </w:tc>
        <w:tc>
          <w:tcPr>
            <w:tcW w:w="2490" w:type="dxa"/>
            <w:vAlign w:val="center"/>
          </w:tcPr>
          <w:p>
            <w:pPr>
              <w:autoSpaceDN w:val="0"/>
              <w:jc w:val="left"/>
              <w:textAlignment w:val="center"/>
              <w:rPr>
                <w:rFonts w:ascii="宋体" w:hAnsi="宋体" w:cs="宋体"/>
                <w:color w:val="auto"/>
                <w:szCs w:val="21"/>
                <w:highlight w:val="none"/>
              </w:rPr>
            </w:pPr>
            <w:r>
              <w:rPr>
                <w:rFonts w:hint="eastAsia" w:ascii="宋体" w:hAnsi="宋体" w:cs="宋体"/>
                <w:color w:val="auto"/>
                <w:szCs w:val="21"/>
                <w:highlight w:val="none"/>
              </w:rPr>
              <w:t>具有基本满足</w:t>
            </w:r>
            <w:r>
              <w:rPr>
                <w:rFonts w:ascii="宋体" w:hAnsi="宋体" w:cs="宋体"/>
                <w:color w:val="auto"/>
                <w:szCs w:val="21"/>
                <w:highlight w:val="none"/>
              </w:rPr>
              <w:t>货物生产能力</w:t>
            </w:r>
            <w:r>
              <w:rPr>
                <w:rFonts w:hint="eastAsia" w:ascii="宋体" w:hAnsi="宋体" w:cs="宋体"/>
                <w:color w:val="auto"/>
                <w:szCs w:val="21"/>
                <w:highlight w:val="none"/>
              </w:rPr>
              <w:t>、</w:t>
            </w:r>
            <w:r>
              <w:rPr>
                <w:rFonts w:ascii="宋体" w:hAnsi="宋体" w:cs="宋体"/>
                <w:color w:val="auto"/>
                <w:szCs w:val="21"/>
                <w:highlight w:val="none"/>
              </w:rPr>
              <w:t>人员</w:t>
            </w:r>
            <w:r>
              <w:rPr>
                <w:rFonts w:hint="eastAsia" w:ascii="宋体" w:hAnsi="宋体"/>
                <w:color w:val="auto"/>
                <w:szCs w:val="21"/>
                <w:highlight w:val="none"/>
              </w:rPr>
              <w:t>技术服务队伍、成功过往</w:t>
            </w:r>
            <w:r>
              <w:rPr>
                <w:rFonts w:ascii="宋体" w:hAnsi="宋体"/>
                <w:color w:val="auto"/>
                <w:szCs w:val="21"/>
                <w:highlight w:val="none"/>
              </w:rPr>
              <w:t>案例</w:t>
            </w:r>
            <w:r>
              <w:rPr>
                <w:rFonts w:hint="eastAsia" w:ascii="宋体" w:hAnsi="宋体"/>
                <w:color w:val="auto"/>
                <w:szCs w:val="21"/>
                <w:highlight w:val="none"/>
              </w:rPr>
              <w:t>、应对</w:t>
            </w:r>
            <w:r>
              <w:rPr>
                <w:rFonts w:ascii="宋体" w:hAnsi="宋体"/>
                <w:color w:val="auto"/>
                <w:szCs w:val="21"/>
                <w:highlight w:val="none"/>
              </w:rPr>
              <w:t>疫情影响方案</w:t>
            </w:r>
            <w:r>
              <w:rPr>
                <w:rFonts w:hint="eastAsia" w:ascii="宋体" w:hAnsi="宋体"/>
                <w:color w:val="auto"/>
                <w:szCs w:val="21"/>
                <w:highlight w:val="none"/>
              </w:rPr>
              <w:t>，未能</w:t>
            </w:r>
            <w:r>
              <w:rPr>
                <w:rFonts w:ascii="宋体" w:hAnsi="宋体"/>
                <w:color w:val="auto"/>
                <w:szCs w:val="21"/>
                <w:highlight w:val="none"/>
              </w:rPr>
              <w:t>完全</w:t>
            </w:r>
            <w:r>
              <w:rPr>
                <w:rFonts w:hint="eastAsia" w:ascii="宋体" w:hAnsi="宋体"/>
                <w:color w:val="auto"/>
                <w:szCs w:val="21"/>
                <w:highlight w:val="none"/>
              </w:rPr>
              <w:t>体现在</w:t>
            </w:r>
            <w:r>
              <w:rPr>
                <w:rFonts w:hint="eastAsia"/>
                <w:color w:val="auto"/>
                <w:highlight w:val="none"/>
              </w:rPr>
              <w:t>承诺的交货期内</w:t>
            </w:r>
            <w:r>
              <w:rPr>
                <w:rFonts w:hint="eastAsia" w:ascii="宋体" w:hAnsi="宋体"/>
                <w:color w:val="auto"/>
                <w:szCs w:val="21"/>
                <w:highlight w:val="none"/>
              </w:rPr>
              <w:t>有足</w:t>
            </w:r>
            <w:r>
              <w:rPr>
                <w:rFonts w:ascii="宋体" w:hAnsi="宋体"/>
                <w:color w:val="auto"/>
                <w:szCs w:val="21"/>
                <w:highlight w:val="none"/>
              </w:rPr>
              <w:t>够</w:t>
            </w:r>
            <w:r>
              <w:rPr>
                <w:rFonts w:hint="eastAsia" w:ascii="宋体" w:hAnsi="宋体"/>
                <w:color w:val="auto"/>
                <w:szCs w:val="21"/>
                <w:highlight w:val="none"/>
              </w:rPr>
              <w:t>完成本</w:t>
            </w:r>
            <w:r>
              <w:rPr>
                <w:rFonts w:ascii="宋体" w:hAnsi="宋体"/>
                <w:color w:val="auto"/>
                <w:szCs w:val="21"/>
                <w:highlight w:val="none"/>
              </w:rPr>
              <w:t>项目实力</w:t>
            </w:r>
            <w:r>
              <w:rPr>
                <w:rFonts w:hint="eastAsia" w:ascii="宋体" w:hAnsi="宋体"/>
                <w:color w:val="auto"/>
                <w:szCs w:val="21"/>
                <w:highlight w:val="none"/>
              </w:rPr>
              <w:t>的，得</w:t>
            </w:r>
            <w:r>
              <w:rPr>
                <w:rFonts w:ascii="宋体" w:hAnsi="宋体"/>
                <w:color w:val="auto"/>
                <w:szCs w:val="21"/>
                <w:highlight w:val="none"/>
              </w:rPr>
              <w:t>3</w:t>
            </w:r>
            <w:r>
              <w:rPr>
                <w:rFonts w:hint="eastAsia" w:ascii="宋体" w:hAnsi="宋体"/>
                <w:color w:val="auto"/>
                <w:szCs w:val="21"/>
                <w:highlight w:val="none"/>
              </w:rPr>
              <w:t>分。</w:t>
            </w:r>
          </w:p>
        </w:tc>
        <w:tc>
          <w:tcPr>
            <w:tcW w:w="2875" w:type="dxa"/>
            <w:vAlign w:val="center"/>
          </w:tcPr>
          <w:p>
            <w:pPr>
              <w:autoSpaceDN w:val="0"/>
              <w:textAlignment w:val="center"/>
              <w:rPr>
                <w:rFonts w:ascii="宋体" w:hAnsi="宋体" w:cs="宋体"/>
                <w:color w:val="auto"/>
                <w:szCs w:val="21"/>
                <w:highlight w:val="none"/>
              </w:rPr>
            </w:pPr>
            <w:r>
              <w:rPr>
                <w:rFonts w:hint="eastAsia" w:ascii="宋体" w:hAnsi="宋体" w:cs="宋体"/>
                <w:color w:val="auto"/>
                <w:szCs w:val="21"/>
                <w:highlight w:val="none"/>
              </w:rPr>
              <w:t>不具有</w:t>
            </w:r>
            <w:r>
              <w:rPr>
                <w:rFonts w:ascii="宋体" w:hAnsi="宋体" w:cs="宋体"/>
                <w:color w:val="auto"/>
                <w:szCs w:val="21"/>
                <w:highlight w:val="none"/>
              </w:rPr>
              <w:t>货物生产能力</w:t>
            </w:r>
            <w:r>
              <w:rPr>
                <w:rFonts w:hint="eastAsia" w:ascii="宋体" w:hAnsi="宋体" w:cs="宋体"/>
                <w:color w:val="auto"/>
                <w:szCs w:val="21"/>
                <w:highlight w:val="none"/>
              </w:rPr>
              <w:t>、</w:t>
            </w:r>
            <w:r>
              <w:rPr>
                <w:rFonts w:ascii="宋体" w:hAnsi="宋体" w:cs="宋体"/>
                <w:color w:val="auto"/>
                <w:szCs w:val="21"/>
                <w:highlight w:val="none"/>
              </w:rPr>
              <w:t>人员</w:t>
            </w:r>
            <w:r>
              <w:rPr>
                <w:rFonts w:hint="eastAsia" w:ascii="宋体" w:hAnsi="宋体"/>
                <w:color w:val="auto"/>
                <w:szCs w:val="21"/>
                <w:highlight w:val="none"/>
              </w:rPr>
              <w:t>技术服务队伍、成功过往</w:t>
            </w:r>
            <w:r>
              <w:rPr>
                <w:rFonts w:ascii="宋体" w:hAnsi="宋体"/>
                <w:color w:val="auto"/>
                <w:szCs w:val="21"/>
                <w:highlight w:val="none"/>
              </w:rPr>
              <w:t>案例</w:t>
            </w:r>
            <w:r>
              <w:rPr>
                <w:rFonts w:hint="eastAsia" w:ascii="宋体" w:hAnsi="宋体"/>
                <w:color w:val="auto"/>
                <w:szCs w:val="21"/>
                <w:highlight w:val="none"/>
              </w:rPr>
              <w:t>、应对</w:t>
            </w:r>
            <w:r>
              <w:rPr>
                <w:rFonts w:ascii="宋体" w:hAnsi="宋体"/>
                <w:color w:val="auto"/>
                <w:szCs w:val="21"/>
                <w:highlight w:val="none"/>
              </w:rPr>
              <w:t>疫情影响方案</w:t>
            </w:r>
            <w:r>
              <w:rPr>
                <w:rFonts w:hint="eastAsia" w:ascii="宋体" w:hAnsi="宋体"/>
                <w:color w:val="auto"/>
                <w:szCs w:val="21"/>
                <w:highlight w:val="none"/>
              </w:rPr>
              <w:t>，未能</w:t>
            </w:r>
            <w:r>
              <w:rPr>
                <w:rFonts w:ascii="宋体" w:hAnsi="宋体"/>
                <w:color w:val="auto"/>
                <w:szCs w:val="21"/>
                <w:highlight w:val="none"/>
              </w:rPr>
              <w:t>完全</w:t>
            </w:r>
            <w:r>
              <w:rPr>
                <w:rFonts w:hint="eastAsia" w:ascii="宋体" w:hAnsi="宋体"/>
                <w:color w:val="auto"/>
                <w:szCs w:val="21"/>
                <w:highlight w:val="none"/>
              </w:rPr>
              <w:t>体现在</w:t>
            </w:r>
            <w:r>
              <w:rPr>
                <w:rFonts w:hint="eastAsia"/>
                <w:color w:val="auto"/>
                <w:highlight w:val="none"/>
              </w:rPr>
              <w:t>承诺的交货期内</w:t>
            </w:r>
            <w:r>
              <w:rPr>
                <w:rFonts w:hint="eastAsia" w:ascii="宋体" w:hAnsi="宋体"/>
                <w:color w:val="auto"/>
                <w:szCs w:val="21"/>
                <w:highlight w:val="none"/>
              </w:rPr>
              <w:t>有足</w:t>
            </w:r>
            <w:r>
              <w:rPr>
                <w:rFonts w:ascii="宋体" w:hAnsi="宋体"/>
                <w:color w:val="auto"/>
                <w:szCs w:val="21"/>
                <w:highlight w:val="none"/>
              </w:rPr>
              <w:t>够</w:t>
            </w:r>
            <w:r>
              <w:rPr>
                <w:rFonts w:hint="eastAsia" w:ascii="宋体" w:hAnsi="宋体"/>
                <w:color w:val="auto"/>
                <w:szCs w:val="21"/>
                <w:highlight w:val="none"/>
              </w:rPr>
              <w:t>完成本</w:t>
            </w:r>
            <w:r>
              <w:rPr>
                <w:rFonts w:ascii="宋体" w:hAnsi="宋体"/>
                <w:color w:val="auto"/>
                <w:szCs w:val="21"/>
                <w:highlight w:val="none"/>
              </w:rPr>
              <w:t>项目实力</w:t>
            </w:r>
            <w:r>
              <w:rPr>
                <w:rFonts w:hint="eastAsia" w:ascii="宋体" w:hAnsi="宋体"/>
                <w:color w:val="auto"/>
                <w:szCs w:val="21"/>
                <w:highlight w:val="none"/>
              </w:rPr>
              <w:t>的，</w:t>
            </w:r>
            <w:r>
              <w:rPr>
                <w:rFonts w:ascii="宋体" w:hAnsi="宋体"/>
                <w:color w:val="auto"/>
                <w:szCs w:val="21"/>
                <w:highlight w:val="none"/>
              </w:rPr>
              <w:t>或未提供演示</w:t>
            </w:r>
            <w:r>
              <w:rPr>
                <w:rFonts w:hint="eastAsia" w:ascii="宋体" w:hAnsi="宋体"/>
                <w:color w:val="auto"/>
                <w:szCs w:val="21"/>
                <w:highlight w:val="none"/>
              </w:rPr>
              <w:t>介绍</w:t>
            </w:r>
            <w:r>
              <w:rPr>
                <w:rFonts w:ascii="宋体" w:hAnsi="宋体"/>
                <w:color w:val="auto"/>
                <w:szCs w:val="21"/>
                <w:highlight w:val="none"/>
              </w:rPr>
              <w:t>的</w:t>
            </w:r>
            <w:r>
              <w:rPr>
                <w:rFonts w:hint="eastAsia" w:ascii="宋体" w:hAnsi="宋体"/>
                <w:color w:val="auto"/>
                <w:szCs w:val="21"/>
                <w:highlight w:val="none"/>
              </w:rPr>
              <w:t>，得</w:t>
            </w:r>
            <w:r>
              <w:rPr>
                <w:rFonts w:ascii="宋体" w:hAnsi="宋体"/>
                <w:color w:val="auto"/>
                <w:szCs w:val="21"/>
                <w:highlight w:val="none"/>
              </w:rPr>
              <w:t>0</w:t>
            </w:r>
            <w:r>
              <w:rPr>
                <w:rFonts w:hint="eastAsia" w:ascii="宋体" w:hAnsi="宋体"/>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0" w:hRule="atLeast"/>
          <w:jc w:val="center"/>
        </w:trPr>
        <w:tc>
          <w:tcPr>
            <w:tcW w:w="419" w:type="dxa"/>
            <w:vAlign w:val="center"/>
          </w:tcPr>
          <w:p>
            <w:pPr>
              <w:jc w:val="center"/>
              <w:rPr>
                <w:rFonts w:ascii="宋体" w:hAnsi="宋体" w:cs="宋体"/>
                <w:color w:val="auto"/>
                <w:szCs w:val="21"/>
                <w:highlight w:val="none"/>
              </w:rPr>
            </w:pPr>
            <w:r>
              <w:rPr>
                <w:rFonts w:ascii="宋体" w:hAnsi="宋体" w:cs="宋体"/>
                <w:color w:val="auto"/>
                <w:szCs w:val="21"/>
                <w:highlight w:val="none"/>
              </w:rPr>
              <w:t>4</w:t>
            </w:r>
          </w:p>
        </w:tc>
        <w:tc>
          <w:tcPr>
            <w:tcW w:w="1277" w:type="dxa"/>
            <w:vAlign w:val="center"/>
          </w:tcPr>
          <w:p>
            <w:pPr>
              <w:jc w:val="left"/>
              <w:rPr>
                <w:rFonts w:ascii="宋体" w:hAnsi="宋体" w:cs="宋体"/>
                <w:color w:val="auto"/>
                <w:szCs w:val="21"/>
                <w:highlight w:val="none"/>
              </w:rPr>
            </w:pPr>
            <w:r>
              <w:rPr>
                <w:rFonts w:hint="eastAsia" w:ascii="Calibri" w:hAnsi="Calibri"/>
                <w:color w:val="auto"/>
                <w:szCs w:val="21"/>
                <w:highlight w:val="none"/>
              </w:rPr>
              <w:t>售后服务方案</w:t>
            </w:r>
          </w:p>
        </w:tc>
        <w:tc>
          <w:tcPr>
            <w:tcW w:w="1985" w:type="dxa"/>
            <w:vAlign w:val="center"/>
          </w:tcPr>
          <w:p>
            <w:pPr>
              <w:jc w:val="center"/>
              <w:rPr>
                <w:rFonts w:ascii="宋体" w:hAnsi="宋体" w:cs="Courier New"/>
                <w:color w:val="auto"/>
                <w:szCs w:val="21"/>
                <w:highlight w:val="none"/>
              </w:rPr>
            </w:pPr>
            <w:r>
              <w:rPr>
                <w:rFonts w:hint="eastAsia" w:ascii="宋体" w:hAnsi="宋体"/>
                <w:color w:val="auto"/>
                <w:szCs w:val="21"/>
                <w:highlight w:val="none"/>
              </w:rPr>
              <w:t>根据供应商的服务方案内容、承诺</w:t>
            </w:r>
            <w:r>
              <w:rPr>
                <w:rFonts w:hint="eastAsia" w:ascii="宋体" w:hAnsi="宋体" w:cs="Courier New"/>
                <w:color w:val="auto"/>
                <w:szCs w:val="21"/>
                <w:highlight w:val="none"/>
              </w:rPr>
              <w:t>情况</w:t>
            </w:r>
          </w:p>
          <w:p>
            <w:pPr>
              <w:jc w:val="center"/>
              <w:rPr>
                <w:rFonts w:ascii="宋体" w:hAnsi="宋体" w:cs="宋体"/>
                <w:color w:val="auto"/>
                <w:szCs w:val="21"/>
                <w:highlight w:val="none"/>
              </w:rPr>
            </w:pPr>
            <w:r>
              <w:rPr>
                <w:rFonts w:hint="eastAsia" w:ascii="宋体" w:hAnsi="宋体"/>
                <w:color w:val="auto"/>
                <w:szCs w:val="21"/>
                <w:highlight w:val="none"/>
              </w:rPr>
              <w:t>[须</w:t>
            </w:r>
            <w:r>
              <w:rPr>
                <w:rFonts w:ascii="宋体" w:hAnsi="宋体"/>
                <w:color w:val="auto"/>
                <w:szCs w:val="21"/>
                <w:highlight w:val="none"/>
              </w:rPr>
              <w:t>提供</w:t>
            </w:r>
            <w:r>
              <w:rPr>
                <w:rFonts w:hint="eastAsia" w:ascii="宋体" w:hAnsi="宋体"/>
                <w:color w:val="auto"/>
                <w:szCs w:val="21"/>
                <w:highlight w:val="none"/>
              </w:rPr>
              <w:t>有效的</w:t>
            </w:r>
            <w:r>
              <w:rPr>
                <w:rFonts w:ascii="宋体" w:hAnsi="宋体"/>
                <w:color w:val="auto"/>
                <w:szCs w:val="21"/>
                <w:highlight w:val="none"/>
              </w:rPr>
              <w:t>服务</w:t>
            </w:r>
            <w:r>
              <w:rPr>
                <w:rFonts w:hint="eastAsia" w:ascii="宋体" w:hAnsi="宋体"/>
                <w:color w:val="auto"/>
                <w:szCs w:val="21"/>
                <w:highlight w:val="none"/>
              </w:rPr>
              <w:t>地点</w:t>
            </w:r>
            <w:r>
              <w:rPr>
                <w:rFonts w:ascii="宋体" w:hAnsi="宋体"/>
                <w:color w:val="auto"/>
                <w:szCs w:val="21"/>
                <w:highlight w:val="none"/>
              </w:rPr>
              <w:t>证明</w:t>
            </w:r>
            <w:r>
              <w:rPr>
                <w:rFonts w:hint="eastAsia" w:ascii="宋体" w:hAnsi="宋体"/>
                <w:color w:val="auto"/>
                <w:szCs w:val="21"/>
                <w:highlight w:val="none"/>
              </w:rPr>
              <w:t>文件，</w:t>
            </w:r>
            <w:r>
              <w:rPr>
                <w:rFonts w:ascii="宋体" w:hAnsi="宋体"/>
                <w:color w:val="auto"/>
                <w:szCs w:val="21"/>
                <w:highlight w:val="none"/>
              </w:rPr>
              <w:t>及</w:t>
            </w:r>
            <w:r>
              <w:rPr>
                <w:rFonts w:hint="eastAsia" w:ascii="宋体" w:hAnsi="宋体"/>
                <w:color w:val="auto"/>
                <w:szCs w:val="21"/>
                <w:highlight w:val="none"/>
              </w:rPr>
              <w:t>其到</w:t>
            </w:r>
            <w:r>
              <w:rPr>
                <w:rFonts w:ascii="宋体" w:hAnsi="宋体"/>
                <w:color w:val="auto"/>
                <w:szCs w:val="21"/>
                <w:highlight w:val="none"/>
              </w:rPr>
              <w:t>采购人</w:t>
            </w:r>
            <w:r>
              <w:rPr>
                <w:rFonts w:hint="eastAsia" w:ascii="宋体" w:hAnsi="宋体"/>
                <w:color w:val="auto"/>
                <w:szCs w:val="21"/>
                <w:highlight w:val="none"/>
              </w:rPr>
              <w:t>地址（广州市增城区朱村街朱村大道西78号）的</w:t>
            </w:r>
            <w:r>
              <w:rPr>
                <w:rFonts w:ascii="宋体" w:hAnsi="宋体"/>
                <w:color w:val="auto"/>
                <w:szCs w:val="21"/>
                <w:highlight w:val="none"/>
              </w:rPr>
              <w:t>百度</w:t>
            </w:r>
            <w:r>
              <w:rPr>
                <w:rFonts w:hint="eastAsia" w:ascii="宋体" w:hAnsi="宋体"/>
                <w:color w:val="auto"/>
                <w:szCs w:val="21"/>
                <w:highlight w:val="none"/>
              </w:rPr>
              <w:t>或高德地图的</w:t>
            </w:r>
            <w:r>
              <w:rPr>
                <w:rFonts w:ascii="宋体" w:hAnsi="宋体"/>
                <w:color w:val="auto"/>
                <w:szCs w:val="21"/>
                <w:highlight w:val="none"/>
              </w:rPr>
              <w:t>截图</w:t>
            </w:r>
            <w:r>
              <w:rPr>
                <w:rFonts w:hint="eastAsia" w:ascii="宋体" w:hAnsi="宋体"/>
                <w:color w:val="auto"/>
                <w:szCs w:val="21"/>
                <w:highlight w:val="none"/>
              </w:rPr>
              <w:t>证明]</w:t>
            </w:r>
          </w:p>
        </w:tc>
        <w:tc>
          <w:tcPr>
            <w:tcW w:w="643" w:type="dxa"/>
            <w:vAlign w:val="center"/>
          </w:tcPr>
          <w:p>
            <w:pPr>
              <w:jc w:val="center"/>
              <w:rPr>
                <w:rFonts w:ascii="宋体" w:hAnsi="宋体" w:cs="宋体"/>
                <w:color w:val="auto"/>
                <w:szCs w:val="21"/>
                <w:highlight w:val="none"/>
              </w:rPr>
            </w:pPr>
            <w:r>
              <w:rPr>
                <w:rFonts w:ascii="宋体" w:hAnsi="宋体"/>
                <w:color w:val="auto"/>
                <w:szCs w:val="21"/>
                <w:highlight w:val="none"/>
              </w:rPr>
              <w:t>7</w:t>
            </w:r>
          </w:p>
        </w:tc>
        <w:tc>
          <w:tcPr>
            <w:tcW w:w="2692" w:type="dxa"/>
            <w:vAlign w:val="center"/>
          </w:tcPr>
          <w:p>
            <w:pPr>
              <w:rPr>
                <w:rFonts w:ascii="宋体" w:hAnsi="宋体" w:cs="宋体"/>
                <w:color w:val="auto"/>
                <w:szCs w:val="21"/>
                <w:highlight w:val="none"/>
              </w:rPr>
            </w:pPr>
            <w:r>
              <w:rPr>
                <w:rFonts w:hint="eastAsia" w:ascii="宋体" w:hAnsi="宋体"/>
                <w:color w:val="auto"/>
                <w:szCs w:val="21"/>
                <w:highlight w:val="none"/>
              </w:rPr>
              <w:t>售后服务方案阐述完整，有具体的质量保证措施，有高素质的专业性的售后技术服务队伍，百度或高德</w:t>
            </w:r>
            <w:r>
              <w:rPr>
                <w:rFonts w:ascii="宋体" w:hAnsi="宋体"/>
                <w:color w:val="auto"/>
                <w:szCs w:val="21"/>
                <w:highlight w:val="none"/>
              </w:rPr>
              <w:t>地图</w:t>
            </w:r>
            <w:r>
              <w:rPr>
                <w:rFonts w:hint="eastAsia" w:ascii="宋体" w:hAnsi="宋体"/>
                <w:color w:val="auto"/>
                <w:szCs w:val="21"/>
                <w:highlight w:val="none"/>
              </w:rPr>
              <w:t>截图最短</w:t>
            </w:r>
            <w:r>
              <w:rPr>
                <w:rFonts w:ascii="宋体" w:hAnsi="宋体"/>
                <w:color w:val="auto"/>
                <w:szCs w:val="21"/>
                <w:highlight w:val="none"/>
              </w:rPr>
              <w:t>距离</w:t>
            </w:r>
            <w:r>
              <w:rPr>
                <w:rFonts w:hint="eastAsia" w:ascii="宋体" w:hAnsi="宋体"/>
                <w:color w:val="auto"/>
                <w:szCs w:val="21"/>
                <w:highlight w:val="none"/>
              </w:rPr>
              <w:t>在</w:t>
            </w:r>
            <w:r>
              <w:rPr>
                <w:rFonts w:ascii="宋体" w:hAnsi="宋体"/>
                <w:color w:val="auto"/>
                <w:szCs w:val="21"/>
                <w:highlight w:val="none"/>
              </w:rPr>
              <w:t>100</w:t>
            </w:r>
            <w:r>
              <w:rPr>
                <w:rFonts w:hint="eastAsia" w:ascii="宋体" w:hAnsi="宋体"/>
                <w:color w:val="auto"/>
                <w:szCs w:val="21"/>
                <w:highlight w:val="none"/>
              </w:rPr>
              <w:t>公里</w:t>
            </w:r>
            <w:r>
              <w:rPr>
                <w:rFonts w:ascii="宋体" w:hAnsi="宋体"/>
                <w:color w:val="auto"/>
                <w:szCs w:val="21"/>
                <w:highlight w:val="none"/>
              </w:rPr>
              <w:t>内</w:t>
            </w:r>
            <w:r>
              <w:rPr>
                <w:rFonts w:hint="eastAsia" w:ascii="宋体" w:hAnsi="宋体"/>
                <w:color w:val="auto"/>
                <w:szCs w:val="21"/>
                <w:highlight w:val="none"/>
              </w:rPr>
              <w:t>的，得</w:t>
            </w:r>
            <w:r>
              <w:rPr>
                <w:rFonts w:ascii="宋体" w:hAnsi="宋体"/>
                <w:color w:val="auto"/>
                <w:szCs w:val="21"/>
                <w:highlight w:val="none"/>
              </w:rPr>
              <w:t>7分</w:t>
            </w:r>
            <w:r>
              <w:rPr>
                <w:rFonts w:hint="eastAsia" w:ascii="宋体" w:hAnsi="宋体"/>
                <w:color w:val="auto"/>
                <w:szCs w:val="21"/>
                <w:highlight w:val="none"/>
              </w:rPr>
              <w:t>。</w:t>
            </w:r>
          </w:p>
        </w:tc>
        <w:tc>
          <w:tcPr>
            <w:tcW w:w="2428" w:type="dxa"/>
            <w:vAlign w:val="center"/>
          </w:tcPr>
          <w:p>
            <w:pPr>
              <w:rPr>
                <w:rFonts w:ascii="宋体" w:hAnsi="宋体" w:cs="宋体"/>
                <w:color w:val="auto"/>
                <w:szCs w:val="21"/>
                <w:highlight w:val="none"/>
              </w:rPr>
            </w:pPr>
            <w:r>
              <w:rPr>
                <w:rFonts w:hint="eastAsia" w:ascii="宋体" w:hAnsi="宋体"/>
                <w:color w:val="auto"/>
                <w:szCs w:val="21"/>
                <w:highlight w:val="none"/>
              </w:rPr>
              <w:t>售后服务方案阐述基本完整，有基本完整的质量保证措施，有售后技术服务队伍，百度或高德</w:t>
            </w:r>
            <w:r>
              <w:rPr>
                <w:rFonts w:ascii="宋体" w:hAnsi="宋体"/>
                <w:color w:val="auto"/>
                <w:szCs w:val="21"/>
                <w:highlight w:val="none"/>
              </w:rPr>
              <w:t>地图</w:t>
            </w:r>
            <w:r>
              <w:rPr>
                <w:rFonts w:hint="eastAsia" w:ascii="宋体" w:hAnsi="宋体"/>
                <w:color w:val="auto"/>
                <w:szCs w:val="21"/>
                <w:highlight w:val="none"/>
              </w:rPr>
              <w:t>截图最短</w:t>
            </w:r>
            <w:r>
              <w:rPr>
                <w:rFonts w:ascii="宋体" w:hAnsi="宋体"/>
                <w:color w:val="auto"/>
                <w:szCs w:val="21"/>
                <w:highlight w:val="none"/>
              </w:rPr>
              <w:t>距离</w:t>
            </w:r>
            <w:r>
              <w:rPr>
                <w:rFonts w:hint="eastAsia" w:ascii="宋体" w:hAnsi="宋体"/>
                <w:color w:val="auto"/>
                <w:szCs w:val="21"/>
                <w:highlight w:val="none"/>
              </w:rPr>
              <w:t>在</w:t>
            </w:r>
            <w:r>
              <w:rPr>
                <w:rFonts w:ascii="宋体" w:hAnsi="宋体"/>
                <w:color w:val="auto"/>
                <w:szCs w:val="21"/>
                <w:highlight w:val="none"/>
              </w:rPr>
              <w:t>100</w:t>
            </w:r>
            <w:r>
              <w:rPr>
                <w:rFonts w:hint="eastAsia" w:ascii="宋体" w:hAnsi="宋体"/>
                <w:color w:val="auto"/>
                <w:szCs w:val="21"/>
                <w:highlight w:val="none"/>
              </w:rPr>
              <w:t>公里</w:t>
            </w:r>
            <w:r>
              <w:rPr>
                <w:rFonts w:ascii="宋体" w:hAnsi="宋体"/>
                <w:color w:val="auto"/>
                <w:szCs w:val="21"/>
                <w:highlight w:val="none"/>
              </w:rPr>
              <w:t>内</w:t>
            </w:r>
            <w:r>
              <w:rPr>
                <w:rFonts w:hint="eastAsia" w:ascii="宋体" w:hAnsi="宋体"/>
                <w:color w:val="auto"/>
                <w:szCs w:val="21"/>
                <w:highlight w:val="none"/>
              </w:rPr>
              <w:t>的，得</w:t>
            </w:r>
            <w:r>
              <w:rPr>
                <w:rFonts w:ascii="宋体" w:hAnsi="宋体"/>
                <w:color w:val="auto"/>
                <w:szCs w:val="21"/>
                <w:highlight w:val="none"/>
              </w:rPr>
              <w:t>4分</w:t>
            </w:r>
            <w:r>
              <w:rPr>
                <w:rFonts w:hint="eastAsia" w:ascii="宋体" w:hAnsi="宋体"/>
                <w:color w:val="auto"/>
                <w:szCs w:val="21"/>
                <w:highlight w:val="none"/>
              </w:rPr>
              <w:t>。</w:t>
            </w:r>
          </w:p>
        </w:tc>
        <w:tc>
          <w:tcPr>
            <w:tcW w:w="2490" w:type="dxa"/>
            <w:vAlign w:val="center"/>
          </w:tcPr>
          <w:p>
            <w:pPr>
              <w:rPr>
                <w:rFonts w:ascii="宋体" w:hAnsi="宋体" w:cs="宋体"/>
                <w:color w:val="auto"/>
                <w:szCs w:val="21"/>
                <w:highlight w:val="none"/>
              </w:rPr>
            </w:pPr>
            <w:r>
              <w:rPr>
                <w:rFonts w:hint="eastAsia" w:ascii="宋体" w:hAnsi="宋体"/>
                <w:color w:val="auto"/>
                <w:szCs w:val="21"/>
                <w:highlight w:val="none"/>
              </w:rPr>
              <w:t>售后服务方案阐述简要，有简要的质量保证措施，有售后技术服务队伍，百度或高德</w:t>
            </w:r>
            <w:r>
              <w:rPr>
                <w:rFonts w:ascii="宋体" w:hAnsi="宋体"/>
                <w:color w:val="auto"/>
                <w:szCs w:val="21"/>
                <w:highlight w:val="none"/>
              </w:rPr>
              <w:t>地图</w:t>
            </w:r>
            <w:r>
              <w:rPr>
                <w:rFonts w:hint="eastAsia" w:ascii="宋体" w:hAnsi="宋体"/>
                <w:color w:val="auto"/>
                <w:szCs w:val="21"/>
                <w:highlight w:val="none"/>
              </w:rPr>
              <w:t>截图最短</w:t>
            </w:r>
            <w:r>
              <w:rPr>
                <w:rFonts w:ascii="宋体" w:hAnsi="宋体"/>
                <w:color w:val="auto"/>
                <w:szCs w:val="21"/>
                <w:highlight w:val="none"/>
              </w:rPr>
              <w:t>距离</w:t>
            </w:r>
            <w:r>
              <w:rPr>
                <w:rFonts w:hint="eastAsia" w:ascii="宋体" w:hAnsi="宋体"/>
                <w:color w:val="auto"/>
                <w:szCs w:val="21"/>
                <w:highlight w:val="none"/>
              </w:rPr>
              <w:t>在</w:t>
            </w:r>
            <w:r>
              <w:rPr>
                <w:rFonts w:ascii="宋体" w:hAnsi="宋体"/>
                <w:color w:val="auto"/>
                <w:szCs w:val="21"/>
                <w:highlight w:val="none"/>
              </w:rPr>
              <w:t>150</w:t>
            </w:r>
            <w:r>
              <w:rPr>
                <w:rFonts w:hint="eastAsia" w:ascii="宋体" w:hAnsi="宋体"/>
                <w:color w:val="auto"/>
                <w:szCs w:val="21"/>
                <w:highlight w:val="none"/>
              </w:rPr>
              <w:t>公里</w:t>
            </w:r>
            <w:r>
              <w:rPr>
                <w:rFonts w:ascii="宋体" w:hAnsi="宋体"/>
                <w:color w:val="auto"/>
                <w:szCs w:val="21"/>
                <w:highlight w:val="none"/>
              </w:rPr>
              <w:t>内</w:t>
            </w:r>
            <w:r>
              <w:rPr>
                <w:rFonts w:hint="eastAsia" w:ascii="宋体" w:hAnsi="宋体"/>
                <w:color w:val="auto"/>
                <w:szCs w:val="21"/>
                <w:highlight w:val="none"/>
              </w:rPr>
              <w:t>的，得</w:t>
            </w:r>
            <w:r>
              <w:rPr>
                <w:rFonts w:ascii="宋体" w:hAnsi="宋体"/>
                <w:color w:val="auto"/>
                <w:szCs w:val="21"/>
                <w:highlight w:val="none"/>
              </w:rPr>
              <w:t>1分</w:t>
            </w:r>
            <w:r>
              <w:rPr>
                <w:rFonts w:hint="eastAsia" w:ascii="宋体" w:hAnsi="宋体"/>
                <w:color w:val="auto"/>
                <w:szCs w:val="21"/>
                <w:highlight w:val="none"/>
              </w:rPr>
              <w:t>。</w:t>
            </w:r>
          </w:p>
        </w:tc>
        <w:tc>
          <w:tcPr>
            <w:tcW w:w="2875" w:type="dxa"/>
            <w:vAlign w:val="center"/>
          </w:tcPr>
          <w:p>
            <w:pPr>
              <w:rPr>
                <w:rFonts w:ascii="宋体" w:hAnsi="宋体" w:cs="宋体"/>
                <w:color w:val="auto"/>
                <w:szCs w:val="21"/>
                <w:highlight w:val="none"/>
              </w:rPr>
            </w:pPr>
            <w:r>
              <w:rPr>
                <w:rFonts w:hint="eastAsia" w:ascii="宋体" w:hAnsi="宋体"/>
                <w:color w:val="auto"/>
                <w:szCs w:val="21"/>
                <w:highlight w:val="none"/>
              </w:rPr>
              <w:t>无售后服务方案，或百度或高德</w:t>
            </w:r>
            <w:r>
              <w:rPr>
                <w:rFonts w:ascii="宋体" w:hAnsi="宋体"/>
                <w:color w:val="auto"/>
                <w:szCs w:val="21"/>
                <w:highlight w:val="none"/>
              </w:rPr>
              <w:t>地图</w:t>
            </w:r>
            <w:r>
              <w:rPr>
                <w:rFonts w:hint="eastAsia" w:ascii="宋体" w:hAnsi="宋体"/>
                <w:color w:val="auto"/>
                <w:szCs w:val="21"/>
                <w:highlight w:val="none"/>
              </w:rPr>
              <w:t>截图最短</w:t>
            </w:r>
            <w:r>
              <w:rPr>
                <w:rFonts w:ascii="宋体" w:hAnsi="宋体"/>
                <w:color w:val="auto"/>
                <w:szCs w:val="21"/>
                <w:highlight w:val="none"/>
              </w:rPr>
              <w:t>距离</w:t>
            </w:r>
            <w:r>
              <w:rPr>
                <w:rFonts w:hint="eastAsia" w:ascii="宋体" w:hAnsi="宋体"/>
                <w:color w:val="auto"/>
                <w:szCs w:val="21"/>
                <w:highlight w:val="none"/>
              </w:rPr>
              <w:t>超过</w:t>
            </w:r>
            <w:r>
              <w:rPr>
                <w:rFonts w:ascii="宋体" w:hAnsi="宋体"/>
                <w:color w:val="auto"/>
                <w:szCs w:val="21"/>
                <w:highlight w:val="none"/>
              </w:rPr>
              <w:t>150</w:t>
            </w:r>
            <w:r>
              <w:rPr>
                <w:rFonts w:hint="eastAsia" w:ascii="宋体" w:hAnsi="宋体"/>
                <w:color w:val="auto"/>
                <w:szCs w:val="21"/>
                <w:highlight w:val="none"/>
              </w:rPr>
              <w:t>公里，或其他情况的，得0</w:t>
            </w:r>
            <w:r>
              <w:rPr>
                <w:rFonts w:ascii="宋体" w:hAnsi="宋体"/>
                <w:color w:val="auto"/>
                <w:szCs w:val="21"/>
                <w:highlight w:val="none"/>
              </w:rPr>
              <w:t>分</w:t>
            </w:r>
            <w:r>
              <w:rPr>
                <w:rFonts w:hint="eastAsia" w:ascii="宋体" w:hAnsi="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 w:hRule="atLeast"/>
          <w:jc w:val="center"/>
        </w:trPr>
        <w:tc>
          <w:tcPr>
            <w:tcW w:w="3681" w:type="dxa"/>
            <w:gridSpan w:val="3"/>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总分</w:t>
            </w:r>
          </w:p>
        </w:tc>
        <w:tc>
          <w:tcPr>
            <w:tcW w:w="643"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44</w:t>
            </w:r>
          </w:p>
        </w:tc>
        <w:tc>
          <w:tcPr>
            <w:tcW w:w="2692" w:type="dxa"/>
            <w:vAlign w:val="center"/>
          </w:tcPr>
          <w:p>
            <w:pPr>
              <w:rPr>
                <w:rFonts w:ascii="宋体" w:hAnsi="宋体" w:cs="宋体"/>
                <w:color w:val="auto"/>
                <w:szCs w:val="21"/>
                <w:highlight w:val="none"/>
              </w:rPr>
            </w:pPr>
          </w:p>
        </w:tc>
        <w:tc>
          <w:tcPr>
            <w:tcW w:w="2428" w:type="dxa"/>
            <w:vAlign w:val="center"/>
          </w:tcPr>
          <w:p>
            <w:pPr>
              <w:rPr>
                <w:rFonts w:ascii="宋体" w:hAnsi="宋体" w:cs="宋体"/>
                <w:color w:val="auto"/>
                <w:szCs w:val="21"/>
                <w:highlight w:val="none"/>
              </w:rPr>
            </w:pPr>
          </w:p>
        </w:tc>
        <w:tc>
          <w:tcPr>
            <w:tcW w:w="2490" w:type="dxa"/>
            <w:vAlign w:val="center"/>
          </w:tcPr>
          <w:p>
            <w:pPr>
              <w:autoSpaceDN w:val="0"/>
              <w:textAlignment w:val="center"/>
              <w:rPr>
                <w:rFonts w:ascii="宋体" w:hAnsi="宋体" w:cs="宋体"/>
                <w:color w:val="auto"/>
                <w:szCs w:val="21"/>
                <w:highlight w:val="none"/>
              </w:rPr>
            </w:pPr>
          </w:p>
        </w:tc>
        <w:tc>
          <w:tcPr>
            <w:tcW w:w="2875" w:type="dxa"/>
            <w:vAlign w:val="center"/>
          </w:tcPr>
          <w:p>
            <w:pPr>
              <w:autoSpaceDN w:val="0"/>
              <w:textAlignment w:val="center"/>
              <w:rPr>
                <w:rFonts w:ascii="宋体" w:hAnsi="宋体" w:cs="宋体"/>
                <w:color w:val="auto"/>
                <w:szCs w:val="21"/>
                <w:highlight w:val="none"/>
              </w:rPr>
            </w:pPr>
          </w:p>
        </w:tc>
      </w:tr>
    </w:tbl>
    <w:p>
      <w:pPr>
        <w:pStyle w:val="68"/>
        <w:spacing w:line="360" w:lineRule="auto"/>
        <w:rPr>
          <w:rFonts w:ascii="宋体" w:hAnsi="宋体"/>
          <w:color w:val="auto"/>
          <w:szCs w:val="21"/>
          <w:highlight w:val="none"/>
        </w:rPr>
      </w:pPr>
      <w:r>
        <w:rPr>
          <w:rFonts w:hint="eastAsia" w:ascii="宋体" w:hAnsi="宋体"/>
          <w:color w:val="auto"/>
          <w:szCs w:val="21"/>
          <w:highlight w:val="none"/>
        </w:rPr>
        <w:t>备注：</w:t>
      </w:r>
    </w:p>
    <w:p>
      <w:pPr>
        <w:pStyle w:val="68"/>
        <w:spacing w:line="360" w:lineRule="auto"/>
        <w:ind w:firstLine="420" w:firstLineChars="200"/>
        <w:rPr>
          <w:rFonts w:ascii="宋体" w:hAnsi="宋体"/>
          <w:bCs/>
          <w:color w:val="auto"/>
          <w:szCs w:val="21"/>
          <w:highlight w:val="none"/>
        </w:rPr>
      </w:pPr>
      <w:r>
        <w:rPr>
          <w:rFonts w:hint="eastAsia" w:ascii="宋体" w:hAnsi="宋体"/>
          <w:color w:val="auto"/>
          <w:szCs w:val="21"/>
          <w:highlight w:val="none"/>
        </w:rPr>
        <w:t>1.</w:t>
      </w:r>
      <w:r>
        <w:rPr>
          <w:rFonts w:hint="eastAsia" w:ascii="宋体" w:hAnsi="宋体"/>
          <w:bCs/>
          <w:color w:val="auto"/>
          <w:szCs w:val="21"/>
          <w:highlight w:val="none"/>
        </w:rPr>
        <w:t>供应商应根据评审项目或内容提交相关的证明材料。</w:t>
      </w:r>
    </w:p>
    <w:p>
      <w:pPr>
        <w:pStyle w:val="68"/>
        <w:spacing w:line="360" w:lineRule="auto"/>
        <w:ind w:firstLine="420" w:firstLineChars="200"/>
        <w:rPr>
          <w:i/>
          <w:color w:val="auto"/>
          <w:sz w:val="24"/>
          <w:szCs w:val="24"/>
          <w:highlight w:val="none"/>
        </w:rPr>
      </w:pPr>
      <w:r>
        <w:rPr>
          <w:rFonts w:hint="eastAsia" w:ascii="宋体" w:hAnsi="宋体" w:cs="宋体"/>
          <w:bCs/>
          <w:color w:val="auto"/>
          <w:szCs w:val="21"/>
          <w:highlight w:val="none"/>
        </w:rPr>
        <w:t>2.</w:t>
      </w:r>
      <w:r>
        <w:rPr>
          <w:rFonts w:hint="eastAsia" w:ascii="宋体" w:hAnsi="宋体"/>
          <w:bCs/>
          <w:color w:val="auto"/>
          <w:szCs w:val="21"/>
          <w:highlight w:val="none"/>
        </w:rPr>
        <w:t>供应商</w:t>
      </w:r>
      <w:r>
        <w:rPr>
          <w:rFonts w:hint="eastAsia" w:ascii="宋体" w:hAnsi="宋体"/>
          <w:color w:val="auto"/>
          <w:szCs w:val="21"/>
          <w:highlight w:val="none"/>
        </w:rPr>
        <w:t>未提供各项评审的相关内容证明文件或证明文件模糊不清</w:t>
      </w:r>
      <w:r>
        <w:rPr>
          <w:rFonts w:hint="eastAsia" w:ascii="宋体" w:hAnsi="宋体" w:cs="宋体"/>
          <w:bCs/>
          <w:color w:val="auto"/>
          <w:szCs w:val="21"/>
          <w:highlight w:val="none"/>
        </w:rPr>
        <w:t>（有有效期的，须在有效期内）</w:t>
      </w:r>
      <w:r>
        <w:rPr>
          <w:rFonts w:hint="eastAsia" w:ascii="宋体" w:hAnsi="宋体"/>
          <w:color w:val="auto"/>
          <w:szCs w:val="21"/>
          <w:highlight w:val="none"/>
        </w:rPr>
        <w:t>，以致评委无法做出准确评判时，该项得分为0分。</w:t>
      </w:r>
    </w:p>
    <w:p>
      <w:pPr>
        <w:pStyle w:val="5"/>
        <w:numPr>
          <w:ilvl w:val="0"/>
          <w:numId w:val="0"/>
        </w:numPr>
        <w:tabs>
          <w:tab w:val="left" w:pos="945"/>
        </w:tabs>
        <w:spacing w:before="0" w:after="0" w:line="360" w:lineRule="auto"/>
        <w:ind w:left="425" w:hanging="425"/>
        <w:rPr>
          <w:rFonts w:ascii="宋体" w:hAnsi="宋体"/>
          <w:color w:val="auto"/>
          <w:sz w:val="24"/>
          <w:szCs w:val="24"/>
          <w:highlight w:val="none"/>
        </w:rPr>
      </w:pPr>
      <w:r>
        <w:rPr>
          <w:rFonts w:hint="eastAsia" w:ascii="宋体" w:hAnsi="宋体"/>
          <w:color w:val="auto"/>
          <w:sz w:val="24"/>
          <w:szCs w:val="24"/>
          <w:highlight w:val="none"/>
        </w:rPr>
        <w:br w:type="page"/>
      </w:r>
      <w:r>
        <w:rPr>
          <w:rFonts w:hint="eastAsia" w:ascii="宋体" w:hAnsi="宋体"/>
          <w:color w:val="auto"/>
          <w:sz w:val="24"/>
          <w:szCs w:val="24"/>
          <w:highlight w:val="none"/>
        </w:rPr>
        <w:t>附表4：商务评审表</w:t>
      </w:r>
    </w:p>
    <w:tbl>
      <w:tblPr>
        <w:tblStyle w:val="29"/>
        <w:tblW w:w="13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706"/>
        <w:gridCol w:w="1227"/>
        <w:gridCol w:w="427"/>
        <w:gridCol w:w="2763"/>
        <w:gridCol w:w="2781"/>
        <w:gridCol w:w="2787"/>
        <w:gridCol w:w="2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blHeader/>
          <w:jc w:val="center"/>
        </w:trPr>
        <w:tc>
          <w:tcPr>
            <w:tcW w:w="427" w:type="dxa"/>
            <w:vAlign w:val="center"/>
          </w:tcPr>
          <w:p>
            <w:pPr>
              <w:jc w:val="center"/>
              <w:rPr>
                <w:rFonts w:ascii="宋体" w:hAnsi="Calibri"/>
                <w:b/>
                <w:color w:val="auto"/>
                <w:szCs w:val="21"/>
                <w:highlight w:val="none"/>
              </w:rPr>
            </w:pPr>
            <w:r>
              <w:rPr>
                <w:rFonts w:hint="eastAsia" w:ascii="宋体" w:hAnsi="宋体" w:cs="宋体"/>
                <w:b/>
                <w:color w:val="auto"/>
                <w:szCs w:val="21"/>
                <w:highlight w:val="none"/>
              </w:rPr>
              <w:t>序号</w:t>
            </w:r>
          </w:p>
        </w:tc>
        <w:tc>
          <w:tcPr>
            <w:tcW w:w="706" w:type="dxa"/>
            <w:vAlign w:val="center"/>
          </w:tcPr>
          <w:p>
            <w:pPr>
              <w:jc w:val="center"/>
              <w:rPr>
                <w:rFonts w:ascii="宋体" w:hAnsi="Calibri"/>
                <w:b/>
                <w:color w:val="auto"/>
                <w:szCs w:val="21"/>
                <w:highlight w:val="none"/>
              </w:rPr>
            </w:pPr>
            <w:r>
              <w:rPr>
                <w:rFonts w:hint="eastAsia" w:ascii="宋体" w:hAnsi="宋体" w:cs="宋体"/>
                <w:b/>
                <w:color w:val="auto"/>
                <w:szCs w:val="21"/>
                <w:highlight w:val="none"/>
              </w:rPr>
              <w:t>项目</w:t>
            </w:r>
          </w:p>
        </w:tc>
        <w:tc>
          <w:tcPr>
            <w:tcW w:w="1227" w:type="dxa"/>
            <w:vAlign w:val="center"/>
          </w:tcPr>
          <w:p>
            <w:pPr>
              <w:jc w:val="center"/>
              <w:rPr>
                <w:rFonts w:ascii="宋体" w:hAnsi="Calibri"/>
                <w:b/>
                <w:color w:val="auto"/>
                <w:szCs w:val="21"/>
                <w:highlight w:val="none"/>
              </w:rPr>
            </w:pPr>
            <w:r>
              <w:rPr>
                <w:rFonts w:hint="eastAsia" w:ascii="宋体" w:hAnsi="宋体" w:cs="宋体"/>
                <w:b/>
                <w:color w:val="auto"/>
                <w:szCs w:val="21"/>
                <w:highlight w:val="none"/>
              </w:rPr>
              <w:t>评审内容</w:t>
            </w:r>
          </w:p>
        </w:tc>
        <w:tc>
          <w:tcPr>
            <w:tcW w:w="427" w:type="dxa"/>
            <w:vAlign w:val="center"/>
          </w:tcPr>
          <w:p>
            <w:pPr>
              <w:jc w:val="center"/>
              <w:rPr>
                <w:rFonts w:ascii="宋体" w:hAnsi="Calibri"/>
                <w:b/>
                <w:color w:val="auto"/>
                <w:szCs w:val="21"/>
                <w:highlight w:val="none"/>
              </w:rPr>
            </w:pPr>
            <w:r>
              <w:rPr>
                <w:rFonts w:hint="eastAsia" w:ascii="宋体" w:hAnsi="宋体" w:cs="宋体"/>
                <w:b/>
                <w:color w:val="auto"/>
                <w:szCs w:val="21"/>
                <w:highlight w:val="none"/>
              </w:rPr>
              <w:t>分值</w:t>
            </w:r>
          </w:p>
        </w:tc>
        <w:tc>
          <w:tcPr>
            <w:tcW w:w="11150" w:type="dxa"/>
            <w:gridSpan w:val="4"/>
            <w:vAlign w:val="center"/>
          </w:tcPr>
          <w:p>
            <w:pPr>
              <w:jc w:val="center"/>
              <w:rPr>
                <w:rFonts w:ascii="宋体" w:hAnsi="宋体" w:cs="宋体"/>
                <w:b/>
                <w:color w:val="auto"/>
                <w:szCs w:val="21"/>
                <w:highlight w:val="none"/>
              </w:rPr>
            </w:pPr>
            <w:r>
              <w:rPr>
                <w:rFonts w:hint="eastAsia" w:ascii="宋体" w:hAnsi="宋体" w:cs="宋体"/>
                <w:b/>
                <w:color w:val="auto"/>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6" w:hRule="atLeast"/>
          <w:jc w:val="center"/>
        </w:trPr>
        <w:tc>
          <w:tcPr>
            <w:tcW w:w="427" w:type="dxa"/>
            <w:vAlign w:val="center"/>
          </w:tcPr>
          <w:p>
            <w:pPr>
              <w:jc w:val="left"/>
              <w:rPr>
                <w:rFonts w:ascii="宋体" w:hAnsi="Calibri"/>
                <w:color w:val="auto"/>
                <w:szCs w:val="21"/>
                <w:highlight w:val="none"/>
              </w:rPr>
            </w:pPr>
            <w:r>
              <w:rPr>
                <w:rFonts w:ascii="宋体" w:hAnsi="宋体" w:cs="宋体"/>
                <w:color w:val="auto"/>
                <w:szCs w:val="21"/>
                <w:highlight w:val="none"/>
              </w:rPr>
              <w:t>1</w:t>
            </w:r>
          </w:p>
        </w:tc>
        <w:tc>
          <w:tcPr>
            <w:tcW w:w="706" w:type="dxa"/>
            <w:vAlign w:val="center"/>
          </w:tcPr>
          <w:p>
            <w:pPr>
              <w:jc w:val="left"/>
              <w:rPr>
                <w:rFonts w:ascii="宋体" w:hAnsi="宋体" w:cs="宋体"/>
                <w:color w:val="auto"/>
                <w:szCs w:val="21"/>
                <w:highlight w:val="none"/>
              </w:rPr>
            </w:pPr>
            <w:r>
              <w:rPr>
                <w:rFonts w:hint="eastAsia" w:ascii="宋体" w:hAnsi="宋体" w:cs="宋体"/>
                <w:color w:val="auto"/>
                <w:szCs w:val="21"/>
                <w:highlight w:val="none"/>
              </w:rPr>
              <w:t>商务响应</w:t>
            </w:r>
          </w:p>
        </w:tc>
        <w:tc>
          <w:tcPr>
            <w:tcW w:w="1227"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交货期的响应程度</w:t>
            </w:r>
          </w:p>
        </w:tc>
        <w:tc>
          <w:tcPr>
            <w:tcW w:w="427"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20</w:t>
            </w:r>
          </w:p>
        </w:tc>
        <w:tc>
          <w:tcPr>
            <w:tcW w:w="11150" w:type="dxa"/>
            <w:gridSpan w:val="4"/>
            <w:vAlign w:val="center"/>
          </w:tcPr>
          <w:p>
            <w:pPr>
              <w:pStyle w:val="9"/>
              <w:ind w:firstLine="420" w:firstLineChars="200"/>
              <w:rPr>
                <w:color w:val="auto"/>
                <w:highlight w:val="none"/>
              </w:rPr>
            </w:pPr>
            <w:r>
              <w:rPr>
                <w:rFonts w:hint="eastAsia"/>
                <w:color w:val="auto"/>
                <w:highlight w:val="none"/>
              </w:rPr>
              <w:t>供应商响应的交货期每少于招标文件要求</w:t>
            </w:r>
            <w:r>
              <w:rPr>
                <w:color w:val="auto"/>
                <w:highlight w:val="none"/>
              </w:rPr>
              <w:t>1</w:t>
            </w:r>
            <w:r>
              <w:rPr>
                <w:rFonts w:hint="eastAsia"/>
                <w:color w:val="auto"/>
                <w:highlight w:val="none"/>
              </w:rPr>
              <w:t>天的得</w:t>
            </w:r>
            <w:r>
              <w:rPr>
                <w:color w:val="auto"/>
                <w:highlight w:val="none"/>
              </w:rPr>
              <w:t>1</w:t>
            </w:r>
            <w:r>
              <w:rPr>
                <w:rFonts w:hint="eastAsia"/>
                <w:color w:val="auto"/>
                <w:highlight w:val="none"/>
              </w:rPr>
              <w:t>分，本项最高可得</w:t>
            </w:r>
            <w:r>
              <w:rPr>
                <w:color w:val="auto"/>
                <w:highlight w:val="none"/>
              </w:rPr>
              <w:t>20</w:t>
            </w:r>
            <w:r>
              <w:rPr>
                <w:rFonts w:hint="eastAsia"/>
                <w:color w:val="auto"/>
                <w:highlight w:val="none"/>
              </w:rPr>
              <w:t>分。</w:t>
            </w:r>
          </w:p>
          <w:p>
            <w:pPr>
              <w:pStyle w:val="9"/>
              <w:ind w:firstLine="420" w:firstLineChars="200"/>
              <w:rPr>
                <w:rFonts w:ascii="宋体" w:hAnsi="宋体" w:cs="宋体"/>
                <w:color w:val="auto"/>
                <w:szCs w:val="21"/>
                <w:highlight w:val="none"/>
              </w:rPr>
            </w:pPr>
            <w:r>
              <w:rPr>
                <w:rFonts w:hint="eastAsia"/>
                <w:color w:val="auto"/>
                <w:highlight w:val="none"/>
              </w:rPr>
              <w:t>注：供应商应承诺交货期内交付货物并为之承担法律责任，须提供承诺函（格式自拟）原件，承诺函须由法定代表人亲笔签名并加盖供应商公章，未提供承诺函或未按要求签名盖章的本项不得分。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1" w:hRule="atLeast"/>
          <w:jc w:val="center"/>
        </w:trPr>
        <w:tc>
          <w:tcPr>
            <w:tcW w:w="427" w:type="dxa"/>
            <w:vAlign w:val="center"/>
          </w:tcPr>
          <w:p>
            <w:pPr>
              <w:jc w:val="left"/>
              <w:rPr>
                <w:rFonts w:ascii="宋体" w:hAnsi="宋体" w:cs="宋体"/>
                <w:color w:val="auto"/>
                <w:szCs w:val="21"/>
                <w:highlight w:val="none"/>
              </w:rPr>
            </w:pPr>
            <w:r>
              <w:rPr>
                <w:rFonts w:hint="eastAsia"/>
                <w:color w:val="auto"/>
                <w:highlight w:val="none"/>
              </w:rPr>
              <w:t>2</w:t>
            </w:r>
          </w:p>
        </w:tc>
        <w:tc>
          <w:tcPr>
            <w:tcW w:w="706" w:type="dxa"/>
            <w:vAlign w:val="center"/>
          </w:tcPr>
          <w:p>
            <w:pPr>
              <w:jc w:val="left"/>
              <w:rPr>
                <w:rFonts w:ascii="宋体" w:hAnsi="宋体" w:cs="宋体"/>
                <w:color w:val="auto"/>
                <w:szCs w:val="21"/>
                <w:highlight w:val="none"/>
              </w:rPr>
            </w:pPr>
            <w:r>
              <w:rPr>
                <w:rFonts w:hint="eastAsia" w:ascii="宋体" w:hAnsi="宋体" w:cs="宋体"/>
                <w:color w:val="auto"/>
                <w:highlight w:val="none"/>
              </w:rPr>
              <w:t>业绩</w:t>
            </w:r>
          </w:p>
        </w:tc>
        <w:tc>
          <w:tcPr>
            <w:tcW w:w="1227" w:type="dxa"/>
            <w:vAlign w:val="center"/>
          </w:tcPr>
          <w:p>
            <w:pPr>
              <w:jc w:val="center"/>
              <w:rPr>
                <w:rFonts w:ascii="宋体" w:hAnsi="宋体" w:cs="宋体"/>
                <w:color w:val="auto"/>
                <w:szCs w:val="21"/>
                <w:highlight w:val="none"/>
              </w:rPr>
            </w:pPr>
            <w:r>
              <w:rPr>
                <w:rFonts w:hint="eastAsia" w:ascii="宋体" w:hAnsi="宋体" w:cs="宋体"/>
                <w:color w:val="auto"/>
                <w:highlight w:val="none"/>
              </w:rPr>
              <w:t>同类项目业绩</w:t>
            </w:r>
          </w:p>
        </w:tc>
        <w:tc>
          <w:tcPr>
            <w:tcW w:w="427" w:type="dxa"/>
            <w:vAlign w:val="center"/>
          </w:tcPr>
          <w:p>
            <w:pPr>
              <w:jc w:val="center"/>
              <w:rPr>
                <w:rFonts w:ascii="宋体" w:hAnsi="宋体" w:cs="宋体"/>
                <w:color w:val="auto"/>
                <w:szCs w:val="21"/>
                <w:highlight w:val="none"/>
              </w:rPr>
            </w:pPr>
            <w:r>
              <w:rPr>
                <w:rFonts w:hint="eastAsia" w:ascii="宋体" w:hAnsi="宋体" w:cs="宋体"/>
                <w:color w:val="auto"/>
                <w:highlight w:val="none"/>
              </w:rPr>
              <w:t>6</w:t>
            </w:r>
          </w:p>
        </w:tc>
        <w:tc>
          <w:tcPr>
            <w:tcW w:w="11150" w:type="dxa"/>
            <w:gridSpan w:val="4"/>
            <w:vAlign w:val="center"/>
          </w:tcPr>
          <w:p>
            <w:pPr>
              <w:pStyle w:val="9"/>
              <w:ind w:firstLine="420" w:firstLineChars="200"/>
              <w:rPr>
                <w:color w:val="auto"/>
                <w:highlight w:val="none"/>
              </w:rPr>
            </w:pPr>
            <w:r>
              <w:rPr>
                <w:rFonts w:hint="eastAsia"/>
                <w:color w:val="auto"/>
                <w:highlight w:val="none"/>
              </w:rPr>
              <w:t>2019年1月1日至今，供应商具有核心产品的销售业绩的，每提供1个合同得1分，最高得6分。</w:t>
            </w:r>
          </w:p>
          <w:p>
            <w:pPr>
              <w:pStyle w:val="9"/>
              <w:ind w:firstLine="420" w:firstLineChars="200"/>
              <w:rPr>
                <w:color w:val="auto"/>
                <w:highlight w:val="none"/>
              </w:rPr>
            </w:pPr>
            <w:r>
              <w:rPr>
                <w:rFonts w:hint="eastAsia"/>
                <w:color w:val="auto"/>
                <w:highlight w:val="none"/>
              </w:rPr>
              <w:t>注：1、须提供合同关键页复印件并加盖供应商公章；2、供应商应承诺中标后可向采购人提供所有业绩的原件备查，须提供承诺函（格式自拟）原件并加盖供应商公章；3、上述材料未提供或其他情况的本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6" w:hRule="atLeast"/>
          <w:jc w:val="center"/>
        </w:trPr>
        <w:tc>
          <w:tcPr>
            <w:tcW w:w="2360" w:type="dxa"/>
            <w:gridSpan w:val="3"/>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总分</w:t>
            </w:r>
          </w:p>
        </w:tc>
        <w:tc>
          <w:tcPr>
            <w:tcW w:w="427"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26</w:t>
            </w:r>
          </w:p>
        </w:tc>
        <w:tc>
          <w:tcPr>
            <w:tcW w:w="2763" w:type="dxa"/>
            <w:vAlign w:val="center"/>
          </w:tcPr>
          <w:p>
            <w:pPr>
              <w:rPr>
                <w:rFonts w:ascii="宋体" w:hAnsi="宋体"/>
                <w:color w:val="auto"/>
                <w:szCs w:val="21"/>
                <w:highlight w:val="none"/>
              </w:rPr>
            </w:pPr>
          </w:p>
        </w:tc>
        <w:tc>
          <w:tcPr>
            <w:tcW w:w="2781" w:type="dxa"/>
            <w:vAlign w:val="center"/>
          </w:tcPr>
          <w:p>
            <w:pPr>
              <w:rPr>
                <w:rFonts w:ascii="宋体" w:hAnsi="宋体"/>
                <w:color w:val="auto"/>
                <w:szCs w:val="21"/>
                <w:highlight w:val="none"/>
              </w:rPr>
            </w:pPr>
          </w:p>
        </w:tc>
        <w:tc>
          <w:tcPr>
            <w:tcW w:w="2787" w:type="dxa"/>
            <w:vAlign w:val="center"/>
          </w:tcPr>
          <w:p>
            <w:pPr>
              <w:rPr>
                <w:rFonts w:ascii="宋体" w:hAnsi="宋体"/>
                <w:color w:val="auto"/>
                <w:szCs w:val="21"/>
                <w:highlight w:val="none"/>
              </w:rPr>
            </w:pPr>
          </w:p>
        </w:tc>
        <w:tc>
          <w:tcPr>
            <w:tcW w:w="2819" w:type="dxa"/>
            <w:vAlign w:val="center"/>
          </w:tcPr>
          <w:p>
            <w:pPr>
              <w:rPr>
                <w:rFonts w:ascii="宋体" w:hAnsi="宋体"/>
                <w:color w:val="auto"/>
                <w:szCs w:val="21"/>
                <w:highlight w:val="none"/>
              </w:rPr>
            </w:pPr>
          </w:p>
        </w:tc>
      </w:tr>
      <w:bookmarkEnd w:id="241"/>
      <w:bookmarkEnd w:id="242"/>
      <w:bookmarkEnd w:id="243"/>
    </w:tbl>
    <w:p>
      <w:pPr>
        <w:pStyle w:val="68"/>
        <w:spacing w:line="360" w:lineRule="auto"/>
        <w:rPr>
          <w:rFonts w:ascii="宋体" w:hAnsi="宋体"/>
          <w:color w:val="auto"/>
          <w:szCs w:val="21"/>
          <w:highlight w:val="none"/>
        </w:rPr>
      </w:pPr>
      <w:r>
        <w:rPr>
          <w:rFonts w:hint="eastAsia" w:ascii="宋体" w:hAnsi="宋体"/>
          <w:color w:val="auto"/>
          <w:szCs w:val="21"/>
          <w:highlight w:val="none"/>
        </w:rPr>
        <w:t>备注：</w:t>
      </w:r>
    </w:p>
    <w:p>
      <w:pPr>
        <w:pStyle w:val="68"/>
        <w:spacing w:line="360" w:lineRule="auto"/>
        <w:ind w:firstLine="420" w:firstLineChars="200"/>
        <w:rPr>
          <w:rFonts w:ascii="宋体" w:hAnsi="宋体"/>
          <w:bCs/>
          <w:color w:val="auto"/>
          <w:szCs w:val="21"/>
          <w:highlight w:val="none"/>
        </w:rPr>
      </w:pPr>
      <w:r>
        <w:rPr>
          <w:rFonts w:hint="eastAsia" w:ascii="宋体" w:hAnsi="宋体"/>
          <w:color w:val="auto"/>
          <w:szCs w:val="21"/>
          <w:highlight w:val="none"/>
        </w:rPr>
        <w:t>1.</w:t>
      </w:r>
      <w:r>
        <w:rPr>
          <w:rFonts w:hint="eastAsia" w:ascii="宋体" w:hAnsi="宋体"/>
          <w:bCs/>
          <w:color w:val="auto"/>
          <w:szCs w:val="21"/>
          <w:highlight w:val="none"/>
        </w:rPr>
        <w:t>供应商应根据评审项目或内容提交相关的证明材料。</w:t>
      </w:r>
    </w:p>
    <w:p>
      <w:pPr>
        <w:pStyle w:val="68"/>
        <w:spacing w:line="360" w:lineRule="auto"/>
        <w:ind w:firstLine="420" w:firstLineChars="200"/>
        <w:rPr>
          <w:i/>
          <w:color w:val="auto"/>
          <w:sz w:val="24"/>
          <w:szCs w:val="24"/>
          <w:highlight w:val="none"/>
        </w:rPr>
      </w:pPr>
      <w:r>
        <w:rPr>
          <w:rFonts w:hint="eastAsia" w:ascii="宋体" w:hAnsi="宋体" w:cs="宋体"/>
          <w:bCs/>
          <w:color w:val="auto"/>
          <w:szCs w:val="21"/>
          <w:highlight w:val="none"/>
        </w:rPr>
        <w:t>2.</w:t>
      </w:r>
      <w:r>
        <w:rPr>
          <w:rFonts w:hint="eastAsia" w:ascii="宋体" w:hAnsi="宋体"/>
          <w:bCs/>
          <w:color w:val="auto"/>
          <w:szCs w:val="21"/>
          <w:highlight w:val="none"/>
        </w:rPr>
        <w:t>供应商</w:t>
      </w:r>
      <w:r>
        <w:rPr>
          <w:rFonts w:hint="eastAsia" w:ascii="宋体" w:hAnsi="宋体"/>
          <w:color w:val="auto"/>
          <w:szCs w:val="21"/>
          <w:highlight w:val="none"/>
        </w:rPr>
        <w:t>未提供各项评审的相关内容证明文件或证明文件模糊不清</w:t>
      </w:r>
      <w:r>
        <w:rPr>
          <w:rFonts w:hint="eastAsia" w:ascii="宋体" w:hAnsi="宋体" w:cs="宋体"/>
          <w:bCs/>
          <w:color w:val="auto"/>
          <w:szCs w:val="21"/>
          <w:highlight w:val="none"/>
        </w:rPr>
        <w:t>（有有效期的，须在有效期内）</w:t>
      </w:r>
      <w:r>
        <w:rPr>
          <w:rFonts w:hint="eastAsia" w:ascii="宋体" w:hAnsi="宋体"/>
          <w:color w:val="auto"/>
          <w:szCs w:val="21"/>
          <w:highlight w:val="none"/>
        </w:rPr>
        <w:t>，以致评委无法做出准确评判时，该项得分为0分。</w:t>
      </w:r>
    </w:p>
    <w:p>
      <w:pPr>
        <w:pStyle w:val="68"/>
        <w:spacing w:line="360" w:lineRule="auto"/>
        <w:ind w:firstLine="420" w:firstLineChars="200"/>
        <w:rPr>
          <w:rFonts w:ascii="宋体" w:hAnsi="宋体"/>
          <w:color w:val="auto"/>
          <w:szCs w:val="21"/>
        </w:rPr>
        <w:sectPr>
          <w:footerReference r:id="rId5" w:type="default"/>
          <w:pgSz w:w="16838" w:h="11906" w:orient="landscape"/>
          <w:pgMar w:top="1134" w:right="1134" w:bottom="1134" w:left="1134" w:header="567" w:footer="737" w:gutter="454"/>
          <w:cols w:space="720" w:num="1"/>
          <w:docGrid w:type="linesAndChars" w:linePitch="312" w:charSpace="0"/>
        </w:sectPr>
      </w:pPr>
    </w:p>
    <w:p>
      <w:pPr>
        <w:pStyle w:val="5"/>
        <w:numPr>
          <w:ilvl w:val="0"/>
          <w:numId w:val="0"/>
        </w:numPr>
        <w:tabs>
          <w:tab w:val="left" w:pos="945"/>
        </w:tabs>
        <w:spacing w:before="0" w:after="0" w:line="360" w:lineRule="auto"/>
        <w:rPr>
          <w:rFonts w:ascii="宋体" w:hAnsi="宋体"/>
          <w:color w:val="auto"/>
          <w:sz w:val="24"/>
          <w:szCs w:val="24"/>
        </w:rPr>
      </w:pPr>
      <w:bookmarkStart w:id="244" w:name="_Toc23802"/>
      <w:bookmarkStart w:id="245" w:name="_Toc54335434"/>
      <w:bookmarkStart w:id="246" w:name="_Toc22806168"/>
      <w:r>
        <w:rPr>
          <w:rFonts w:hint="eastAsia" w:ascii="宋体" w:hAnsi="宋体"/>
          <w:color w:val="auto"/>
          <w:sz w:val="24"/>
          <w:szCs w:val="24"/>
        </w:rPr>
        <w:t>附表5：价格评审表</w:t>
      </w:r>
      <w:bookmarkEnd w:id="244"/>
      <w:bookmarkEnd w:id="245"/>
      <w:bookmarkEnd w:id="246"/>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701"/>
        <w:gridCol w:w="6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tcPr>
          <w:p>
            <w:pPr>
              <w:autoSpaceDE w:val="0"/>
              <w:autoSpaceDN w:val="0"/>
              <w:jc w:val="center"/>
              <w:rPr>
                <w:rFonts w:ascii="宋体" w:hAnsi="宋体"/>
                <w:b/>
                <w:color w:val="auto"/>
                <w:sz w:val="24"/>
                <w:szCs w:val="24"/>
              </w:rPr>
            </w:pPr>
            <w:r>
              <w:rPr>
                <w:rFonts w:hint="eastAsia" w:ascii="宋体" w:hAnsi="宋体"/>
                <w:b/>
                <w:color w:val="auto"/>
                <w:sz w:val="24"/>
                <w:szCs w:val="24"/>
              </w:rPr>
              <w:t>序号</w:t>
            </w:r>
          </w:p>
        </w:tc>
        <w:tc>
          <w:tcPr>
            <w:tcW w:w="1701" w:type="dxa"/>
            <w:vAlign w:val="center"/>
          </w:tcPr>
          <w:p>
            <w:pPr>
              <w:autoSpaceDE w:val="0"/>
              <w:autoSpaceDN w:val="0"/>
              <w:jc w:val="center"/>
              <w:rPr>
                <w:rFonts w:ascii="宋体" w:hAnsi="宋体"/>
                <w:b/>
                <w:color w:val="auto"/>
                <w:sz w:val="24"/>
                <w:szCs w:val="24"/>
              </w:rPr>
            </w:pPr>
            <w:r>
              <w:rPr>
                <w:rFonts w:hint="eastAsia" w:ascii="宋体" w:hAnsi="宋体"/>
                <w:b/>
                <w:color w:val="auto"/>
                <w:sz w:val="24"/>
                <w:szCs w:val="24"/>
              </w:rPr>
              <w:t>项目</w:t>
            </w:r>
          </w:p>
        </w:tc>
        <w:tc>
          <w:tcPr>
            <w:tcW w:w="6828" w:type="dxa"/>
            <w:vAlign w:val="center"/>
          </w:tcPr>
          <w:p>
            <w:pPr>
              <w:autoSpaceDE w:val="0"/>
              <w:autoSpaceDN w:val="0"/>
              <w:jc w:val="center"/>
              <w:rPr>
                <w:rFonts w:ascii="宋体" w:hAnsi="宋体"/>
                <w:b/>
                <w:color w:val="auto"/>
                <w:sz w:val="24"/>
                <w:szCs w:val="24"/>
              </w:rPr>
            </w:pPr>
            <w:r>
              <w:rPr>
                <w:rFonts w:hint="eastAsia" w:ascii="宋体" w:hAnsi="宋体"/>
                <w:b/>
                <w:color w:val="auto"/>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numPr>
                <w:ilvl w:val="0"/>
                <w:numId w:val="46"/>
              </w:numPr>
              <w:autoSpaceDE w:val="0"/>
              <w:autoSpaceDN w:val="0"/>
              <w:ind w:left="0" w:firstLine="0"/>
              <w:jc w:val="center"/>
              <w:rPr>
                <w:rFonts w:ascii="宋体" w:hAnsi="宋体"/>
                <w:color w:val="auto"/>
                <w:sz w:val="24"/>
                <w:szCs w:val="24"/>
              </w:rPr>
            </w:pPr>
          </w:p>
        </w:tc>
        <w:tc>
          <w:tcPr>
            <w:tcW w:w="1701" w:type="dxa"/>
            <w:vAlign w:val="center"/>
          </w:tcPr>
          <w:p>
            <w:pPr>
              <w:autoSpaceDE w:val="0"/>
              <w:autoSpaceDN w:val="0"/>
              <w:jc w:val="left"/>
              <w:rPr>
                <w:rFonts w:ascii="宋体" w:hAnsi="宋体"/>
                <w:b/>
                <w:color w:val="auto"/>
                <w:sz w:val="24"/>
                <w:szCs w:val="24"/>
              </w:rPr>
            </w:pPr>
            <w:r>
              <w:rPr>
                <w:rFonts w:hint="eastAsia" w:ascii="宋体" w:hAnsi="宋体"/>
                <w:b/>
                <w:color w:val="auto"/>
                <w:sz w:val="24"/>
                <w:szCs w:val="24"/>
              </w:rPr>
              <w:t>投标报价</w:t>
            </w:r>
          </w:p>
        </w:tc>
        <w:tc>
          <w:tcPr>
            <w:tcW w:w="6828" w:type="dxa"/>
            <w:vAlign w:val="center"/>
          </w:tcPr>
          <w:p>
            <w:pPr>
              <w:autoSpaceDE w:val="0"/>
              <w:autoSpaceDN w:val="0"/>
              <w:rPr>
                <w:rFonts w:ascii="宋体" w:hAnsi="宋体"/>
                <w:color w:val="auto"/>
                <w:sz w:val="24"/>
                <w:szCs w:val="24"/>
              </w:rPr>
            </w:pPr>
            <w:r>
              <w:rPr>
                <w:rFonts w:hint="eastAsia" w:ascii="宋体" w:hAnsi="宋体"/>
                <w:color w:val="auto"/>
                <w:sz w:val="24"/>
                <w:szCs w:val="24"/>
              </w:rPr>
              <w:t>开标价格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numPr>
                <w:ilvl w:val="0"/>
                <w:numId w:val="46"/>
              </w:numPr>
              <w:autoSpaceDE w:val="0"/>
              <w:autoSpaceDN w:val="0"/>
              <w:ind w:left="0" w:firstLine="0"/>
              <w:jc w:val="center"/>
              <w:rPr>
                <w:rFonts w:ascii="宋体" w:hAnsi="宋体"/>
                <w:color w:val="auto"/>
                <w:sz w:val="24"/>
                <w:szCs w:val="24"/>
              </w:rPr>
            </w:pPr>
          </w:p>
        </w:tc>
        <w:tc>
          <w:tcPr>
            <w:tcW w:w="1701" w:type="dxa"/>
            <w:vAlign w:val="center"/>
          </w:tcPr>
          <w:p>
            <w:pPr>
              <w:autoSpaceDE w:val="0"/>
              <w:autoSpaceDN w:val="0"/>
              <w:jc w:val="left"/>
              <w:rPr>
                <w:rFonts w:ascii="宋体" w:hAnsi="宋体"/>
                <w:color w:val="auto"/>
                <w:sz w:val="24"/>
                <w:szCs w:val="24"/>
              </w:rPr>
            </w:pPr>
            <w:r>
              <w:rPr>
                <w:rFonts w:hint="eastAsia" w:ascii="宋体" w:hAnsi="宋体"/>
                <w:b/>
                <w:color w:val="auto"/>
                <w:sz w:val="24"/>
                <w:szCs w:val="24"/>
              </w:rPr>
              <w:t>核实价</w:t>
            </w:r>
          </w:p>
        </w:tc>
        <w:tc>
          <w:tcPr>
            <w:tcW w:w="6828" w:type="dxa"/>
            <w:vAlign w:val="center"/>
          </w:tcPr>
          <w:p>
            <w:pPr>
              <w:autoSpaceDE w:val="0"/>
              <w:autoSpaceDN w:val="0"/>
              <w:rPr>
                <w:rFonts w:ascii="宋体" w:hAnsi="宋体"/>
                <w:color w:val="auto"/>
                <w:sz w:val="24"/>
                <w:szCs w:val="24"/>
              </w:rPr>
            </w:pPr>
            <w:r>
              <w:rPr>
                <w:rFonts w:hint="eastAsia" w:ascii="宋体" w:hAnsi="宋体"/>
                <w:color w:val="auto"/>
                <w:sz w:val="24"/>
                <w:szCs w:val="24"/>
              </w:rPr>
              <w:t>按本部分第3.8.1条款对投标报价进行算术修正后的投标报价。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numPr>
                <w:ilvl w:val="0"/>
                <w:numId w:val="46"/>
              </w:numPr>
              <w:autoSpaceDE w:val="0"/>
              <w:autoSpaceDN w:val="0"/>
              <w:ind w:left="0" w:firstLine="0"/>
              <w:jc w:val="center"/>
              <w:rPr>
                <w:rFonts w:ascii="宋体" w:hAnsi="宋体"/>
                <w:color w:val="auto"/>
                <w:sz w:val="24"/>
                <w:szCs w:val="24"/>
              </w:rPr>
            </w:pPr>
          </w:p>
        </w:tc>
        <w:tc>
          <w:tcPr>
            <w:tcW w:w="1701" w:type="dxa"/>
            <w:vAlign w:val="center"/>
          </w:tcPr>
          <w:p>
            <w:pPr>
              <w:autoSpaceDE w:val="0"/>
              <w:autoSpaceDN w:val="0"/>
              <w:jc w:val="left"/>
              <w:rPr>
                <w:rFonts w:ascii="宋体" w:hAnsi="宋体"/>
                <w:b/>
                <w:color w:val="auto"/>
                <w:sz w:val="24"/>
                <w:szCs w:val="24"/>
              </w:rPr>
            </w:pPr>
            <w:r>
              <w:rPr>
                <w:rFonts w:hint="eastAsia" w:ascii="宋体" w:hAnsi="宋体"/>
                <w:b/>
                <w:color w:val="auto"/>
                <w:sz w:val="24"/>
                <w:szCs w:val="24"/>
              </w:rPr>
              <w:t>价格扣除</w:t>
            </w:r>
          </w:p>
          <w:p>
            <w:pPr>
              <w:autoSpaceDE w:val="0"/>
              <w:autoSpaceDN w:val="0"/>
              <w:jc w:val="left"/>
              <w:rPr>
                <w:rFonts w:ascii="宋体" w:hAnsi="宋体"/>
                <w:color w:val="auto"/>
                <w:sz w:val="24"/>
                <w:szCs w:val="24"/>
              </w:rPr>
            </w:pPr>
            <w:r>
              <w:rPr>
                <w:rFonts w:hint="eastAsia" w:ascii="宋体" w:hAnsi="宋体"/>
                <w:b/>
                <w:color w:val="auto"/>
                <w:sz w:val="24"/>
                <w:szCs w:val="24"/>
              </w:rPr>
              <w:t>（如适用）</w:t>
            </w:r>
          </w:p>
        </w:tc>
        <w:tc>
          <w:tcPr>
            <w:tcW w:w="6828" w:type="dxa"/>
            <w:vAlign w:val="center"/>
          </w:tcPr>
          <w:p>
            <w:pPr>
              <w:autoSpaceDE w:val="0"/>
              <w:autoSpaceDN w:val="0"/>
              <w:rPr>
                <w:rFonts w:ascii="宋体" w:hAnsi="宋体"/>
                <w:color w:val="auto"/>
                <w:sz w:val="24"/>
                <w:szCs w:val="24"/>
              </w:rPr>
            </w:pPr>
            <w:r>
              <w:rPr>
                <w:rFonts w:hint="eastAsia" w:ascii="宋体" w:hAnsi="宋体"/>
                <w:color w:val="auto"/>
                <w:sz w:val="24"/>
                <w:szCs w:val="24"/>
              </w:rPr>
              <w:t>按本部分第7.2条规定对算术修正后的投标报价进行价格调整。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numPr>
                <w:ilvl w:val="0"/>
                <w:numId w:val="46"/>
              </w:numPr>
              <w:autoSpaceDE w:val="0"/>
              <w:autoSpaceDN w:val="0"/>
              <w:ind w:left="0" w:firstLine="0"/>
              <w:jc w:val="center"/>
              <w:rPr>
                <w:rFonts w:ascii="宋体" w:hAnsi="宋体"/>
                <w:color w:val="auto"/>
                <w:sz w:val="24"/>
                <w:szCs w:val="24"/>
              </w:rPr>
            </w:pPr>
          </w:p>
        </w:tc>
        <w:tc>
          <w:tcPr>
            <w:tcW w:w="1701" w:type="dxa"/>
            <w:vAlign w:val="center"/>
          </w:tcPr>
          <w:p>
            <w:pPr>
              <w:autoSpaceDE w:val="0"/>
              <w:autoSpaceDN w:val="0"/>
              <w:jc w:val="left"/>
              <w:rPr>
                <w:rFonts w:ascii="宋体" w:hAnsi="宋体"/>
                <w:b/>
                <w:color w:val="auto"/>
                <w:sz w:val="24"/>
                <w:szCs w:val="24"/>
              </w:rPr>
            </w:pPr>
            <w:r>
              <w:rPr>
                <w:rFonts w:hint="eastAsia" w:ascii="宋体" w:hAnsi="宋体"/>
                <w:b/>
                <w:color w:val="auto"/>
                <w:sz w:val="24"/>
                <w:szCs w:val="24"/>
              </w:rPr>
              <w:t>评标价</w:t>
            </w:r>
          </w:p>
        </w:tc>
        <w:tc>
          <w:tcPr>
            <w:tcW w:w="6828" w:type="dxa"/>
            <w:vAlign w:val="center"/>
          </w:tcPr>
          <w:p>
            <w:pPr>
              <w:autoSpaceDE w:val="0"/>
              <w:autoSpaceDN w:val="0"/>
              <w:rPr>
                <w:rFonts w:ascii="宋体" w:hAnsi="宋体"/>
                <w:color w:val="auto"/>
                <w:sz w:val="24"/>
                <w:szCs w:val="24"/>
              </w:rPr>
            </w:pPr>
            <w:r>
              <w:rPr>
                <w:rFonts w:hint="eastAsia" w:ascii="宋体" w:hAnsi="宋体"/>
                <w:color w:val="auto"/>
                <w:sz w:val="24"/>
                <w:szCs w:val="24"/>
              </w:rPr>
              <w:t>经算术修正和落实政府采购政策需进行的价格扣除后的价格。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numPr>
                <w:ilvl w:val="0"/>
                <w:numId w:val="46"/>
              </w:numPr>
              <w:autoSpaceDE w:val="0"/>
              <w:autoSpaceDN w:val="0"/>
              <w:ind w:left="0" w:firstLine="0"/>
              <w:jc w:val="center"/>
              <w:rPr>
                <w:rFonts w:ascii="宋体" w:hAnsi="宋体"/>
                <w:color w:val="auto"/>
                <w:sz w:val="24"/>
                <w:szCs w:val="24"/>
              </w:rPr>
            </w:pPr>
          </w:p>
        </w:tc>
        <w:tc>
          <w:tcPr>
            <w:tcW w:w="1701" w:type="dxa"/>
            <w:vAlign w:val="center"/>
          </w:tcPr>
          <w:p>
            <w:pPr>
              <w:autoSpaceDE w:val="0"/>
              <w:autoSpaceDN w:val="0"/>
              <w:jc w:val="left"/>
              <w:rPr>
                <w:rFonts w:ascii="宋体" w:hAnsi="宋体"/>
                <w:b/>
                <w:color w:val="auto"/>
                <w:sz w:val="24"/>
                <w:szCs w:val="24"/>
              </w:rPr>
            </w:pPr>
            <w:r>
              <w:rPr>
                <w:rFonts w:hint="eastAsia" w:ascii="宋体" w:hAnsi="宋体"/>
                <w:b/>
                <w:color w:val="auto"/>
                <w:sz w:val="24"/>
                <w:szCs w:val="24"/>
              </w:rPr>
              <w:t>评标基准价</w:t>
            </w:r>
          </w:p>
        </w:tc>
        <w:tc>
          <w:tcPr>
            <w:tcW w:w="6828" w:type="dxa"/>
            <w:vAlign w:val="center"/>
          </w:tcPr>
          <w:p>
            <w:pPr>
              <w:autoSpaceDE w:val="0"/>
              <w:autoSpaceDN w:val="0"/>
              <w:rPr>
                <w:rFonts w:ascii="宋体" w:hAnsi="宋体"/>
                <w:color w:val="auto"/>
                <w:sz w:val="24"/>
                <w:szCs w:val="24"/>
              </w:rPr>
            </w:pPr>
            <w:r>
              <w:rPr>
                <w:rFonts w:hint="eastAsia" w:ascii="宋体" w:hAnsi="宋体"/>
                <w:color w:val="auto"/>
                <w:sz w:val="24"/>
                <w:szCs w:val="24"/>
              </w:rPr>
              <w:t>评标基准价=满足招标文件要求且投标价格最低的投标报价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numPr>
                <w:ilvl w:val="0"/>
                <w:numId w:val="46"/>
              </w:numPr>
              <w:autoSpaceDE w:val="0"/>
              <w:autoSpaceDN w:val="0"/>
              <w:ind w:left="0" w:firstLine="0"/>
              <w:jc w:val="center"/>
              <w:rPr>
                <w:rFonts w:ascii="宋体" w:hAnsi="宋体"/>
                <w:color w:val="auto"/>
                <w:sz w:val="24"/>
                <w:szCs w:val="24"/>
              </w:rPr>
            </w:pPr>
          </w:p>
        </w:tc>
        <w:tc>
          <w:tcPr>
            <w:tcW w:w="1701" w:type="dxa"/>
            <w:vAlign w:val="center"/>
          </w:tcPr>
          <w:p>
            <w:pPr>
              <w:autoSpaceDE w:val="0"/>
              <w:autoSpaceDN w:val="0"/>
              <w:jc w:val="left"/>
              <w:rPr>
                <w:rFonts w:ascii="宋体" w:hAnsi="宋体"/>
                <w:b/>
                <w:color w:val="auto"/>
                <w:sz w:val="24"/>
                <w:szCs w:val="24"/>
              </w:rPr>
            </w:pPr>
            <w:r>
              <w:rPr>
                <w:rFonts w:hint="eastAsia" w:ascii="宋体" w:hAnsi="宋体"/>
                <w:b/>
                <w:color w:val="auto"/>
                <w:sz w:val="24"/>
                <w:szCs w:val="24"/>
              </w:rPr>
              <w:t>投标报价得分</w:t>
            </w:r>
          </w:p>
        </w:tc>
        <w:tc>
          <w:tcPr>
            <w:tcW w:w="6828" w:type="dxa"/>
            <w:vAlign w:val="center"/>
          </w:tcPr>
          <w:p>
            <w:pPr>
              <w:autoSpaceDE w:val="0"/>
              <w:autoSpaceDN w:val="0"/>
              <w:rPr>
                <w:rFonts w:ascii="宋体" w:hAnsi="宋体"/>
                <w:color w:val="auto"/>
                <w:sz w:val="24"/>
                <w:szCs w:val="24"/>
              </w:rPr>
            </w:pPr>
            <w:r>
              <w:rPr>
                <w:rFonts w:hint="eastAsia" w:ascii="宋体" w:hAnsi="宋体"/>
                <w:color w:val="auto"/>
                <w:sz w:val="24"/>
                <w:szCs w:val="24"/>
              </w:rPr>
              <w:t>价格得分=（评标基准价÷投标报价）×价格部分分值</w:t>
            </w:r>
          </w:p>
        </w:tc>
      </w:tr>
    </w:tbl>
    <w:p>
      <w:pPr>
        <w:autoSpaceDE w:val="0"/>
        <w:autoSpaceDN w:val="0"/>
        <w:rPr>
          <w:rFonts w:ascii="宋体" w:hAnsi="宋体"/>
          <w:i/>
          <w:color w:val="auto"/>
          <w:sz w:val="24"/>
          <w:szCs w:val="24"/>
        </w:rPr>
      </w:pPr>
      <w:r>
        <w:rPr>
          <w:rFonts w:hint="eastAsia" w:ascii="宋体" w:hAnsi="宋体"/>
          <w:iCs/>
          <w:color w:val="auto"/>
          <w:sz w:val="24"/>
          <w:szCs w:val="24"/>
        </w:rPr>
        <w:t>注：</w:t>
      </w:r>
      <w:r>
        <w:rPr>
          <w:rFonts w:hint="eastAsia" w:ascii="宋体" w:hAnsi="宋体"/>
          <w:color w:val="auto"/>
          <w:sz w:val="24"/>
          <w:szCs w:val="24"/>
        </w:rPr>
        <w:t>因落实政府采购政策进行价格调整的，以调整后的价格（即评标价）计算评标基准价和投标报价</w:t>
      </w:r>
      <w:r>
        <w:rPr>
          <w:rFonts w:hint="eastAsia" w:ascii="宋体" w:hAnsi="宋体"/>
          <w:i/>
          <w:color w:val="auto"/>
          <w:sz w:val="24"/>
          <w:szCs w:val="24"/>
        </w:rPr>
        <w:t>。</w:t>
      </w:r>
    </w:p>
    <w:p>
      <w:pPr>
        <w:pStyle w:val="5"/>
        <w:numPr>
          <w:ilvl w:val="0"/>
          <w:numId w:val="0"/>
        </w:numPr>
        <w:tabs>
          <w:tab w:val="left" w:pos="945"/>
        </w:tabs>
        <w:spacing w:before="0" w:after="0" w:line="360" w:lineRule="auto"/>
        <w:ind w:left="425" w:hanging="425"/>
        <w:rPr>
          <w:rFonts w:ascii="宋体" w:hAnsi="宋体"/>
          <w:color w:val="auto"/>
          <w:sz w:val="24"/>
          <w:szCs w:val="24"/>
        </w:rPr>
      </w:pPr>
      <w:bookmarkStart w:id="247" w:name="_Toc22806169"/>
      <w:bookmarkStart w:id="248" w:name="_Toc54335435"/>
      <w:bookmarkStart w:id="249" w:name="_Toc3090"/>
      <w:r>
        <w:rPr>
          <w:rFonts w:hint="eastAsia" w:ascii="宋体" w:hAnsi="宋体"/>
          <w:color w:val="auto"/>
          <w:sz w:val="24"/>
          <w:szCs w:val="24"/>
        </w:rPr>
        <w:t>附表6：无效投标或投标无效情形</w:t>
      </w:r>
      <w:bookmarkEnd w:id="247"/>
      <w:r>
        <w:rPr>
          <w:rFonts w:hint="eastAsia" w:ascii="宋体" w:hAnsi="宋体"/>
          <w:color w:val="auto"/>
          <w:sz w:val="24"/>
          <w:szCs w:val="24"/>
        </w:rPr>
        <w:t>汇总表</w:t>
      </w:r>
      <w:bookmarkEnd w:id="248"/>
      <w:bookmarkEnd w:id="249"/>
    </w:p>
    <w:tbl>
      <w:tblPr>
        <w:tblStyle w:val="29"/>
        <w:tblW w:w="0" w:type="auto"/>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51"/>
        <w:gridCol w:w="850"/>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7" w:type="dxa"/>
            <w:vAlign w:val="center"/>
          </w:tcPr>
          <w:p>
            <w:pPr>
              <w:jc w:val="center"/>
              <w:rPr>
                <w:rFonts w:ascii="宋体" w:hAnsi="宋体"/>
                <w:b/>
                <w:color w:val="auto"/>
                <w:sz w:val="24"/>
                <w:szCs w:val="24"/>
              </w:rPr>
            </w:pPr>
            <w:bookmarkStart w:id="250" w:name="_Toc44688193"/>
            <w:bookmarkStart w:id="251" w:name="_Toc44687967"/>
            <w:r>
              <w:rPr>
                <w:rFonts w:hint="eastAsia" w:ascii="宋体" w:hAnsi="宋体"/>
                <w:b/>
                <w:color w:val="auto"/>
                <w:sz w:val="24"/>
                <w:szCs w:val="24"/>
              </w:rPr>
              <w:t>序号</w:t>
            </w:r>
            <w:bookmarkEnd w:id="250"/>
            <w:bookmarkEnd w:id="251"/>
          </w:p>
        </w:tc>
        <w:tc>
          <w:tcPr>
            <w:tcW w:w="1701" w:type="dxa"/>
            <w:gridSpan w:val="2"/>
            <w:vAlign w:val="center"/>
          </w:tcPr>
          <w:p>
            <w:pPr>
              <w:jc w:val="center"/>
              <w:rPr>
                <w:rFonts w:ascii="宋体" w:hAnsi="宋体"/>
                <w:b/>
                <w:color w:val="auto"/>
                <w:sz w:val="24"/>
                <w:szCs w:val="24"/>
              </w:rPr>
            </w:pPr>
            <w:bookmarkStart w:id="252" w:name="_Toc44687968"/>
            <w:bookmarkStart w:id="253" w:name="_Toc44688194"/>
            <w:r>
              <w:rPr>
                <w:rFonts w:hint="eastAsia" w:ascii="宋体" w:hAnsi="宋体"/>
                <w:b/>
                <w:color w:val="auto"/>
                <w:sz w:val="24"/>
                <w:szCs w:val="24"/>
              </w:rPr>
              <w:t>对应条款号</w:t>
            </w:r>
            <w:bookmarkEnd w:id="252"/>
            <w:bookmarkEnd w:id="253"/>
          </w:p>
        </w:tc>
        <w:tc>
          <w:tcPr>
            <w:tcW w:w="6237" w:type="dxa"/>
            <w:vAlign w:val="center"/>
          </w:tcPr>
          <w:p>
            <w:pPr>
              <w:jc w:val="center"/>
              <w:rPr>
                <w:rFonts w:ascii="宋体" w:hAnsi="宋体"/>
                <w:b/>
                <w:color w:val="auto"/>
                <w:sz w:val="24"/>
                <w:szCs w:val="24"/>
              </w:rPr>
            </w:pPr>
            <w:bookmarkStart w:id="254" w:name="_Toc44687969"/>
            <w:bookmarkStart w:id="255" w:name="_Toc44688195"/>
            <w:r>
              <w:rPr>
                <w:rFonts w:hint="eastAsia" w:ascii="宋体" w:hAnsi="宋体"/>
                <w:b/>
                <w:color w:val="auto"/>
                <w:sz w:val="24"/>
                <w:szCs w:val="24"/>
              </w:rPr>
              <w:t>所属情形的内容</w:t>
            </w:r>
            <w:bookmarkEnd w:id="254"/>
            <w:bookmarkEnd w:id="255"/>
            <w:r>
              <w:rPr>
                <w:rFonts w:hint="eastAsia" w:ascii="宋体" w:hAnsi="宋体"/>
                <w:b/>
                <w:color w:val="auto"/>
                <w:sz w:val="24"/>
                <w:szCs w:val="24"/>
              </w:rPr>
              <w:t>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47"/>
              </w:numPr>
              <w:rPr>
                <w:rFonts w:ascii="宋体" w:hAnsi="宋体"/>
                <w:color w:val="auto"/>
                <w:sz w:val="24"/>
                <w:szCs w:val="24"/>
              </w:rPr>
            </w:pPr>
            <w:bookmarkStart w:id="256" w:name="_Toc44688197"/>
            <w:bookmarkEnd w:id="256"/>
            <w:bookmarkStart w:id="257" w:name="_Toc44687971"/>
            <w:bookmarkEnd w:id="257"/>
          </w:p>
        </w:tc>
        <w:tc>
          <w:tcPr>
            <w:tcW w:w="851" w:type="dxa"/>
            <w:vMerge w:val="restart"/>
            <w:vAlign w:val="center"/>
          </w:tcPr>
          <w:p>
            <w:pPr>
              <w:rPr>
                <w:rFonts w:ascii="宋体" w:hAnsi="宋体"/>
                <w:color w:val="auto"/>
                <w:sz w:val="24"/>
                <w:szCs w:val="24"/>
              </w:rPr>
            </w:pPr>
            <w:r>
              <w:rPr>
                <w:rFonts w:hint="eastAsia" w:ascii="宋体" w:hAnsi="宋体"/>
                <w:color w:val="auto"/>
                <w:sz w:val="24"/>
                <w:szCs w:val="24"/>
              </w:rPr>
              <w:t>《投标人须知》</w:t>
            </w:r>
          </w:p>
        </w:tc>
        <w:tc>
          <w:tcPr>
            <w:tcW w:w="850" w:type="dxa"/>
            <w:vAlign w:val="center"/>
          </w:tcPr>
          <w:p>
            <w:pPr>
              <w:rPr>
                <w:rFonts w:ascii="宋体" w:hAnsi="宋体" w:cs="宋体"/>
                <w:bCs/>
                <w:color w:val="auto"/>
                <w:sz w:val="24"/>
                <w:szCs w:val="24"/>
              </w:rPr>
            </w:pPr>
            <w:r>
              <w:rPr>
                <w:rFonts w:hint="eastAsia" w:ascii="宋体" w:hAnsi="宋体"/>
                <w:color w:val="auto"/>
                <w:sz w:val="24"/>
                <w:szCs w:val="24"/>
              </w:rPr>
              <w:t>3.1</w:t>
            </w:r>
          </w:p>
        </w:tc>
        <w:tc>
          <w:tcPr>
            <w:tcW w:w="6237" w:type="dxa"/>
            <w:vAlign w:val="center"/>
          </w:tcPr>
          <w:p>
            <w:pPr>
              <w:rPr>
                <w:rFonts w:ascii="宋体" w:hAnsi="宋体" w:cs="宋体"/>
                <w:bCs/>
                <w:color w:val="auto"/>
                <w:sz w:val="24"/>
                <w:szCs w:val="24"/>
              </w:rPr>
            </w:pPr>
            <w:bookmarkStart w:id="258" w:name="_Toc44688207"/>
            <w:bookmarkStart w:id="259" w:name="_Toc44687981"/>
            <w:r>
              <w:rPr>
                <w:rFonts w:hint="eastAsia" w:ascii="宋体" w:hAnsi="宋体"/>
                <w:color w:val="auto"/>
                <w:sz w:val="24"/>
                <w:szCs w:val="24"/>
              </w:rPr>
              <w:t>规定的没有标注可以购买进口产品的标的提供进口产品</w:t>
            </w:r>
            <w:bookmarkEnd w:id="258"/>
            <w:bookmarkEnd w:id="259"/>
            <w:r>
              <w:rPr>
                <w:rFonts w:hint="eastAsia" w:ascii="宋体" w:hAnsi="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47"/>
              </w:numPr>
              <w:rPr>
                <w:rFonts w:ascii="宋体" w:hAnsi="宋体" w:cs="宋体"/>
                <w:b/>
                <w:bCs/>
                <w:color w:val="auto"/>
                <w:sz w:val="24"/>
                <w:szCs w:val="24"/>
              </w:rPr>
            </w:pPr>
          </w:p>
        </w:tc>
        <w:tc>
          <w:tcPr>
            <w:tcW w:w="851" w:type="dxa"/>
            <w:vMerge w:val="continue"/>
            <w:vAlign w:val="center"/>
          </w:tcPr>
          <w:p>
            <w:pPr>
              <w:rPr>
                <w:rFonts w:ascii="宋体" w:hAnsi="宋体"/>
                <w:color w:val="auto"/>
                <w:sz w:val="24"/>
                <w:szCs w:val="24"/>
              </w:rPr>
            </w:pPr>
          </w:p>
        </w:tc>
        <w:tc>
          <w:tcPr>
            <w:tcW w:w="850" w:type="dxa"/>
            <w:vAlign w:val="center"/>
          </w:tcPr>
          <w:p>
            <w:pPr>
              <w:rPr>
                <w:rFonts w:ascii="宋体" w:hAnsi="宋体"/>
                <w:color w:val="auto"/>
                <w:sz w:val="24"/>
                <w:szCs w:val="24"/>
              </w:rPr>
            </w:pPr>
            <w:bookmarkStart w:id="260" w:name="_Toc44688210"/>
            <w:bookmarkStart w:id="261" w:name="_Toc44687984"/>
            <w:r>
              <w:rPr>
                <w:rFonts w:hint="eastAsia" w:ascii="宋体" w:hAnsi="宋体"/>
                <w:color w:val="auto"/>
                <w:sz w:val="24"/>
                <w:szCs w:val="24"/>
              </w:rPr>
              <w:t>5.5</w:t>
            </w:r>
            <w:bookmarkEnd w:id="260"/>
            <w:bookmarkEnd w:id="261"/>
          </w:p>
        </w:tc>
        <w:tc>
          <w:tcPr>
            <w:tcW w:w="6237" w:type="dxa"/>
            <w:vAlign w:val="center"/>
          </w:tcPr>
          <w:p>
            <w:pPr>
              <w:rPr>
                <w:rFonts w:ascii="宋体" w:hAnsi="宋体"/>
                <w:color w:val="auto"/>
                <w:sz w:val="24"/>
                <w:szCs w:val="24"/>
              </w:rPr>
            </w:pPr>
            <w:bookmarkStart w:id="262" w:name="_Toc44687985"/>
            <w:bookmarkStart w:id="263" w:name="_Toc44688211"/>
            <w:r>
              <w:rPr>
                <w:rFonts w:hint="eastAsia" w:ascii="宋体" w:hAnsi="宋体"/>
                <w:color w:val="auto"/>
                <w:sz w:val="24"/>
                <w:szCs w:val="24"/>
              </w:rPr>
              <w:t>任何实质性要求出现负偏离或不响应</w:t>
            </w:r>
            <w:bookmarkEnd w:id="262"/>
            <w:bookmarkEnd w:id="263"/>
            <w:r>
              <w:rPr>
                <w:rFonts w:hint="eastAsia" w:ascii="宋体" w:hAnsi="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47"/>
              </w:numPr>
              <w:rPr>
                <w:rFonts w:ascii="宋体" w:hAnsi="宋体" w:cs="宋体"/>
                <w:b/>
                <w:bCs/>
                <w:color w:val="auto"/>
                <w:sz w:val="24"/>
                <w:szCs w:val="24"/>
              </w:rPr>
            </w:pPr>
          </w:p>
        </w:tc>
        <w:tc>
          <w:tcPr>
            <w:tcW w:w="851" w:type="dxa"/>
            <w:vMerge w:val="continue"/>
            <w:vAlign w:val="center"/>
          </w:tcPr>
          <w:p>
            <w:pPr>
              <w:rPr>
                <w:rFonts w:ascii="宋体" w:hAnsi="宋体"/>
                <w:color w:val="auto"/>
                <w:sz w:val="24"/>
                <w:szCs w:val="24"/>
              </w:rPr>
            </w:pPr>
          </w:p>
        </w:tc>
        <w:tc>
          <w:tcPr>
            <w:tcW w:w="850" w:type="dxa"/>
            <w:vAlign w:val="center"/>
          </w:tcPr>
          <w:p>
            <w:pPr>
              <w:rPr>
                <w:rFonts w:ascii="宋体" w:hAnsi="宋体"/>
                <w:color w:val="auto"/>
                <w:sz w:val="24"/>
                <w:szCs w:val="24"/>
              </w:rPr>
            </w:pPr>
            <w:r>
              <w:rPr>
                <w:rFonts w:hint="eastAsia" w:ascii="宋体" w:hAnsi="宋体"/>
                <w:color w:val="auto"/>
                <w:sz w:val="24"/>
                <w:szCs w:val="24"/>
              </w:rPr>
              <w:t>11.2</w:t>
            </w:r>
          </w:p>
        </w:tc>
        <w:tc>
          <w:tcPr>
            <w:tcW w:w="6237" w:type="dxa"/>
            <w:vAlign w:val="center"/>
          </w:tcPr>
          <w:p>
            <w:pPr>
              <w:rPr>
                <w:rFonts w:ascii="宋体" w:hAnsi="宋体"/>
                <w:color w:val="auto"/>
                <w:sz w:val="24"/>
                <w:szCs w:val="24"/>
              </w:rPr>
            </w:pPr>
            <w:r>
              <w:rPr>
                <w:rFonts w:hint="eastAsia" w:ascii="宋体" w:hAnsi="宋体"/>
                <w:color w:val="auto"/>
                <w:sz w:val="24"/>
                <w:szCs w:val="24"/>
              </w:rPr>
              <w:t>投标报价中对投标标的的主体、关键内容有漏项、缺项。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47"/>
              </w:numPr>
              <w:rPr>
                <w:rFonts w:ascii="宋体" w:hAnsi="宋体"/>
                <w:color w:val="auto"/>
                <w:sz w:val="24"/>
                <w:szCs w:val="24"/>
              </w:rPr>
            </w:pPr>
          </w:p>
        </w:tc>
        <w:tc>
          <w:tcPr>
            <w:tcW w:w="851" w:type="dxa"/>
            <w:vMerge w:val="continue"/>
            <w:vAlign w:val="center"/>
          </w:tcPr>
          <w:p>
            <w:pPr>
              <w:rPr>
                <w:rFonts w:ascii="宋体" w:hAnsi="宋体"/>
                <w:color w:val="auto"/>
                <w:sz w:val="24"/>
                <w:szCs w:val="24"/>
              </w:rPr>
            </w:pPr>
          </w:p>
        </w:tc>
        <w:tc>
          <w:tcPr>
            <w:tcW w:w="850" w:type="dxa"/>
            <w:vAlign w:val="center"/>
          </w:tcPr>
          <w:p>
            <w:pPr>
              <w:rPr>
                <w:rFonts w:ascii="宋体" w:hAnsi="宋体"/>
                <w:color w:val="auto"/>
                <w:sz w:val="24"/>
                <w:szCs w:val="24"/>
              </w:rPr>
            </w:pPr>
            <w:bookmarkStart w:id="264" w:name="_Toc44688231"/>
            <w:bookmarkStart w:id="265" w:name="_Toc44688005"/>
            <w:r>
              <w:rPr>
                <w:rFonts w:hint="eastAsia" w:ascii="宋体" w:hAnsi="宋体"/>
                <w:color w:val="auto"/>
                <w:sz w:val="24"/>
                <w:szCs w:val="24"/>
              </w:rPr>
              <w:t>11.4</w:t>
            </w:r>
            <w:bookmarkEnd w:id="264"/>
            <w:bookmarkEnd w:id="265"/>
          </w:p>
        </w:tc>
        <w:tc>
          <w:tcPr>
            <w:tcW w:w="6237" w:type="dxa"/>
            <w:vAlign w:val="center"/>
          </w:tcPr>
          <w:p>
            <w:pPr>
              <w:rPr>
                <w:rFonts w:ascii="宋体" w:hAnsi="宋体"/>
                <w:color w:val="auto"/>
                <w:sz w:val="24"/>
                <w:szCs w:val="24"/>
              </w:rPr>
            </w:pPr>
            <w:bookmarkStart w:id="266" w:name="_Toc44688232"/>
            <w:bookmarkStart w:id="267" w:name="_Toc44688006"/>
            <w:r>
              <w:rPr>
                <w:rFonts w:hint="eastAsia" w:ascii="宋体" w:hAnsi="宋体"/>
                <w:color w:val="auto"/>
                <w:sz w:val="24"/>
                <w:szCs w:val="24"/>
              </w:rPr>
              <w:t>招标文件未允许提供参考报价时，对任何一种规格的货物或任何一项服务出现多于一个不同的投标报价</w:t>
            </w:r>
            <w:bookmarkEnd w:id="266"/>
            <w:bookmarkEnd w:id="267"/>
            <w:r>
              <w:rPr>
                <w:rFonts w:hint="eastAsia" w:ascii="宋体" w:hAnsi="宋体"/>
                <w:color w:val="auto"/>
                <w:sz w:val="24"/>
                <w:szCs w:val="24"/>
              </w:rPr>
              <w:t>或有附加条件的报价。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47"/>
              </w:numPr>
              <w:rPr>
                <w:rFonts w:ascii="宋体" w:hAnsi="宋体"/>
                <w:color w:val="auto"/>
                <w:sz w:val="24"/>
                <w:szCs w:val="24"/>
              </w:rPr>
            </w:pPr>
          </w:p>
        </w:tc>
        <w:tc>
          <w:tcPr>
            <w:tcW w:w="851" w:type="dxa"/>
            <w:vMerge w:val="continue"/>
            <w:vAlign w:val="center"/>
          </w:tcPr>
          <w:p>
            <w:pPr>
              <w:rPr>
                <w:rFonts w:ascii="宋体" w:hAnsi="宋体" w:cs="宋体"/>
                <w:bCs/>
                <w:color w:val="auto"/>
                <w:sz w:val="24"/>
                <w:szCs w:val="24"/>
              </w:rPr>
            </w:pPr>
          </w:p>
        </w:tc>
        <w:tc>
          <w:tcPr>
            <w:tcW w:w="850" w:type="dxa"/>
            <w:vAlign w:val="center"/>
          </w:tcPr>
          <w:p>
            <w:pPr>
              <w:rPr>
                <w:rFonts w:ascii="宋体" w:hAnsi="宋体"/>
                <w:color w:val="auto"/>
                <w:sz w:val="24"/>
                <w:szCs w:val="24"/>
              </w:rPr>
            </w:pPr>
            <w:bookmarkStart w:id="268" w:name="_Toc44688214"/>
            <w:bookmarkStart w:id="269" w:name="_Toc44687988"/>
            <w:r>
              <w:rPr>
                <w:rFonts w:hint="eastAsia" w:ascii="宋体" w:hAnsi="宋体"/>
                <w:color w:val="auto"/>
                <w:sz w:val="24"/>
                <w:szCs w:val="24"/>
              </w:rPr>
              <w:t>12</w:t>
            </w:r>
            <w:bookmarkEnd w:id="268"/>
            <w:bookmarkEnd w:id="269"/>
          </w:p>
        </w:tc>
        <w:tc>
          <w:tcPr>
            <w:tcW w:w="6237" w:type="dxa"/>
            <w:vAlign w:val="center"/>
          </w:tcPr>
          <w:p>
            <w:pPr>
              <w:rPr>
                <w:rFonts w:ascii="宋体" w:hAnsi="宋体"/>
                <w:color w:val="auto"/>
                <w:sz w:val="24"/>
                <w:szCs w:val="24"/>
              </w:rPr>
            </w:pPr>
            <w:bookmarkStart w:id="270" w:name="_Toc44688215"/>
            <w:bookmarkStart w:id="271" w:name="_Toc44687989"/>
            <w:r>
              <w:rPr>
                <w:rFonts w:hint="eastAsia" w:ascii="宋体" w:hAnsi="宋体"/>
                <w:color w:val="auto"/>
                <w:sz w:val="24"/>
                <w:szCs w:val="24"/>
              </w:rPr>
              <w:t>如招标文件不接受备选方案的，投标人提供的投标方案及报价方案不固定；如招标文件接受备选方案的，提交多于一个方案时但没有明确主选方案。</w:t>
            </w:r>
            <w:bookmarkEnd w:id="270"/>
            <w:bookmarkEnd w:id="27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47"/>
              </w:numPr>
              <w:rPr>
                <w:rFonts w:ascii="宋体" w:hAnsi="宋体"/>
                <w:color w:val="auto"/>
                <w:sz w:val="24"/>
                <w:szCs w:val="24"/>
              </w:rPr>
            </w:pPr>
          </w:p>
        </w:tc>
        <w:tc>
          <w:tcPr>
            <w:tcW w:w="851" w:type="dxa"/>
            <w:vMerge w:val="continue"/>
            <w:vAlign w:val="center"/>
          </w:tcPr>
          <w:p>
            <w:pPr>
              <w:rPr>
                <w:rFonts w:ascii="宋体" w:hAnsi="宋体" w:cs="宋体"/>
                <w:bCs/>
                <w:color w:val="auto"/>
                <w:sz w:val="24"/>
                <w:szCs w:val="24"/>
              </w:rPr>
            </w:pPr>
          </w:p>
        </w:tc>
        <w:tc>
          <w:tcPr>
            <w:tcW w:w="850" w:type="dxa"/>
            <w:vAlign w:val="center"/>
          </w:tcPr>
          <w:p>
            <w:pPr>
              <w:autoSpaceDE w:val="0"/>
              <w:autoSpaceDN w:val="0"/>
              <w:rPr>
                <w:rFonts w:ascii="宋体" w:hAnsi="宋体"/>
                <w:color w:val="auto"/>
                <w:sz w:val="24"/>
                <w:szCs w:val="24"/>
              </w:rPr>
            </w:pPr>
            <w:r>
              <w:rPr>
                <w:rFonts w:hint="eastAsia" w:ascii="宋体" w:hAnsi="宋体"/>
                <w:color w:val="auto"/>
                <w:sz w:val="24"/>
                <w:szCs w:val="24"/>
              </w:rPr>
              <w:t>15.</w:t>
            </w:r>
          </w:p>
        </w:tc>
        <w:tc>
          <w:tcPr>
            <w:tcW w:w="6237" w:type="dxa"/>
            <w:vAlign w:val="center"/>
          </w:tcPr>
          <w:p>
            <w:pPr>
              <w:autoSpaceDE w:val="0"/>
              <w:autoSpaceDN w:val="0"/>
              <w:rPr>
                <w:rFonts w:ascii="宋体" w:hAnsi="宋体"/>
                <w:color w:val="auto"/>
                <w:sz w:val="24"/>
                <w:szCs w:val="24"/>
              </w:rPr>
            </w:pPr>
            <w:r>
              <w:rPr>
                <w:rFonts w:hint="eastAsia" w:ascii="宋体" w:hAnsi="宋体"/>
                <w:color w:val="auto"/>
                <w:sz w:val="24"/>
                <w:szCs w:val="24"/>
              </w:rPr>
              <w:t>如要求，未按招标文件要求交纳足额投标保证金。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47"/>
              </w:numPr>
              <w:rPr>
                <w:rFonts w:ascii="宋体" w:hAnsi="宋体"/>
                <w:color w:val="auto"/>
                <w:sz w:val="24"/>
                <w:szCs w:val="24"/>
              </w:rPr>
            </w:pPr>
          </w:p>
        </w:tc>
        <w:tc>
          <w:tcPr>
            <w:tcW w:w="851" w:type="dxa"/>
            <w:vMerge w:val="continue"/>
            <w:vAlign w:val="center"/>
          </w:tcPr>
          <w:p>
            <w:pPr>
              <w:rPr>
                <w:rFonts w:ascii="宋体" w:hAnsi="宋体" w:cs="宋体"/>
                <w:bCs/>
                <w:color w:val="auto"/>
                <w:sz w:val="24"/>
                <w:szCs w:val="24"/>
              </w:rPr>
            </w:pPr>
          </w:p>
        </w:tc>
        <w:tc>
          <w:tcPr>
            <w:tcW w:w="850" w:type="dxa"/>
            <w:vAlign w:val="center"/>
          </w:tcPr>
          <w:p>
            <w:pPr>
              <w:rPr>
                <w:rFonts w:ascii="宋体" w:hAnsi="宋体" w:cs="宋体"/>
                <w:bCs/>
                <w:color w:val="auto"/>
                <w:sz w:val="24"/>
                <w:szCs w:val="24"/>
              </w:rPr>
            </w:pPr>
            <w:bookmarkStart w:id="272" w:name="_Toc44688218"/>
            <w:bookmarkStart w:id="273" w:name="_Toc44687992"/>
            <w:r>
              <w:rPr>
                <w:rFonts w:hint="eastAsia" w:ascii="宋体" w:hAnsi="宋体"/>
                <w:color w:val="auto"/>
                <w:sz w:val="24"/>
                <w:szCs w:val="24"/>
              </w:rPr>
              <w:t>16.1；16.2</w:t>
            </w:r>
            <w:bookmarkEnd w:id="272"/>
            <w:bookmarkEnd w:id="273"/>
          </w:p>
        </w:tc>
        <w:tc>
          <w:tcPr>
            <w:tcW w:w="6237" w:type="dxa"/>
            <w:vAlign w:val="center"/>
          </w:tcPr>
          <w:p>
            <w:pPr>
              <w:rPr>
                <w:rFonts w:ascii="宋体" w:hAnsi="宋体"/>
                <w:color w:val="auto"/>
                <w:sz w:val="24"/>
                <w:szCs w:val="24"/>
              </w:rPr>
            </w:pPr>
            <w:bookmarkStart w:id="274" w:name="_Toc44688219"/>
            <w:bookmarkStart w:id="275" w:name="_Toc44687993"/>
            <w:r>
              <w:rPr>
                <w:rFonts w:hint="eastAsia" w:ascii="宋体" w:hAnsi="宋体"/>
                <w:color w:val="auto"/>
                <w:sz w:val="24"/>
                <w:szCs w:val="24"/>
              </w:rPr>
              <w:t>投标有效期不足或未按要求延长投标有效期</w:t>
            </w:r>
            <w:bookmarkEnd w:id="274"/>
            <w:bookmarkEnd w:id="275"/>
            <w:r>
              <w:rPr>
                <w:rFonts w:hint="eastAsia" w:ascii="宋体" w:hAnsi="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47"/>
              </w:numPr>
              <w:rPr>
                <w:rFonts w:ascii="宋体" w:hAnsi="宋体"/>
                <w:color w:val="auto"/>
                <w:sz w:val="24"/>
                <w:szCs w:val="24"/>
              </w:rPr>
            </w:pPr>
          </w:p>
        </w:tc>
        <w:tc>
          <w:tcPr>
            <w:tcW w:w="1701" w:type="dxa"/>
            <w:gridSpan w:val="2"/>
            <w:vAlign w:val="center"/>
          </w:tcPr>
          <w:p>
            <w:pPr>
              <w:rPr>
                <w:rFonts w:ascii="宋体" w:hAnsi="宋体" w:cs="宋体"/>
                <w:bCs/>
                <w:color w:val="auto"/>
                <w:sz w:val="24"/>
                <w:szCs w:val="24"/>
              </w:rPr>
            </w:pPr>
            <w:bookmarkStart w:id="276" w:name="_Toc44688002"/>
            <w:bookmarkStart w:id="277" w:name="_Toc44688228"/>
            <w:r>
              <w:rPr>
                <w:rFonts w:hint="eastAsia" w:ascii="宋体" w:hAnsi="宋体" w:cs="宋体"/>
                <w:bCs/>
                <w:color w:val="auto"/>
                <w:sz w:val="24"/>
                <w:szCs w:val="24"/>
              </w:rPr>
              <w:t>《采购需求》</w:t>
            </w:r>
            <w:bookmarkEnd w:id="276"/>
            <w:bookmarkEnd w:id="277"/>
          </w:p>
        </w:tc>
        <w:tc>
          <w:tcPr>
            <w:tcW w:w="6237" w:type="dxa"/>
            <w:vAlign w:val="center"/>
          </w:tcPr>
          <w:p>
            <w:pPr>
              <w:rPr>
                <w:rFonts w:ascii="宋体" w:hAnsi="宋体" w:cs="宋体"/>
                <w:bCs/>
                <w:color w:val="auto"/>
                <w:sz w:val="24"/>
                <w:szCs w:val="24"/>
              </w:rPr>
            </w:pPr>
            <w:bookmarkStart w:id="278" w:name="_Toc44688003"/>
            <w:bookmarkStart w:id="279" w:name="_Toc44688229"/>
            <w:r>
              <w:rPr>
                <w:rFonts w:hint="eastAsia" w:ascii="宋体" w:hAnsi="宋体" w:cs="宋体"/>
                <w:bCs/>
                <w:color w:val="auto"/>
                <w:sz w:val="24"/>
                <w:szCs w:val="24"/>
              </w:rPr>
              <w:t>1.如本项目《采购需求》将提供投标样品作为实质性要求时，投标人未按照规定提供投标样品。</w:t>
            </w:r>
            <w:bookmarkEnd w:id="278"/>
            <w:bookmarkEnd w:id="279"/>
          </w:p>
          <w:p>
            <w:pPr>
              <w:rPr>
                <w:rFonts w:ascii="宋体" w:hAnsi="宋体"/>
                <w:color w:val="auto"/>
                <w:sz w:val="24"/>
                <w:szCs w:val="24"/>
              </w:rPr>
            </w:pPr>
            <w:r>
              <w:rPr>
                <w:rFonts w:hint="eastAsia" w:ascii="宋体" w:hAnsi="宋体"/>
                <w:color w:val="auto"/>
                <w:sz w:val="24"/>
                <w:szCs w:val="24"/>
              </w:rPr>
              <w:t>2.《采购需求》规定的其他无效情形（如有）。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47"/>
              </w:numPr>
              <w:rPr>
                <w:rFonts w:ascii="宋体" w:hAnsi="宋体"/>
                <w:color w:val="auto"/>
                <w:sz w:val="24"/>
                <w:szCs w:val="24"/>
              </w:rPr>
            </w:pPr>
          </w:p>
        </w:tc>
        <w:tc>
          <w:tcPr>
            <w:tcW w:w="851" w:type="dxa"/>
            <w:vMerge w:val="restart"/>
            <w:vAlign w:val="center"/>
          </w:tcPr>
          <w:p>
            <w:pPr>
              <w:rPr>
                <w:rFonts w:ascii="宋体" w:hAnsi="宋体" w:cs="宋体"/>
                <w:bCs/>
                <w:color w:val="auto"/>
                <w:sz w:val="24"/>
                <w:szCs w:val="24"/>
              </w:rPr>
            </w:pPr>
            <w:r>
              <w:rPr>
                <w:rFonts w:hint="eastAsia" w:ascii="宋体" w:hAnsi="宋体" w:cs="宋体"/>
                <w:bCs/>
                <w:color w:val="auto"/>
                <w:sz w:val="24"/>
                <w:szCs w:val="24"/>
              </w:rPr>
              <w:t>《评标办法》</w:t>
            </w:r>
          </w:p>
        </w:tc>
        <w:tc>
          <w:tcPr>
            <w:tcW w:w="850" w:type="dxa"/>
            <w:vAlign w:val="center"/>
          </w:tcPr>
          <w:p>
            <w:pPr>
              <w:rPr>
                <w:rFonts w:ascii="宋体" w:hAnsi="宋体"/>
                <w:color w:val="auto"/>
                <w:sz w:val="24"/>
                <w:szCs w:val="24"/>
              </w:rPr>
            </w:pPr>
            <w:r>
              <w:rPr>
                <w:rFonts w:hint="eastAsia" w:ascii="宋体" w:hAnsi="宋体"/>
                <w:color w:val="auto"/>
                <w:sz w:val="24"/>
                <w:szCs w:val="24"/>
              </w:rPr>
              <w:t>3.3</w:t>
            </w:r>
          </w:p>
        </w:tc>
        <w:tc>
          <w:tcPr>
            <w:tcW w:w="6237" w:type="dxa"/>
            <w:vAlign w:val="center"/>
          </w:tcPr>
          <w:p>
            <w:pPr>
              <w:rPr>
                <w:rFonts w:ascii="宋体" w:hAnsi="宋体"/>
                <w:color w:val="auto"/>
                <w:sz w:val="24"/>
                <w:szCs w:val="24"/>
              </w:rPr>
            </w:pPr>
            <w:r>
              <w:rPr>
                <w:rFonts w:hint="eastAsia" w:ascii="宋体" w:hAnsi="宋体"/>
                <w:color w:val="auto"/>
                <w:sz w:val="24"/>
                <w:szCs w:val="24"/>
              </w:rPr>
              <w:t>投标人的澄清、说明或者补正的内容超出投标文件的范围或者改变投标文件的实质性内容。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47"/>
              </w:numPr>
              <w:rPr>
                <w:rFonts w:ascii="宋体" w:hAnsi="宋体"/>
                <w:color w:val="auto"/>
                <w:sz w:val="24"/>
                <w:szCs w:val="24"/>
              </w:rPr>
            </w:pPr>
          </w:p>
        </w:tc>
        <w:tc>
          <w:tcPr>
            <w:tcW w:w="851" w:type="dxa"/>
            <w:vMerge w:val="continue"/>
            <w:vAlign w:val="center"/>
          </w:tcPr>
          <w:p>
            <w:pPr>
              <w:rPr>
                <w:rFonts w:ascii="宋体" w:hAnsi="宋体" w:cs="宋体"/>
                <w:b/>
                <w:bCs/>
                <w:color w:val="auto"/>
                <w:sz w:val="24"/>
                <w:szCs w:val="24"/>
              </w:rPr>
            </w:pPr>
          </w:p>
        </w:tc>
        <w:tc>
          <w:tcPr>
            <w:tcW w:w="850" w:type="dxa"/>
            <w:vAlign w:val="center"/>
          </w:tcPr>
          <w:p>
            <w:pPr>
              <w:rPr>
                <w:rFonts w:ascii="宋体" w:hAnsi="宋体"/>
                <w:color w:val="auto"/>
                <w:sz w:val="24"/>
                <w:szCs w:val="24"/>
              </w:rPr>
            </w:pPr>
            <w:r>
              <w:rPr>
                <w:rFonts w:hint="eastAsia" w:ascii="宋体" w:hAnsi="宋体"/>
                <w:color w:val="auto"/>
                <w:sz w:val="24"/>
                <w:szCs w:val="24"/>
              </w:rPr>
              <w:t>3.5</w:t>
            </w:r>
          </w:p>
        </w:tc>
        <w:tc>
          <w:tcPr>
            <w:tcW w:w="6237" w:type="dxa"/>
            <w:vAlign w:val="center"/>
          </w:tcPr>
          <w:p>
            <w:pPr>
              <w:rPr>
                <w:rFonts w:ascii="宋体" w:hAnsi="宋体"/>
                <w:color w:val="auto"/>
                <w:sz w:val="24"/>
                <w:szCs w:val="24"/>
              </w:rPr>
            </w:pPr>
            <w:r>
              <w:rPr>
                <w:rFonts w:hint="eastAsia" w:ascii="宋体" w:hAnsi="宋体"/>
                <w:color w:val="auto"/>
                <w:sz w:val="24"/>
                <w:szCs w:val="24"/>
              </w:rPr>
              <w:t>如评标委员会认为投标人的报价明显低于其他通过符合性审查投标人的报价，有可能影响项目质量或者不能诚信履约的，将要求其在评标现场合理的时间内提供书面说明，必要时提交相关证明材料。投标人不能证明其报价合理性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47"/>
              </w:numPr>
              <w:rPr>
                <w:rFonts w:ascii="宋体" w:hAnsi="宋体"/>
                <w:color w:val="auto"/>
                <w:sz w:val="24"/>
                <w:szCs w:val="24"/>
              </w:rPr>
            </w:pPr>
          </w:p>
        </w:tc>
        <w:tc>
          <w:tcPr>
            <w:tcW w:w="851" w:type="dxa"/>
            <w:vMerge w:val="continue"/>
            <w:vAlign w:val="center"/>
          </w:tcPr>
          <w:p>
            <w:pPr>
              <w:rPr>
                <w:rFonts w:ascii="宋体" w:hAnsi="宋体" w:cs="宋体"/>
                <w:b/>
                <w:bCs/>
                <w:color w:val="auto"/>
                <w:sz w:val="24"/>
                <w:szCs w:val="24"/>
              </w:rPr>
            </w:pPr>
          </w:p>
        </w:tc>
        <w:tc>
          <w:tcPr>
            <w:tcW w:w="850" w:type="dxa"/>
            <w:vAlign w:val="center"/>
          </w:tcPr>
          <w:p>
            <w:pPr>
              <w:rPr>
                <w:rFonts w:ascii="宋体" w:hAnsi="宋体"/>
                <w:color w:val="auto"/>
                <w:sz w:val="24"/>
                <w:szCs w:val="24"/>
              </w:rPr>
            </w:pPr>
            <w:bookmarkStart w:id="280" w:name="_Toc44688243"/>
            <w:bookmarkStart w:id="281" w:name="_Toc44688017"/>
            <w:r>
              <w:rPr>
                <w:rFonts w:hint="eastAsia" w:ascii="宋体" w:hAnsi="宋体"/>
                <w:color w:val="auto"/>
                <w:sz w:val="24"/>
                <w:szCs w:val="24"/>
              </w:rPr>
              <w:t>3.8.1</w:t>
            </w:r>
            <w:bookmarkEnd w:id="280"/>
            <w:bookmarkEnd w:id="281"/>
          </w:p>
        </w:tc>
        <w:tc>
          <w:tcPr>
            <w:tcW w:w="6237" w:type="dxa"/>
            <w:vAlign w:val="center"/>
          </w:tcPr>
          <w:p>
            <w:pPr>
              <w:rPr>
                <w:rFonts w:ascii="宋体" w:hAnsi="宋体"/>
                <w:color w:val="auto"/>
                <w:sz w:val="24"/>
                <w:szCs w:val="24"/>
              </w:rPr>
            </w:pPr>
            <w:bookmarkStart w:id="282" w:name="_Toc44688018"/>
            <w:bookmarkStart w:id="283" w:name="_Toc44688244"/>
            <w:r>
              <w:rPr>
                <w:rFonts w:hint="eastAsia" w:ascii="宋体" w:hAnsi="宋体"/>
                <w:color w:val="auto"/>
                <w:sz w:val="24"/>
                <w:szCs w:val="24"/>
              </w:rPr>
              <w:t>评标委员会对投标人的投标报价算数错误按照招标文件的规定进行修正，投标人对修正后的报价不按规定确认的。</w:t>
            </w:r>
            <w:bookmarkEnd w:id="282"/>
            <w:bookmarkEnd w:id="28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47"/>
              </w:numPr>
              <w:rPr>
                <w:rFonts w:ascii="宋体" w:hAnsi="宋体"/>
                <w:color w:val="auto"/>
                <w:sz w:val="24"/>
                <w:szCs w:val="24"/>
              </w:rPr>
            </w:pPr>
          </w:p>
        </w:tc>
        <w:tc>
          <w:tcPr>
            <w:tcW w:w="851" w:type="dxa"/>
            <w:vMerge w:val="continue"/>
            <w:vAlign w:val="center"/>
          </w:tcPr>
          <w:p>
            <w:pPr>
              <w:rPr>
                <w:rFonts w:ascii="宋体" w:hAnsi="宋体" w:cs="宋体"/>
                <w:b/>
                <w:bCs/>
                <w:color w:val="auto"/>
                <w:sz w:val="24"/>
                <w:szCs w:val="24"/>
              </w:rPr>
            </w:pPr>
          </w:p>
        </w:tc>
        <w:tc>
          <w:tcPr>
            <w:tcW w:w="850" w:type="dxa"/>
            <w:vAlign w:val="center"/>
          </w:tcPr>
          <w:p>
            <w:pPr>
              <w:rPr>
                <w:rFonts w:ascii="宋体" w:hAnsi="宋体"/>
                <w:color w:val="auto"/>
                <w:sz w:val="24"/>
                <w:szCs w:val="24"/>
              </w:rPr>
            </w:pPr>
            <w:r>
              <w:rPr>
                <w:rFonts w:hint="eastAsia" w:ascii="宋体" w:hAnsi="宋体"/>
                <w:color w:val="auto"/>
                <w:sz w:val="24"/>
                <w:szCs w:val="24"/>
              </w:rPr>
              <w:t>3.9.1</w:t>
            </w:r>
          </w:p>
        </w:tc>
        <w:tc>
          <w:tcPr>
            <w:tcW w:w="6237" w:type="dxa"/>
            <w:vAlign w:val="center"/>
          </w:tcPr>
          <w:p>
            <w:pPr>
              <w:rPr>
                <w:rFonts w:ascii="宋体" w:hAnsi="宋体"/>
                <w:color w:val="auto"/>
                <w:sz w:val="24"/>
                <w:szCs w:val="24"/>
              </w:rPr>
            </w:pPr>
            <w:r>
              <w:rPr>
                <w:rFonts w:hint="eastAsia" w:ascii="宋体" w:hAnsi="宋体"/>
                <w:color w:val="auto"/>
                <w:sz w:val="24"/>
                <w:szCs w:val="24"/>
              </w:rPr>
              <w:t>第3.9.1条规定的投标无效情形。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47"/>
              </w:numPr>
              <w:rPr>
                <w:rFonts w:ascii="宋体" w:hAnsi="宋体"/>
                <w:color w:val="auto"/>
                <w:sz w:val="24"/>
                <w:szCs w:val="24"/>
              </w:rPr>
            </w:pPr>
            <w:bookmarkStart w:id="284" w:name="_Toc44688201"/>
            <w:bookmarkEnd w:id="284"/>
            <w:bookmarkStart w:id="285" w:name="_Toc44687975"/>
            <w:bookmarkEnd w:id="285"/>
          </w:p>
        </w:tc>
        <w:tc>
          <w:tcPr>
            <w:tcW w:w="851" w:type="dxa"/>
            <w:vMerge w:val="continue"/>
            <w:vAlign w:val="center"/>
          </w:tcPr>
          <w:p>
            <w:pPr>
              <w:rPr>
                <w:rFonts w:ascii="宋体" w:hAnsi="宋体" w:cs="宋体"/>
                <w:b/>
                <w:bCs/>
                <w:color w:val="auto"/>
                <w:sz w:val="24"/>
                <w:szCs w:val="24"/>
              </w:rPr>
            </w:pPr>
          </w:p>
        </w:tc>
        <w:tc>
          <w:tcPr>
            <w:tcW w:w="850" w:type="dxa"/>
            <w:vAlign w:val="center"/>
          </w:tcPr>
          <w:p>
            <w:pPr>
              <w:rPr>
                <w:rFonts w:ascii="宋体" w:hAnsi="宋体"/>
                <w:color w:val="auto"/>
                <w:sz w:val="24"/>
                <w:szCs w:val="24"/>
              </w:rPr>
            </w:pPr>
            <w:r>
              <w:rPr>
                <w:rFonts w:hint="eastAsia" w:ascii="宋体" w:hAnsi="宋体"/>
                <w:color w:val="auto"/>
                <w:sz w:val="24"/>
                <w:szCs w:val="24"/>
              </w:rPr>
              <w:t>3.9.2</w:t>
            </w:r>
          </w:p>
        </w:tc>
        <w:tc>
          <w:tcPr>
            <w:tcW w:w="6237" w:type="dxa"/>
            <w:vAlign w:val="center"/>
          </w:tcPr>
          <w:p>
            <w:pPr>
              <w:rPr>
                <w:rFonts w:ascii="宋体" w:hAnsi="宋体"/>
                <w:color w:val="auto"/>
                <w:sz w:val="24"/>
                <w:szCs w:val="24"/>
              </w:rPr>
            </w:pPr>
            <w:r>
              <w:rPr>
                <w:rFonts w:hint="eastAsia" w:ascii="宋体" w:hAnsi="宋体"/>
                <w:color w:val="auto"/>
                <w:sz w:val="24"/>
                <w:szCs w:val="24"/>
              </w:rPr>
              <w:t>第3.9.2条规定的属于串通投标的投标无效情形。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numPr>
                <w:ilvl w:val="0"/>
                <w:numId w:val="47"/>
              </w:numPr>
              <w:rPr>
                <w:rFonts w:ascii="宋体" w:hAnsi="宋体"/>
                <w:color w:val="auto"/>
                <w:sz w:val="24"/>
                <w:szCs w:val="24"/>
              </w:rPr>
            </w:pPr>
          </w:p>
        </w:tc>
        <w:tc>
          <w:tcPr>
            <w:tcW w:w="851" w:type="dxa"/>
            <w:vMerge w:val="continue"/>
            <w:vAlign w:val="center"/>
          </w:tcPr>
          <w:p>
            <w:pPr>
              <w:rPr>
                <w:rFonts w:ascii="宋体" w:hAnsi="宋体" w:cs="宋体"/>
                <w:b/>
                <w:bCs/>
                <w:color w:val="auto"/>
                <w:sz w:val="24"/>
                <w:szCs w:val="24"/>
              </w:rPr>
            </w:pPr>
          </w:p>
        </w:tc>
        <w:tc>
          <w:tcPr>
            <w:tcW w:w="850" w:type="dxa"/>
            <w:vAlign w:val="center"/>
          </w:tcPr>
          <w:p>
            <w:pPr>
              <w:rPr>
                <w:rFonts w:ascii="宋体" w:hAnsi="宋体"/>
                <w:color w:val="auto"/>
                <w:sz w:val="24"/>
                <w:szCs w:val="24"/>
              </w:rPr>
            </w:pPr>
            <w:r>
              <w:rPr>
                <w:rFonts w:hint="eastAsia" w:ascii="宋体" w:hAnsi="宋体"/>
                <w:color w:val="auto"/>
                <w:sz w:val="24"/>
                <w:szCs w:val="24"/>
              </w:rPr>
              <w:t>3.9.3</w:t>
            </w:r>
          </w:p>
        </w:tc>
        <w:tc>
          <w:tcPr>
            <w:tcW w:w="6237" w:type="dxa"/>
            <w:vAlign w:val="center"/>
          </w:tcPr>
          <w:p>
            <w:pPr>
              <w:rPr>
                <w:rFonts w:ascii="宋体" w:hAnsi="宋体"/>
                <w:color w:val="auto"/>
                <w:sz w:val="24"/>
                <w:szCs w:val="24"/>
              </w:rPr>
            </w:pPr>
            <w:r>
              <w:rPr>
                <w:rFonts w:hint="eastAsia" w:ascii="宋体" w:hAnsi="宋体"/>
                <w:color w:val="auto"/>
                <w:sz w:val="24"/>
                <w:szCs w:val="24"/>
              </w:rPr>
              <w:t>第3.9.3条规定的其他投标无效的情形。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47"/>
              </w:numPr>
              <w:rPr>
                <w:rFonts w:ascii="宋体" w:hAnsi="宋体"/>
                <w:color w:val="auto"/>
                <w:sz w:val="24"/>
                <w:szCs w:val="24"/>
              </w:rPr>
            </w:pPr>
          </w:p>
        </w:tc>
        <w:tc>
          <w:tcPr>
            <w:tcW w:w="851" w:type="dxa"/>
            <w:vMerge w:val="continue"/>
            <w:vAlign w:val="center"/>
          </w:tcPr>
          <w:p>
            <w:pPr>
              <w:rPr>
                <w:rFonts w:ascii="宋体" w:hAnsi="宋体" w:cs="宋体"/>
                <w:b/>
                <w:bCs/>
                <w:color w:val="auto"/>
                <w:sz w:val="24"/>
                <w:szCs w:val="24"/>
              </w:rPr>
            </w:pPr>
          </w:p>
        </w:tc>
        <w:tc>
          <w:tcPr>
            <w:tcW w:w="850" w:type="dxa"/>
            <w:vAlign w:val="center"/>
          </w:tcPr>
          <w:p>
            <w:pPr>
              <w:rPr>
                <w:rFonts w:ascii="宋体" w:hAnsi="宋体"/>
                <w:color w:val="auto"/>
                <w:sz w:val="24"/>
                <w:szCs w:val="24"/>
              </w:rPr>
            </w:pPr>
            <w:r>
              <w:rPr>
                <w:rFonts w:hint="eastAsia" w:ascii="宋体" w:hAnsi="宋体"/>
                <w:color w:val="auto"/>
                <w:sz w:val="24"/>
                <w:szCs w:val="24"/>
              </w:rPr>
              <w:t>5.3</w:t>
            </w:r>
          </w:p>
        </w:tc>
        <w:tc>
          <w:tcPr>
            <w:tcW w:w="6237" w:type="dxa"/>
            <w:vAlign w:val="center"/>
          </w:tcPr>
          <w:p>
            <w:pPr>
              <w:rPr>
                <w:rFonts w:ascii="宋体" w:hAnsi="宋体"/>
                <w:color w:val="auto"/>
                <w:sz w:val="24"/>
                <w:szCs w:val="24"/>
              </w:rPr>
            </w:pPr>
            <w:r>
              <w:rPr>
                <w:rFonts w:hint="eastAsia" w:ascii="宋体" w:hAnsi="宋体"/>
                <w:color w:val="auto"/>
                <w:sz w:val="24"/>
                <w:szCs w:val="24"/>
              </w:rPr>
              <w:t>不满足《资格审查表》或《符合性审查表》的任何一项情形。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47"/>
              </w:numPr>
              <w:rPr>
                <w:rFonts w:ascii="宋体" w:hAnsi="宋体"/>
                <w:color w:val="auto"/>
                <w:sz w:val="24"/>
                <w:szCs w:val="24"/>
              </w:rPr>
            </w:pPr>
            <w:bookmarkStart w:id="286" w:name="_Toc44688205"/>
            <w:bookmarkEnd w:id="286"/>
            <w:bookmarkStart w:id="287" w:name="_Toc44687991"/>
            <w:bookmarkEnd w:id="287"/>
            <w:bookmarkStart w:id="288" w:name="_Toc44688217"/>
            <w:bookmarkEnd w:id="288"/>
            <w:bookmarkStart w:id="289" w:name="_Toc44687979"/>
            <w:bookmarkEnd w:id="289"/>
          </w:p>
        </w:tc>
        <w:tc>
          <w:tcPr>
            <w:tcW w:w="851" w:type="dxa"/>
            <w:vMerge w:val="continue"/>
            <w:vAlign w:val="center"/>
          </w:tcPr>
          <w:p>
            <w:pPr>
              <w:rPr>
                <w:rFonts w:ascii="宋体" w:hAnsi="宋体"/>
                <w:b/>
                <w:color w:val="auto"/>
                <w:sz w:val="24"/>
                <w:szCs w:val="24"/>
              </w:rPr>
            </w:pPr>
          </w:p>
        </w:tc>
        <w:tc>
          <w:tcPr>
            <w:tcW w:w="850" w:type="dxa"/>
            <w:vAlign w:val="center"/>
          </w:tcPr>
          <w:p>
            <w:pPr>
              <w:rPr>
                <w:rFonts w:ascii="宋体" w:hAnsi="宋体"/>
                <w:color w:val="auto"/>
                <w:sz w:val="24"/>
                <w:szCs w:val="24"/>
              </w:rPr>
            </w:pPr>
            <w:r>
              <w:rPr>
                <w:rFonts w:hint="eastAsia" w:ascii="宋体" w:hAnsi="宋体"/>
                <w:color w:val="auto"/>
                <w:sz w:val="24"/>
                <w:szCs w:val="24"/>
              </w:rPr>
              <w:t>9.</w:t>
            </w:r>
            <w:r>
              <w:rPr>
                <w:rFonts w:ascii="宋体" w:hAnsi="宋体"/>
                <w:color w:val="auto"/>
                <w:sz w:val="24"/>
                <w:szCs w:val="24"/>
              </w:rPr>
              <w:t>1</w:t>
            </w:r>
            <w:r>
              <w:rPr>
                <w:rFonts w:hint="eastAsia" w:ascii="宋体" w:hAnsi="宋体"/>
                <w:color w:val="auto"/>
                <w:sz w:val="24"/>
                <w:szCs w:val="24"/>
              </w:rPr>
              <w:t>.2</w:t>
            </w:r>
          </w:p>
        </w:tc>
        <w:tc>
          <w:tcPr>
            <w:tcW w:w="6237" w:type="dxa"/>
            <w:vAlign w:val="center"/>
          </w:tcPr>
          <w:p>
            <w:pPr>
              <w:rPr>
                <w:rFonts w:ascii="宋体" w:hAnsi="宋体"/>
                <w:color w:val="auto"/>
                <w:sz w:val="24"/>
                <w:szCs w:val="24"/>
              </w:rPr>
            </w:pPr>
            <w:r>
              <w:rPr>
                <w:rFonts w:hint="eastAsia" w:ascii="宋体" w:hAnsi="宋体"/>
                <w:color w:val="auto"/>
                <w:sz w:val="24"/>
                <w:szCs w:val="24"/>
              </w:rPr>
              <w:t>第9.</w:t>
            </w:r>
            <w:r>
              <w:rPr>
                <w:rFonts w:ascii="宋体" w:hAnsi="宋体"/>
                <w:color w:val="auto"/>
                <w:sz w:val="24"/>
                <w:szCs w:val="24"/>
              </w:rPr>
              <w:t>1</w:t>
            </w:r>
            <w:r>
              <w:rPr>
                <w:rFonts w:hint="eastAsia" w:ascii="宋体" w:hAnsi="宋体"/>
                <w:color w:val="auto"/>
                <w:sz w:val="24"/>
                <w:szCs w:val="24"/>
              </w:rPr>
              <w:t>.2条规定的投标无效情形（采用最低评标价法评标、提供相同品牌产品投标时）。</w:t>
            </w:r>
          </w:p>
        </w:tc>
      </w:tr>
    </w:tbl>
    <w:p>
      <w:pPr>
        <w:pStyle w:val="5"/>
        <w:numPr>
          <w:ilvl w:val="0"/>
          <w:numId w:val="0"/>
        </w:numPr>
        <w:tabs>
          <w:tab w:val="left" w:pos="945"/>
        </w:tabs>
        <w:spacing w:before="0" w:after="0" w:line="360" w:lineRule="auto"/>
        <w:ind w:left="425"/>
        <w:jc w:val="center"/>
        <w:rPr>
          <w:rFonts w:ascii="宋体" w:hAnsi="宋体"/>
          <w:color w:val="auto"/>
        </w:rPr>
      </w:pPr>
      <w:r>
        <w:rPr>
          <w:color w:val="auto"/>
          <w:sz w:val="24"/>
          <w:szCs w:val="24"/>
        </w:rPr>
        <w:br w:type="page"/>
      </w:r>
      <w:bookmarkStart w:id="290" w:name="_Toc54335436"/>
      <w:bookmarkStart w:id="291" w:name="_Toc21842"/>
      <w:r>
        <w:rPr>
          <w:rFonts w:hint="eastAsia"/>
          <w:color w:val="auto"/>
        </w:rPr>
        <w:t>评标办法</w:t>
      </w:r>
      <w:bookmarkEnd w:id="290"/>
      <w:bookmarkEnd w:id="291"/>
    </w:p>
    <w:p>
      <w:pPr>
        <w:pStyle w:val="5"/>
        <w:numPr>
          <w:ilvl w:val="0"/>
          <w:numId w:val="48"/>
        </w:numPr>
        <w:tabs>
          <w:tab w:val="left" w:pos="945"/>
        </w:tabs>
        <w:spacing w:before="0" w:after="0" w:line="360" w:lineRule="auto"/>
        <w:ind w:left="964" w:hanging="960" w:hangingChars="400"/>
        <w:rPr>
          <w:rFonts w:ascii="宋体" w:hAnsi="宋体"/>
          <w:color w:val="auto"/>
          <w:sz w:val="24"/>
          <w:szCs w:val="24"/>
        </w:rPr>
      </w:pPr>
      <w:bookmarkStart w:id="292" w:name="_Toc21031"/>
      <w:bookmarkStart w:id="293" w:name="_Toc54335437"/>
      <w:r>
        <w:rPr>
          <w:rFonts w:hint="eastAsia" w:ascii="宋体" w:hAnsi="宋体"/>
          <w:color w:val="auto"/>
          <w:sz w:val="24"/>
          <w:szCs w:val="24"/>
        </w:rPr>
        <w:t>开标</w:t>
      </w:r>
      <w:bookmarkEnd w:id="292"/>
      <w:bookmarkEnd w:id="293"/>
    </w:p>
    <w:p>
      <w:pPr>
        <w:numPr>
          <w:ilvl w:val="0"/>
          <w:numId w:val="49"/>
        </w:numPr>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 xml:space="preserve">    开标在招标文件确定的提交投标文件截止时间的同一时间进行。开标地点为招标文件中预先确定的地点。开标由采购人或者采购代理机构主持，邀请投标人参加。参加开标的代表应签到以证明其出席。</w:t>
      </w:r>
    </w:p>
    <w:p>
      <w:pPr>
        <w:numPr>
          <w:ilvl w:val="0"/>
          <w:numId w:val="49"/>
        </w:numPr>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 xml:space="preserve">    开标时，由投标人或者其推选的代表检查投标文件的密封情况；经确认无误后，由采购人或者采购代理机构工作人员当众拆封，宣布投标人名称、投标价格和招标文件规定的需要宣布的其他内容。</w:t>
      </w:r>
    </w:p>
    <w:p>
      <w:pPr>
        <w:numPr>
          <w:ilvl w:val="0"/>
          <w:numId w:val="49"/>
        </w:numPr>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 xml:space="preserve">    开标过程由采购人或者采购代理机构负责记录，由参加开标的各投标人代表和相关工作人员签字确认后随采购文件一并存档。投标人代表对开标过程和开标记录有疑义，以及认为采购人、采购代理机构相关工作人员有需要回避的情形的，应当场提出询问或者回避申请。采购人、采购代理机构对投标人代表提出的询问或者回避申请应当及时处理。发现工作人员唱错或唱漏的，可以当场予以纠正或对错漏部分重新唱标。投标人未参加开标的，视同认可开标结果，并放弃其对开标环节质疑的权利。</w:t>
      </w:r>
    </w:p>
    <w:p>
      <w:pPr>
        <w:numPr>
          <w:ilvl w:val="0"/>
          <w:numId w:val="49"/>
        </w:numPr>
        <w:autoSpaceDE w:val="0"/>
        <w:autoSpaceDN w:val="0"/>
        <w:spacing w:line="360" w:lineRule="auto"/>
        <w:ind w:left="960" w:hanging="960" w:hangingChars="400"/>
        <w:rPr>
          <w:color w:val="auto"/>
        </w:rPr>
      </w:pPr>
      <w:r>
        <w:rPr>
          <w:rFonts w:hint="eastAsia" w:ascii="宋体" w:hAnsi="宋体"/>
          <w:color w:val="auto"/>
          <w:sz w:val="24"/>
          <w:szCs w:val="24"/>
        </w:rPr>
        <w:t xml:space="preserve">    投标人不足3家的，不得开标，该次招标失败。</w:t>
      </w:r>
    </w:p>
    <w:p>
      <w:pPr>
        <w:pStyle w:val="5"/>
        <w:numPr>
          <w:ilvl w:val="0"/>
          <w:numId w:val="48"/>
        </w:numPr>
        <w:tabs>
          <w:tab w:val="left" w:pos="945"/>
        </w:tabs>
        <w:spacing w:before="0" w:after="0" w:line="360" w:lineRule="auto"/>
        <w:rPr>
          <w:rFonts w:ascii="宋体" w:hAnsi="宋体"/>
          <w:color w:val="auto"/>
          <w:sz w:val="24"/>
          <w:szCs w:val="24"/>
        </w:rPr>
      </w:pPr>
      <w:bookmarkStart w:id="294" w:name="_Toc32090"/>
      <w:bookmarkStart w:id="295" w:name="_Toc54335438"/>
      <w:r>
        <w:rPr>
          <w:rFonts w:hint="eastAsia" w:ascii="宋体" w:hAnsi="宋体"/>
          <w:color w:val="auto"/>
          <w:sz w:val="24"/>
          <w:szCs w:val="24"/>
        </w:rPr>
        <w:t>评标委员会</w:t>
      </w:r>
      <w:bookmarkEnd w:id="294"/>
      <w:bookmarkEnd w:id="295"/>
    </w:p>
    <w:p>
      <w:pPr>
        <w:autoSpaceDE w:val="0"/>
        <w:autoSpaceDN w:val="0"/>
        <w:adjustRightInd w:val="0"/>
        <w:spacing w:line="360" w:lineRule="auto"/>
        <w:ind w:left="960" w:hanging="960" w:hangingChars="400"/>
        <w:rPr>
          <w:rFonts w:ascii="宋体" w:hAnsi="宋体"/>
          <w:color w:val="auto"/>
          <w:sz w:val="24"/>
          <w:szCs w:val="24"/>
        </w:rPr>
      </w:pPr>
      <w:r>
        <w:rPr>
          <w:rFonts w:hint="eastAsia" w:ascii="宋体" w:hAnsi="宋体"/>
          <w:color w:val="auto"/>
          <w:sz w:val="24"/>
          <w:szCs w:val="24"/>
        </w:rPr>
        <w:t>2.1.    评标委员会负责具体评标事务，并独立履行下列职责：</w:t>
      </w:r>
    </w:p>
    <w:p>
      <w:pPr>
        <w:numPr>
          <w:ilvl w:val="0"/>
          <w:numId w:val="50"/>
        </w:numPr>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 xml:space="preserve">   审查、评价投标文件是否符合招标文件的商务、技术等实质性要求；</w:t>
      </w:r>
    </w:p>
    <w:p>
      <w:pPr>
        <w:numPr>
          <w:ilvl w:val="0"/>
          <w:numId w:val="50"/>
        </w:numPr>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 xml:space="preserve">   要求投标人对投标文件有关事项作出澄清或者说明；</w:t>
      </w:r>
    </w:p>
    <w:p>
      <w:pPr>
        <w:numPr>
          <w:ilvl w:val="0"/>
          <w:numId w:val="50"/>
        </w:numPr>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ab/>
      </w:r>
      <w:r>
        <w:rPr>
          <w:rFonts w:hint="eastAsia" w:ascii="宋体" w:hAnsi="宋体"/>
          <w:color w:val="auto"/>
          <w:sz w:val="24"/>
          <w:szCs w:val="24"/>
        </w:rPr>
        <w:t>对投标文件进行比较和评价；</w:t>
      </w:r>
    </w:p>
    <w:p>
      <w:pPr>
        <w:numPr>
          <w:ilvl w:val="0"/>
          <w:numId w:val="50"/>
        </w:numPr>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ab/>
      </w:r>
      <w:r>
        <w:rPr>
          <w:rFonts w:hint="eastAsia" w:ascii="宋体" w:hAnsi="宋体"/>
          <w:color w:val="auto"/>
          <w:sz w:val="24"/>
          <w:szCs w:val="24"/>
        </w:rPr>
        <w:t>确定中标候选人名单，以及根据采购人委托直接确定中标人；</w:t>
      </w:r>
    </w:p>
    <w:p>
      <w:pPr>
        <w:numPr>
          <w:ilvl w:val="0"/>
          <w:numId w:val="50"/>
        </w:numPr>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ab/>
      </w:r>
      <w:r>
        <w:rPr>
          <w:rFonts w:hint="eastAsia" w:ascii="宋体" w:hAnsi="宋体"/>
          <w:color w:val="auto"/>
          <w:sz w:val="24"/>
          <w:szCs w:val="24"/>
        </w:rPr>
        <w:t>向采购人、采购代理机构或者有关部门报告评标中发现的违法行为。</w:t>
      </w:r>
    </w:p>
    <w:p>
      <w:pPr>
        <w:autoSpaceDE w:val="0"/>
        <w:autoSpaceDN w:val="0"/>
        <w:adjustRightInd w:val="0"/>
        <w:spacing w:line="360" w:lineRule="auto"/>
        <w:ind w:left="960" w:hanging="960" w:hangingChars="400"/>
        <w:rPr>
          <w:rFonts w:ascii="宋体" w:hAnsi="宋体"/>
          <w:color w:val="auto"/>
          <w:sz w:val="24"/>
          <w:szCs w:val="24"/>
        </w:rPr>
      </w:pPr>
      <w:r>
        <w:rPr>
          <w:rFonts w:hint="eastAsia" w:ascii="宋体" w:hAnsi="宋体"/>
          <w:color w:val="auto"/>
          <w:sz w:val="24"/>
          <w:szCs w:val="24"/>
        </w:rPr>
        <w:t>2.2.    本次招标依法组建评标委员会。评标委员会由采购人代表和评审专家组成，成员人数及评审专家构成符合政府采购相关规定。一般由采购人或者采购代理机构从省级以上财政部门设立的政府采购评审专家库中，通过随机方式抽取评审专家。</w:t>
      </w:r>
    </w:p>
    <w:p>
      <w:pPr>
        <w:autoSpaceDE w:val="0"/>
        <w:autoSpaceDN w:val="0"/>
        <w:adjustRightInd w:val="0"/>
        <w:spacing w:line="360" w:lineRule="auto"/>
        <w:ind w:left="960" w:hanging="960" w:hangingChars="400"/>
        <w:rPr>
          <w:rFonts w:ascii="宋体" w:hAnsi="宋体"/>
          <w:color w:val="auto"/>
          <w:sz w:val="24"/>
          <w:szCs w:val="24"/>
        </w:rPr>
      </w:pPr>
      <w:r>
        <w:rPr>
          <w:rFonts w:hint="eastAsia" w:ascii="宋体" w:hAnsi="宋体"/>
          <w:color w:val="auto"/>
          <w:sz w:val="24"/>
          <w:szCs w:val="24"/>
        </w:rPr>
        <w:t>2.3.    评标中因评标委员会成员缺席、回避或者健康等特殊原因导致评标委员会组成不符合本办法规定的，采购人或者采购代理机构应当依法补足后继续评标。被更换的评标委员会成员所作出的评标意见无效。无法及时补足评标委员会成员的，采购人或者采购代理机构应当停止评标活动，封存所有投标文件和开标、评标资料，依法重新组建评标委员会进行评标。原评标委员会所作出的评标意见无效。</w:t>
      </w:r>
    </w:p>
    <w:p>
      <w:pPr>
        <w:pStyle w:val="5"/>
        <w:numPr>
          <w:ilvl w:val="0"/>
          <w:numId w:val="48"/>
        </w:numPr>
        <w:tabs>
          <w:tab w:val="left" w:pos="945"/>
        </w:tabs>
        <w:spacing w:before="0" w:after="0" w:line="360" w:lineRule="auto"/>
        <w:rPr>
          <w:rFonts w:ascii="宋体" w:hAnsi="宋体"/>
          <w:color w:val="auto"/>
          <w:sz w:val="24"/>
          <w:szCs w:val="24"/>
        </w:rPr>
      </w:pPr>
      <w:bookmarkStart w:id="296" w:name="_Toc21591"/>
      <w:bookmarkStart w:id="297" w:name="_Toc54335439"/>
      <w:r>
        <w:rPr>
          <w:rFonts w:hint="eastAsia" w:ascii="宋体" w:hAnsi="宋体"/>
          <w:color w:val="auto"/>
          <w:sz w:val="24"/>
          <w:szCs w:val="24"/>
        </w:rPr>
        <w:t>评标注意事项</w:t>
      </w:r>
      <w:bookmarkEnd w:id="296"/>
      <w:bookmarkEnd w:id="297"/>
    </w:p>
    <w:p>
      <w:pPr>
        <w:autoSpaceDE w:val="0"/>
        <w:autoSpaceDN w:val="0"/>
        <w:adjustRightInd w:val="0"/>
        <w:spacing w:line="360" w:lineRule="auto"/>
        <w:ind w:left="960" w:hanging="960" w:hangingChars="400"/>
        <w:rPr>
          <w:rFonts w:ascii="宋体" w:hAnsi="宋体"/>
          <w:color w:val="auto"/>
          <w:sz w:val="24"/>
          <w:szCs w:val="24"/>
        </w:rPr>
      </w:pPr>
      <w:r>
        <w:rPr>
          <w:rFonts w:hint="eastAsia" w:ascii="宋体" w:hAnsi="宋体"/>
          <w:color w:val="auto"/>
          <w:sz w:val="24"/>
          <w:szCs w:val="24"/>
        </w:rPr>
        <w:t>3.1.    采购人、采购代理机构应当采取必要措施，保证评标在严格保密的情况下进行。有关人员对评标情况以及在评标过程中获悉的国家秘密、商业秘密负有保密责任。</w:t>
      </w:r>
    </w:p>
    <w:p>
      <w:pPr>
        <w:autoSpaceDE w:val="0"/>
        <w:autoSpaceDN w:val="0"/>
        <w:adjustRightInd w:val="0"/>
        <w:spacing w:line="360" w:lineRule="auto"/>
        <w:ind w:left="960" w:hanging="960" w:hangingChars="400"/>
        <w:rPr>
          <w:rFonts w:ascii="宋体" w:hAnsi="宋体"/>
          <w:color w:val="auto"/>
          <w:sz w:val="24"/>
          <w:szCs w:val="24"/>
        </w:rPr>
      </w:pPr>
      <w:r>
        <w:rPr>
          <w:rFonts w:hint="eastAsia" w:ascii="宋体" w:hAnsi="宋体"/>
          <w:color w:val="auto"/>
          <w:sz w:val="24"/>
          <w:szCs w:val="24"/>
        </w:rPr>
        <w:t>3.2.    评标委员会将按照招标文件确定的评标方法进行评标。对招标文件中描述有歧义或前后不一致的地方，评标委员会有权按法律法规的规定进行评判，但对同一条款的评判应适用于每个投标人。</w:t>
      </w:r>
    </w:p>
    <w:p>
      <w:pPr>
        <w:autoSpaceDE w:val="0"/>
        <w:autoSpaceDN w:val="0"/>
        <w:adjustRightInd w:val="0"/>
        <w:spacing w:line="360" w:lineRule="auto"/>
        <w:ind w:left="960" w:hanging="960" w:hangingChars="400"/>
        <w:rPr>
          <w:rFonts w:ascii="宋体" w:hAnsi="宋体"/>
          <w:color w:val="auto"/>
          <w:sz w:val="24"/>
          <w:szCs w:val="24"/>
        </w:rPr>
      </w:pPr>
      <w:r>
        <w:rPr>
          <w:rFonts w:hint="eastAsia" w:ascii="宋体" w:hAnsi="宋体"/>
          <w:color w:val="auto"/>
          <w:sz w:val="24"/>
          <w:szCs w:val="24"/>
        </w:rPr>
        <w:t>3.3.    澄清、说明或者补正：对于投标文件中含义不明确、同类问题表述不一致或者有明显文字和计算错误的内容，评标委员会应当以书面形式要求投标人作出必要的澄清、说明或者补正。投标人的澄清、说明或者补正应当采用书面形式，并加盖公章，或者由法定代表人或其授权的代表签字。投标人的澄清、说明或者补正不得超出投标文件的范围或者改变投标文件的实质性内容，投标人的澄清文件是其投标文件的组成部分。</w:t>
      </w:r>
    </w:p>
    <w:p>
      <w:pPr>
        <w:autoSpaceDE w:val="0"/>
        <w:autoSpaceDN w:val="0"/>
        <w:adjustRightInd w:val="0"/>
        <w:spacing w:line="360" w:lineRule="auto"/>
        <w:ind w:left="960" w:hanging="960" w:hangingChars="400"/>
        <w:rPr>
          <w:rFonts w:ascii="宋体" w:hAnsi="宋体"/>
          <w:color w:val="auto"/>
          <w:sz w:val="24"/>
          <w:szCs w:val="24"/>
        </w:rPr>
      </w:pPr>
      <w:r>
        <w:rPr>
          <w:rFonts w:hint="eastAsia" w:ascii="宋体" w:hAnsi="宋体"/>
          <w:color w:val="auto"/>
          <w:sz w:val="24"/>
          <w:szCs w:val="24"/>
        </w:rPr>
        <w:t>3.4.    比较与评价：评标委员会应当按照招标文件中规定的评标方法和标准，对符合性审查合格的投标文件进行商务和技术评估，综合比较与评价。</w:t>
      </w:r>
    </w:p>
    <w:p>
      <w:pPr>
        <w:autoSpaceDE w:val="0"/>
        <w:autoSpaceDN w:val="0"/>
        <w:adjustRightInd w:val="0"/>
        <w:spacing w:line="360" w:lineRule="auto"/>
        <w:ind w:left="960" w:hanging="960" w:hangingChars="400"/>
        <w:rPr>
          <w:rFonts w:ascii="宋体" w:hAnsi="宋体"/>
          <w:color w:val="auto"/>
          <w:sz w:val="24"/>
          <w:szCs w:val="24"/>
        </w:rPr>
      </w:pPr>
      <w:r>
        <w:rPr>
          <w:rFonts w:hint="eastAsia" w:ascii="宋体" w:hAnsi="宋体"/>
          <w:color w:val="auto"/>
          <w:sz w:val="24"/>
          <w:szCs w:val="24"/>
        </w:rPr>
        <w:t>3.5.    评标委员会认为投标人的报价明显低于其他通过符合性审查投标人的报价，有可能影响项目质量或者不能诚信履约的，应当要求其在评标现场合理的时间内提供书面说明，必要时提交相关证明材料；投标人不能证明其报价合理性的，评标委员会应当将其作为无效投标处理。</w:t>
      </w:r>
    </w:p>
    <w:p>
      <w:pPr>
        <w:autoSpaceDE w:val="0"/>
        <w:autoSpaceDN w:val="0"/>
        <w:adjustRightInd w:val="0"/>
        <w:spacing w:line="360" w:lineRule="auto"/>
        <w:ind w:left="960" w:hanging="960" w:hangingChars="400"/>
        <w:rPr>
          <w:rFonts w:ascii="宋体" w:hAnsi="宋体"/>
          <w:color w:val="auto"/>
          <w:sz w:val="24"/>
          <w:szCs w:val="24"/>
        </w:rPr>
      </w:pPr>
      <w:r>
        <w:rPr>
          <w:rFonts w:hint="eastAsia" w:ascii="宋体" w:hAnsi="宋体"/>
          <w:color w:val="auto"/>
          <w:sz w:val="24"/>
          <w:szCs w:val="24"/>
        </w:rPr>
        <w:t>3.6.    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autoSpaceDE w:val="0"/>
        <w:autoSpaceDN w:val="0"/>
        <w:adjustRightInd w:val="0"/>
        <w:spacing w:line="360" w:lineRule="auto"/>
        <w:ind w:left="960" w:hanging="960" w:hangingChars="400"/>
        <w:rPr>
          <w:rFonts w:ascii="宋体" w:hAnsi="宋体"/>
          <w:color w:val="auto"/>
          <w:sz w:val="24"/>
          <w:szCs w:val="24"/>
        </w:rPr>
      </w:pPr>
      <w:r>
        <w:rPr>
          <w:rFonts w:hint="eastAsia" w:ascii="宋体" w:hAnsi="宋体"/>
          <w:color w:val="auto"/>
          <w:sz w:val="24"/>
          <w:szCs w:val="24"/>
        </w:rPr>
        <w:t>3.7.    评标委员会成员对需要共同认定的事项存在争议的，应当按照少数服从多数的原则作出结论。持不同意见的评标委员会成员应当在评标报告上签署不同意见及理由，否则视为同意评标报告。</w:t>
      </w:r>
    </w:p>
    <w:p>
      <w:pPr>
        <w:autoSpaceDE w:val="0"/>
        <w:autoSpaceDN w:val="0"/>
        <w:adjustRightInd w:val="0"/>
        <w:spacing w:line="360" w:lineRule="auto"/>
        <w:ind w:left="960" w:hanging="960" w:hangingChars="400"/>
        <w:rPr>
          <w:rFonts w:ascii="宋体" w:hAnsi="宋体"/>
          <w:color w:val="auto"/>
          <w:sz w:val="24"/>
          <w:szCs w:val="24"/>
        </w:rPr>
      </w:pPr>
      <w:r>
        <w:rPr>
          <w:rFonts w:hint="eastAsia" w:ascii="宋体" w:hAnsi="宋体"/>
          <w:color w:val="auto"/>
          <w:sz w:val="24"/>
          <w:szCs w:val="24"/>
        </w:rPr>
        <w:t>3.8     投标文件差异修正原则</w:t>
      </w:r>
    </w:p>
    <w:p>
      <w:pPr>
        <w:autoSpaceDE w:val="0"/>
        <w:autoSpaceDN w:val="0"/>
        <w:adjustRightInd w:val="0"/>
        <w:spacing w:line="360" w:lineRule="auto"/>
        <w:ind w:left="960" w:hanging="960" w:hangingChars="400"/>
        <w:rPr>
          <w:rFonts w:ascii="宋体" w:hAnsi="宋体"/>
          <w:color w:val="auto"/>
          <w:sz w:val="24"/>
          <w:szCs w:val="24"/>
        </w:rPr>
      </w:pPr>
      <w:r>
        <w:rPr>
          <w:rFonts w:hint="eastAsia" w:ascii="宋体" w:hAnsi="宋体"/>
          <w:color w:val="auto"/>
          <w:sz w:val="24"/>
          <w:szCs w:val="24"/>
        </w:rPr>
        <w:t>3.8.1  投标文件报价出现前后不一致，除非招标文件另有规定，按照下列规定修正：</w:t>
      </w:r>
    </w:p>
    <w:p>
      <w:pPr>
        <w:autoSpaceDE w:val="0"/>
        <w:autoSpaceDN w:val="0"/>
        <w:adjustRightInd w:val="0"/>
        <w:spacing w:line="360" w:lineRule="auto"/>
        <w:ind w:left="915" w:leftChars="150" w:hanging="600" w:hangingChars="250"/>
        <w:rPr>
          <w:rFonts w:ascii="宋体" w:hAnsi="宋体"/>
          <w:color w:val="auto"/>
          <w:sz w:val="24"/>
          <w:szCs w:val="24"/>
        </w:rPr>
      </w:pPr>
      <w:r>
        <w:rPr>
          <w:rFonts w:hint="eastAsia" w:ascii="宋体" w:hAnsi="宋体"/>
          <w:color w:val="auto"/>
          <w:sz w:val="24"/>
          <w:szCs w:val="24"/>
        </w:rPr>
        <w:t>（1）投标文件中开标一览表（报价表）内容与投标文件中相应内容不一致的，以开标一览表（报价表）为准；</w:t>
      </w:r>
    </w:p>
    <w:p>
      <w:pPr>
        <w:autoSpaceDE w:val="0"/>
        <w:autoSpaceDN w:val="0"/>
        <w:adjustRightInd w:val="0"/>
        <w:spacing w:line="360" w:lineRule="auto"/>
        <w:ind w:left="915" w:leftChars="150" w:hanging="600" w:hangingChars="250"/>
        <w:rPr>
          <w:rFonts w:ascii="宋体" w:hAnsi="宋体"/>
          <w:color w:val="auto"/>
          <w:sz w:val="24"/>
          <w:szCs w:val="24"/>
        </w:rPr>
      </w:pPr>
      <w:r>
        <w:rPr>
          <w:rFonts w:hint="eastAsia" w:ascii="宋体" w:hAnsi="宋体"/>
          <w:color w:val="auto"/>
          <w:sz w:val="24"/>
          <w:szCs w:val="24"/>
        </w:rPr>
        <w:t>（2）大写金额和小写金额不一致的，以大写金额为准；</w:t>
      </w:r>
    </w:p>
    <w:p>
      <w:pPr>
        <w:autoSpaceDE w:val="0"/>
        <w:autoSpaceDN w:val="0"/>
        <w:adjustRightInd w:val="0"/>
        <w:spacing w:line="360" w:lineRule="auto"/>
        <w:ind w:left="915" w:leftChars="150" w:hanging="600" w:hangingChars="250"/>
        <w:rPr>
          <w:rFonts w:ascii="宋体" w:hAnsi="宋体"/>
          <w:color w:val="auto"/>
          <w:sz w:val="24"/>
          <w:szCs w:val="24"/>
        </w:rPr>
      </w:pPr>
      <w:r>
        <w:rPr>
          <w:rFonts w:hint="eastAsia" w:ascii="宋体" w:hAnsi="宋体"/>
          <w:color w:val="auto"/>
          <w:sz w:val="24"/>
          <w:szCs w:val="24"/>
        </w:rPr>
        <w:t>（3）单价金额小数点或者百分比有明显错位的，以开标一览表的总价为准，并修改单价；</w:t>
      </w:r>
    </w:p>
    <w:p>
      <w:pPr>
        <w:autoSpaceDE w:val="0"/>
        <w:autoSpaceDN w:val="0"/>
        <w:adjustRightInd w:val="0"/>
        <w:spacing w:line="360" w:lineRule="auto"/>
        <w:ind w:left="915" w:leftChars="150" w:hanging="600" w:hangingChars="250"/>
        <w:rPr>
          <w:rFonts w:ascii="宋体" w:hAnsi="宋体"/>
          <w:color w:val="auto"/>
          <w:sz w:val="24"/>
          <w:szCs w:val="24"/>
        </w:rPr>
      </w:pPr>
      <w:r>
        <w:rPr>
          <w:rFonts w:hint="eastAsia" w:ascii="宋体" w:hAnsi="宋体"/>
          <w:color w:val="auto"/>
          <w:sz w:val="24"/>
          <w:szCs w:val="24"/>
        </w:rPr>
        <w:t>（4）总价金额与按单价汇总金额不一致的，以单价金额计算结果为准；（但是单价金额计算结果超过预算价/最高限价的，对其按无效响应处理）</w:t>
      </w:r>
    </w:p>
    <w:p>
      <w:pPr>
        <w:autoSpaceDE w:val="0"/>
        <w:autoSpaceDN w:val="0"/>
        <w:adjustRightInd w:val="0"/>
        <w:spacing w:line="360" w:lineRule="auto"/>
        <w:ind w:left="840" w:leftChars="400" w:firstLine="480" w:firstLineChars="200"/>
        <w:rPr>
          <w:rFonts w:ascii="宋体" w:hAnsi="宋体"/>
          <w:b/>
          <w:color w:val="auto"/>
          <w:sz w:val="24"/>
          <w:szCs w:val="24"/>
        </w:rPr>
      </w:pPr>
      <w:r>
        <w:rPr>
          <w:rFonts w:hint="eastAsia" w:ascii="宋体" w:hAnsi="宋体"/>
          <w:b/>
          <w:color w:val="auto"/>
          <w:sz w:val="24"/>
          <w:szCs w:val="24"/>
        </w:rPr>
        <w:t>同时出现上述两种以上不一致的，按照前款规定的顺序修正。修正后的报价须经投标人加盖公章，或者由法定代表人或其授权的代表签字确认后产生约束力；投标人不确认的，其投标无效。</w:t>
      </w:r>
    </w:p>
    <w:p>
      <w:pPr>
        <w:autoSpaceDE w:val="0"/>
        <w:autoSpaceDN w:val="0"/>
        <w:adjustRightInd w:val="0"/>
        <w:spacing w:line="360" w:lineRule="auto"/>
        <w:rPr>
          <w:rFonts w:ascii="宋体" w:hAnsi="宋体"/>
          <w:color w:val="auto"/>
          <w:sz w:val="24"/>
          <w:szCs w:val="24"/>
        </w:rPr>
      </w:pPr>
      <w:r>
        <w:rPr>
          <w:rFonts w:hint="eastAsia" w:ascii="宋体" w:hAnsi="宋体"/>
          <w:color w:val="auto"/>
          <w:sz w:val="24"/>
          <w:szCs w:val="24"/>
        </w:rPr>
        <w:t>3.8.2  对不同文字文本投标文件的解释发生异议的，以中文文本为准。</w:t>
      </w:r>
    </w:p>
    <w:p>
      <w:pPr>
        <w:autoSpaceDE w:val="0"/>
        <w:autoSpaceDN w:val="0"/>
        <w:adjustRightInd w:val="0"/>
        <w:spacing w:line="360" w:lineRule="auto"/>
        <w:ind w:left="960" w:hanging="960" w:hangingChars="400"/>
        <w:rPr>
          <w:rFonts w:ascii="宋体" w:hAnsi="宋体"/>
          <w:color w:val="auto"/>
          <w:sz w:val="24"/>
          <w:szCs w:val="24"/>
        </w:rPr>
      </w:pPr>
      <w:r>
        <w:rPr>
          <w:rFonts w:hint="eastAsia" w:ascii="宋体" w:hAnsi="宋体"/>
          <w:color w:val="auto"/>
          <w:sz w:val="24"/>
          <w:szCs w:val="24"/>
        </w:rPr>
        <w:t>3.9.    投标无效的情形</w:t>
      </w:r>
    </w:p>
    <w:p>
      <w:pPr>
        <w:numPr>
          <w:ilvl w:val="0"/>
          <w:numId w:val="51"/>
        </w:numPr>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 xml:space="preserve">   投标人存在下列情况之一的，投标无效:</w:t>
      </w:r>
    </w:p>
    <w:p>
      <w:pPr>
        <w:tabs>
          <w:tab w:val="left" w:pos="945"/>
        </w:tabs>
        <w:autoSpaceDE w:val="0"/>
        <w:autoSpaceDN w:val="0"/>
        <w:spacing w:line="360" w:lineRule="auto"/>
        <w:ind w:left="709"/>
        <w:rPr>
          <w:rFonts w:ascii="宋体" w:hAnsi="宋体"/>
          <w:color w:val="auto"/>
          <w:sz w:val="24"/>
          <w:szCs w:val="24"/>
        </w:rPr>
      </w:pPr>
      <w:r>
        <w:rPr>
          <w:rFonts w:hint="eastAsia" w:ascii="宋体" w:hAnsi="宋体"/>
          <w:color w:val="auto"/>
          <w:sz w:val="24"/>
          <w:szCs w:val="24"/>
        </w:rPr>
        <w:t>（1）未按照招标文件的规定提交投标保证金的；</w:t>
      </w:r>
      <w:r>
        <w:rPr>
          <w:rFonts w:hint="eastAsia" w:ascii="宋体" w:hAnsi="宋体"/>
          <w:b/>
          <w:color w:val="auto"/>
          <w:sz w:val="24"/>
          <w:szCs w:val="24"/>
        </w:rPr>
        <w:t>（不需要缴纳投标保证金的项目不适用）</w:t>
      </w:r>
    </w:p>
    <w:p>
      <w:pPr>
        <w:tabs>
          <w:tab w:val="left" w:pos="945"/>
        </w:tabs>
        <w:autoSpaceDE w:val="0"/>
        <w:autoSpaceDN w:val="0"/>
        <w:spacing w:line="360" w:lineRule="auto"/>
        <w:ind w:left="709"/>
        <w:rPr>
          <w:rFonts w:ascii="宋体" w:hAnsi="宋体"/>
          <w:color w:val="auto"/>
          <w:sz w:val="24"/>
          <w:szCs w:val="24"/>
        </w:rPr>
      </w:pPr>
      <w:r>
        <w:rPr>
          <w:rFonts w:hint="eastAsia" w:ascii="宋体" w:hAnsi="宋体"/>
          <w:color w:val="auto"/>
          <w:sz w:val="24"/>
          <w:szCs w:val="24"/>
        </w:rPr>
        <w:t>（2）投标文件未按招标文件要求签署、盖章的；</w:t>
      </w:r>
    </w:p>
    <w:p>
      <w:pPr>
        <w:tabs>
          <w:tab w:val="left" w:pos="945"/>
        </w:tabs>
        <w:autoSpaceDE w:val="0"/>
        <w:autoSpaceDN w:val="0"/>
        <w:spacing w:line="360" w:lineRule="auto"/>
        <w:ind w:left="709"/>
        <w:rPr>
          <w:rFonts w:ascii="宋体" w:hAnsi="宋体"/>
          <w:color w:val="auto"/>
          <w:sz w:val="24"/>
          <w:szCs w:val="24"/>
        </w:rPr>
      </w:pPr>
      <w:r>
        <w:rPr>
          <w:rFonts w:hint="eastAsia" w:ascii="宋体" w:hAnsi="宋体"/>
          <w:color w:val="auto"/>
          <w:sz w:val="24"/>
          <w:szCs w:val="24"/>
        </w:rPr>
        <w:t>（3）不具备招标文件中规定的资格要求的；</w:t>
      </w:r>
    </w:p>
    <w:p>
      <w:pPr>
        <w:tabs>
          <w:tab w:val="left" w:pos="945"/>
        </w:tabs>
        <w:autoSpaceDE w:val="0"/>
        <w:autoSpaceDN w:val="0"/>
        <w:spacing w:line="360" w:lineRule="auto"/>
        <w:ind w:left="709"/>
        <w:rPr>
          <w:rFonts w:ascii="宋体" w:hAnsi="宋体"/>
          <w:color w:val="auto"/>
          <w:sz w:val="24"/>
          <w:szCs w:val="24"/>
        </w:rPr>
      </w:pPr>
      <w:r>
        <w:rPr>
          <w:rFonts w:hint="eastAsia" w:ascii="宋体" w:hAnsi="宋体"/>
          <w:color w:val="auto"/>
          <w:sz w:val="24"/>
          <w:szCs w:val="24"/>
        </w:rPr>
        <w:t>（4）报价超过招标文件中规定的预算金额或者最高限价的；</w:t>
      </w:r>
    </w:p>
    <w:p>
      <w:pPr>
        <w:tabs>
          <w:tab w:val="left" w:pos="945"/>
        </w:tabs>
        <w:autoSpaceDE w:val="0"/>
        <w:autoSpaceDN w:val="0"/>
        <w:spacing w:line="360" w:lineRule="auto"/>
        <w:ind w:left="709"/>
        <w:rPr>
          <w:rFonts w:ascii="宋体" w:hAnsi="宋体"/>
          <w:color w:val="auto"/>
          <w:sz w:val="24"/>
          <w:szCs w:val="24"/>
        </w:rPr>
      </w:pPr>
      <w:r>
        <w:rPr>
          <w:rFonts w:hint="eastAsia" w:ascii="宋体" w:hAnsi="宋体"/>
          <w:color w:val="auto"/>
          <w:sz w:val="24"/>
          <w:szCs w:val="24"/>
        </w:rPr>
        <w:t>（5）投标文件含有采购人不能接受的附加条件的；</w:t>
      </w:r>
    </w:p>
    <w:p>
      <w:pPr>
        <w:tabs>
          <w:tab w:val="left" w:pos="945"/>
        </w:tabs>
        <w:autoSpaceDE w:val="0"/>
        <w:autoSpaceDN w:val="0"/>
        <w:spacing w:line="360" w:lineRule="auto"/>
        <w:ind w:left="709"/>
        <w:rPr>
          <w:rFonts w:ascii="宋体" w:hAnsi="宋体"/>
          <w:color w:val="auto"/>
          <w:sz w:val="24"/>
          <w:szCs w:val="24"/>
        </w:rPr>
      </w:pPr>
      <w:r>
        <w:rPr>
          <w:rFonts w:hint="eastAsia" w:ascii="宋体" w:hAnsi="宋体"/>
          <w:color w:val="auto"/>
          <w:sz w:val="24"/>
          <w:szCs w:val="24"/>
        </w:rPr>
        <w:t>（6）法律、法规和招标文件规定的其他无效情形。</w:t>
      </w:r>
    </w:p>
    <w:p>
      <w:pPr>
        <w:numPr>
          <w:ilvl w:val="0"/>
          <w:numId w:val="51"/>
        </w:numPr>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 xml:space="preserve">   有下列情形之一的，视为投标人串通投标，其投标无效：</w:t>
      </w:r>
    </w:p>
    <w:p>
      <w:pPr>
        <w:tabs>
          <w:tab w:val="left" w:pos="945"/>
        </w:tabs>
        <w:autoSpaceDE w:val="0"/>
        <w:autoSpaceDN w:val="0"/>
        <w:spacing w:line="360" w:lineRule="auto"/>
        <w:ind w:left="709"/>
        <w:rPr>
          <w:rFonts w:ascii="宋体" w:hAnsi="宋体"/>
          <w:color w:val="auto"/>
          <w:sz w:val="24"/>
          <w:szCs w:val="24"/>
        </w:rPr>
      </w:pPr>
      <w:r>
        <w:rPr>
          <w:rFonts w:hint="eastAsia" w:ascii="宋体" w:hAnsi="宋体"/>
          <w:color w:val="auto"/>
          <w:sz w:val="24"/>
          <w:szCs w:val="24"/>
        </w:rPr>
        <w:t>（1）不同投标人的投标文件由同一单位或者个人编制；</w:t>
      </w:r>
    </w:p>
    <w:p>
      <w:pPr>
        <w:tabs>
          <w:tab w:val="left" w:pos="945"/>
        </w:tabs>
        <w:autoSpaceDE w:val="0"/>
        <w:autoSpaceDN w:val="0"/>
        <w:spacing w:line="360" w:lineRule="auto"/>
        <w:ind w:left="709"/>
        <w:rPr>
          <w:rFonts w:ascii="宋体" w:hAnsi="宋体"/>
          <w:color w:val="auto"/>
          <w:sz w:val="24"/>
          <w:szCs w:val="24"/>
        </w:rPr>
      </w:pPr>
      <w:r>
        <w:rPr>
          <w:rFonts w:hint="eastAsia" w:ascii="宋体" w:hAnsi="宋体"/>
          <w:color w:val="auto"/>
          <w:sz w:val="24"/>
          <w:szCs w:val="24"/>
        </w:rPr>
        <w:t>（2）不同投标人委托同一单位或者个人办理投标事宜；</w:t>
      </w:r>
    </w:p>
    <w:p>
      <w:pPr>
        <w:tabs>
          <w:tab w:val="left" w:pos="945"/>
        </w:tabs>
        <w:autoSpaceDE w:val="0"/>
        <w:autoSpaceDN w:val="0"/>
        <w:spacing w:line="360" w:lineRule="auto"/>
        <w:ind w:left="709"/>
        <w:rPr>
          <w:rFonts w:ascii="宋体" w:hAnsi="宋体"/>
          <w:color w:val="auto"/>
          <w:sz w:val="24"/>
          <w:szCs w:val="24"/>
        </w:rPr>
      </w:pPr>
      <w:r>
        <w:rPr>
          <w:rFonts w:hint="eastAsia" w:ascii="宋体" w:hAnsi="宋体"/>
          <w:color w:val="auto"/>
          <w:sz w:val="24"/>
          <w:szCs w:val="24"/>
        </w:rPr>
        <w:t>（3）不同投标人的投标文件载明的项目管理成员或者联系人员为同一人；</w:t>
      </w:r>
    </w:p>
    <w:p>
      <w:pPr>
        <w:tabs>
          <w:tab w:val="left" w:pos="945"/>
        </w:tabs>
        <w:autoSpaceDE w:val="0"/>
        <w:autoSpaceDN w:val="0"/>
        <w:spacing w:line="360" w:lineRule="auto"/>
        <w:ind w:left="709"/>
        <w:rPr>
          <w:rFonts w:ascii="宋体" w:hAnsi="宋体"/>
          <w:color w:val="auto"/>
          <w:sz w:val="24"/>
          <w:szCs w:val="24"/>
        </w:rPr>
      </w:pPr>
      <w:r>
        <w:rPr>
          <w:rFonts w:hint="eastAsia" w:ascii="宋体" w:hAnsi="宋体"/>
          <w:color w:val="auto"/>
          <w:sz w:val="24"/>
          <w:szCs w:val="24"/>
        </w:rPr>
        <w:t>（4）不同投标人的投标文件异常一致或者投标报价呈规律性差异；</w:t>
      </w:r>
    </w:p>
    <w:p>
      <w:pPr>
        <w:tabs>
          <w:tab w:val="left" w:pos="945"/>
        </w:tabs>
        <w:autoSpaceDE w:val="0"/>
        <w:autoSpaceDN w:val="0"/>
        <w:spacing w:line="360" w:lineRule="auto"/>
        <w:ind w:left="709"/>
        <w:rPr>
          <w:rFonts w:ascii="宋体" w:hAnsi="宋体"/>
          <w:color w:val="auto"/>
          <w:sz w:val="24"/>
          <w:szCs w:val="24"/>
        </w:rPr>
      </w:pPr>
      <w:r>
        <w:rPr>
          <w:rFonts w:hint="eastAsia" w:ascii="宋体" w:hAnsi="宋体"/>
          <w:color w:val="auto"/>
          <w:sz w:val="24"/>
          <w:szCs w:val="24"/>
        </w:rPr>
        <w:t>（5）不同投标人的投标文件相互混装；</w:t>
      </w:r>
    </w:p>
    <w:p>
      <w:pPr>
        <w:tabs>
          <w:tab w:val="left" w:pos="945"/>
        </w:tabs>
        <w:autoSpaceDE w:val="0"/>
        <w:autoSpaceDN w:val="0"/>
        <w:spacing w:line="360" w:lineRule="auto"/>
        <w:ind w:left="709"/>
        <w:rPr>
          <w:rFonts w:ascii="宋体" w:hAnsi="宋体"/>
          <w:color w:val="auto"/>
          <w:sz w:val="24"/>
          <w:szCs w:val="24"/>
        </w:rPr>
      </w:pPr>
      <w:r>
        <w:rPr>
          <w:rFonts w:hint="eastAsia" w:ascii="宋体" w:hAnsi="宋体"/>
          <w:color w:val="auto"/>
          <w:sz w:val="24"/>
          <w:szCs w:val="24"/>
        </w:rPr>
        <w:t>（6）不同投标人的投标保证金从同一单位或者个人的账户转出。</w:t>
      </w:r>
      <w:r>
        <w:rPr>
          <w:rFonts w:hint="eastAsia" w:ascii="宋体" w:hAnsi="宋体"/>
          <w:b/>
          <w:color w:val="auto"/>
          <w:sz w:val="24"/>
          <w:szCs w:val="24"/>
        </w:rPr>
        <w:t>（不需要缴纳投标保证金的项目不适用）</w:t>
      </w:r>
    </w:p>
    <w:p>
      <w:pPr>
        <w:numPr>
          <w:ilvl w:val="0"/>
          <w:numId w:val="51"/>
        </w:numPr>
        <w:autoSpaceDE w:val="0"/>
        <w:autoSpaceDN w:val="0"/>
        <w:spacing w:line="360" w:lineRule="auto"/>
        <w:rPr>
          <w:rFonts w:ascii="宋体" w:hAnsi="宋体"/>
          <w:color w:val="auto"/>
          <w:sz w:val="24"/>
          <w:szCs w:val="24"/>
        </w:rPr>
      </w:pPr>
      <w:r>
        <w:rPr>
          <w:rFonts w:hint="eastAsia" w:ascii="宋体" w:hAnsi="宋体"/>
          <w:color w:val="auto"/>
          <w:sz w:val="24"/>
          <w:szCs w:val="24"/>
        </w:rPr>
        <w:t xml:space="preserve">   其他投标无效的情形：详见《资格审查表》、《符合性审查表》和招标文件中其他投标无效条款。</w:t>
      </w:r>
    </w:p>
    <w:p>
      <w:pPr>
        <w:autoSpaceDE w:val="0"/>
        <w:autoSpaceDN w:val="0"/>
        <w:adjustRightInd w:val="0"/>
        <w:spacing w:line="360" w:lineRule="auto"/>
        <w:ind w:left="960" w:hanging="960" w:hangingChars="400"/>
        <w:rPr>
          <w:rFonts w:ascii="宋体" w:hAnsi="宋体"/>
          <w:color w:val="auto"/>
          <w:sz w:val="24"/>
          <w:szCs w:val="24"/>
        </w:rPr>
      </w:pPr>
      <w:r>
        <w:rPr>
          <w:rFonts w:hint="eastAsia" w:ascii="宋体" w:hAnsi="宋体"/>
          <w:color w:val="auto"/>
          <w:sz w:val="24"/>
          <w:szCs w:val="24"/>
        </w:rPr>
        <w:t>3.10.   凡发现中标人有下列行为之一的，将移交政府采购监督管理部门依法处理。</w:t>
      </w:r>
    </w:p>
    <w:p>
      <w:pPr>
        <w:tabs>
          <w:tab w:val="left" w:pos="945"/>
        </w:tabs>
        <w:autoSpaceDE w:val="0"/>
        <w:autoSpaceDN w:val="0"/>
        <w:spacing w:line="360" w:lineRule="auto"/>
        <w:ind w:left="709"/>
        <w:rPr>
          <w:rFonts w:ascii="宋体" w:hAnsi="宋体"/>
          <w:color w:val="auto"/>
          <w:sz w:val="24"/>
          <w:szCs w:val="24"/>
        </w:rPr>
      </w:pPr>
      <w:r>
        <w:rPr>
          <w:rFonts w:hint="eastAsia" w:ascii="宋体" w:hAnsi="宋体"/>
          <w:color w:val="auto"/>
          <w:sz w:val="24"/>
          <w:szCs w:val="24"/>
        </w:rPr>
        <w:t>（1）</w:t>
      </w:r>
      <w:r>
        <w:rPr>
          <w:rFonts w:hint="eastAsia" w:ascii="宋体" w:hAnsi="宋体"/>
          <w:color w:val="auto"/>
          <w:sz w:val="24"/>
          <w:szCs w:val="24"/>
        </w:rPr>
        <w:tab/>
      </w:r>
      <w:r>
        <w:rPr>
          <w:rFonts w:hint="eastAsia" w:ascii="宋体" w:hAnsi="宋体"/>
          <w:color w:val="auto"/>
          <w:sz w:val="24"/>
          <w:szCs w:val="24"/>
        </w:rPr>
        <w:t>提供虚假材料谋取中标（成交）的。</w:t>
      </w:r>
    </w:p>
    <w:p>
      <w:pPr>
        <w:tabs>
          <w:tab w:val="left" w:pos="945"/>
        </w:tabs>
        <w:autoSpaceDE w:val="0"/>
        <w:autoSpaceDN w:val="0"/>
        <w:spacing w:line="360" w:lineRule="auto"/>
        <w:ind w:left="709"/>
        <w:rPr>
          <w:rFonts w:ascii="宋体" w:hAnsi="宋体"/>
          <w:color w:val="auto"/>
          <w:sz w:val="24"/>
          <w:szCs w:val="24"/>
        </w:rPr>
      </w:pPr>
      <w:r>
        <w:rPr>
          <w:rFonts w:hint="eastAsia" w:ascii="宋体" w:hAnsi="宋体"/>
          <w:color w:val="auto"/>
          <w:sz w:val="24"/>
          <w:szCs w:val="24"/>
        </w:rPr>
        <w:t>（2）</w:t>
      </w:r>
      <w:r>
        <w:rPr>
          <w:rFonts w:hint="eastAsia" w:ascii="宋体" w:hAnsi="宋体"/>
          <w:color w:val="auto"/>
          <w:sz w:val="24"/>
          <w:szCs w:val="24"/>
        </w:rPr>
        <w:tab/>
      </w:r>
      <w:r>
        <w:rPr>
          <w:rFonts w:hint="eastAsia" w:ascii="宋体" w:hAnsi="宋体"/>
          <w:color w:val="auto"/>
          <w:sz w:val="24"/>
          <w:szCs w:val="24"/>
        </w:rPr>
        <w:t>采取不正当手段诋毁、排挤其他供应商的。</w:t>
      </w:r>
    </w:p>
    <w:p>
      <w:pPr>
        <w:tabs>
          <w:tab w:val="left" w:pos="945"/>
        </w:tabs>
        <w:autoSpaceDE w:val="0"/>
        <w:autoSpaceDN w:val="0"/>
        <w:spacing w:line="360" w:lineRule="auto"/>
        <w:ind w:left="709"/>
        <w:rPr>
          <w:rFonts w:ascii="宋体" w:hAnsi="宋体"/>
          <w:color w:val="auto"/>
          <w:sz w:val="24"/>
          <w:szCs w:val="24"/>
        </w:rPr>
      </w:pPr>
      <w:r>
        <w:rPr>
          <w:rFonts w:hint="eastAsia" w:ascii="宋体" w:hAnsi="宋体"/>
          <w:color w:val="auto"/>
          <w:sz w:val="24"/>
          <w:szCs w:val="24"/>
        </w:rPr>
        <w:t>（3）</w:t>
      </w:r>
      <w:r>
        <w:rPr>
          <w:rFonts w:hint="eastAsia" w:ascii="宋体" w:hAnsi="宋体"/>
          <w:color w:val="auto"/>
          <w:sz w:val="24"/>
          <w:szCs w:val="24"/>
        </w:rPr>
        <w:tab/>
      </w:r>
      <w:r>
        <w:rPr>
          <w:rFonts w:hint="eastAsia" w:ascii="宋体" w:hAnsi="宋体"/>
          <w:color w:val="auto"/>
          <w:sz w:val="24"/>
          <w:szCs w:val="24"/>
        </w:rPr>
        <w:t>与采购人、其他供应商或者采购代理机构工作人员恶意串通的。</w:t>
      </w:r>
    </w:p>
    <w:p>
      <w:pPr>
        <w:tabs>
          <w:tab w:val="left" w:pos="945"/>
        </w:tabs>
        <w:autoSpaceDE w:val="0"/>
        <w:autoSpaceDN w:val="0"/>
        <w:spacing w:line="360" w:lineRule="auto"/>
        <w:ind w:left="709"/>
        <w:rPr>
          <w:rFonts w:ascii="宋体" w:hAnsi="宋体"/>
          <w:color w:val="auto"/>
          <w:sz w:val="24"/>
          <w:szCs w:val="24"/>
        </w:rPr>
      </w:pPr>
      <w:r>
        <w:rPr>
          <w:rFonts w:hint="eastAsia" w:ascii="宋体" w:hAnsi="宋体"/>
          <w:color w:val="auto"/>
          <w:sz w:val="24"/>
          <w:szCs w:val="24"/>
        </w:rPr>
        <w:t>（4）</w:t>
      </w:r>
      <w:r>
        <w:rPr>
          <w:rFonts w:hint="eastAsia" w:ascii="宋体" w:hAnsi="宋体"/>
          <w:color w:val="auto"/>
          <w:sz w:val="24"/>
          <w:szCs w:val="24"/>
        </w:rPr>
        <w:tab/>
      </w:r>
      <w:r>
        <w:rPr>
          <w:rFonts w:hint="eastAsia" w:ascii="宋体" w:hAnsi="宋体"/>
          <w:color w:val="auto"/>
          <w:sz w:val="24"/>
          <w:szCs w:val="24"/>
        </w:rPr>
        <w:t>向采购人、采购代理机构工作人员行贿或者提供其他不正当利益的。</w:t>
      </w:r>
    </w:p>
    <w:p>
      <w:pPr>
        <w:tabs>
          <w:tab w:val="left" w:pos="945"/>
        </w:tabs>
        <w:autoSpaceDE w:val="0"/>
        <w:autoSpaceDN w:val="0"/>
        <w:spacing w:line="360" w:lineRule="auto"/>
        <w:ind w:left="709"/>
        <w:rPr>
          <w:rFonts w:ascii="宋体" w:hAnsi="宋体"/>
          <w:color w:val="auto"/>
          <w:sz w:val="24"/>
          <w:szCs w:val="24"/>
        </w:rPr>
      </w:pPr>
      <w:r>
        <w:rPr>
          <w:rFonts w:hint="eastAsia" w:ascii="宋体" w:hAnsi="宋体"/>
          <w:color w:val="auto"/>
          <w:sz w:val="24"/>
          <w:szCs w:val="24"/>
        </w:rPr>
        <w:t>（5）</w:t>
      </w:r>
      <w:r>
        <w:rPr>
          <w:rFonts w:hint="eastAsia" w:ascii="宋体" w:hAnsi="宋体"/>
          <w:color w:val="auto"/>
          <w:sz w:val="24"/>
          <w:szCs w:val="24"/>
        </w:rPr>
        <w:tab/>
      </w:r>
      <w:r>
        <w:rPr>
          <w:rFonts w:hint="eastAsia" w:ascii="宋体" w:hAnsi="宋体"/>
          <w:color w:val="auto"/>
          <w:sz w:val="24"/>
          <w:szCs w:val="24"/>
        </w:rPr>
        <w:t>在招标采购过程中与采购人进行协商谈判的。</w:t>
      </w:r>
    </w:p>
    <w:p>
      <w:pPr>
        <w:tabs>
          <w:tab w:val="left" w:pos="945"/>
        </w:tabs>
        <w:autoSpaceDE w:val="0"/>
        <w:autoSpaceDN w:val="0"/>
        <w:spacing w:line="360" w:lineRule="auto"/>
        <w:ind w:left="709"/>
        <w:rPr>
          <w:rFonts w:ascii="宋体" w:hAnsi="宋体"/>
          <w:color w:val="auto"/>
          <w:sz w:val="24"/>
          <w:szCs w:val="24"/>
        </w:rPr>
      </w:pPr>
      <w:r>
        <w:rPr>
          <w:rFonts w:hint="eastAsia" w:ascii="宋体" w:hAnsi="宋体"/>
          <w:color w:val="auto"/>
          <w:sz w:val="24"/>
          <w:szCs w:val="24"/>
        </w:rPr>
        <w:t>（6）</w:t>
      </w:r>
      <w:r>
        <w:rPr>
          <w:rFonts w:hint="eastAsia" w:ascii="宋体" w:hAnsi="宋体"/>
          <w:color w:val="auto"/>
          <w:sz w:val="24"/>
          <w:szCs w:val="24"/>
        </w:rPr>
        <w:tab/>
      </w:r>
      <w:r>
        <w:rPr>
          <w:rFonts w:hint="eastAsia" w:ascii="宋体" w:hAnsi="宋体"/>
          <w:color w:val="auto"/>
          <w:sz w:val="24"/>
          <w:szCs w:val="24"/>
        </w:rPr>
        <w:t>拒绝有关部门监督检查或者提供虚假情况的。</w:t>
      </w:r>
    </w:p>
    <w:p>
      <w:pPr>
        <w:tabs>
          <w:tab w:val="left" w:pos="945"/>
        </w:tabs>
        <w:autoSpaceDE w:val="0"/>
        <w:autoSpaceDN w:val="0"/>
        <w:spacing w:line="360" w:lineRule="auto"/>
        <w:ind w:left="709"/>
        <w:rPr>
          <w:rFonts w:ascii="宋体" w:hAnsi="宋体"/>
          <w:color w:val="auto"/>
          <w:sz w:val="24"/>
          <w:szCs w:val="24"/>
        </w:rPr>
      </w:pPr>
      <w:r>
        <w:rPr>
          <w:rFonts w:hint="eastAsia" w:ascii="宋体" w:hAnsi="宋体"/>
          <w:color w:val="auto"/>
          <w:sz w:val="24"/>
          <w:szCs w:val="24"/>
        </w:rPr>
        <w:t>（7）</w:t>
      </w:r>
      <w:r>
        <w:rPr>
          <w:rFonts w:hint="eastAsia" w:ascii="宋体" w:hAnsi="宋体"/>
          <w:color w:val="auto"/>
          <w:sz w:val="24"/>
          <w:szCs w:val="24"/>
        </w:rPr>
        <w:tab/>
      </w:r>
      <w:r>
        <w:rPr>
          <w:rFonts w:hint="eastAsia" w:ascii="宋体" w:hAnsi="宋体"/>
          <w:color w:val="auto"/>
          <w:sz w:val="24"/>
          <w:szCs w:val="24"/>
        </w:rPr>
        <w:t>有法律、法规规定的其他损害采购人利益和社会公共利益情形的。</w:t>
      </w:r>
    </w:p>
    <w:p>
      <w:pPr>
        <w:pStyle w:val="5"/>
        <w:numPr>
          <w:ilvl w:val="0"/>
          <w:numId w:val="48"/>
        </w:numPr>
        <w:tabs>
          <w:tab w:val="left" w:pos="945"/>
        </w:tabs>
        <w:spacing w:before="0" w:after="0" w:line="360" w:lineRule="auto"/>
        <w:rPr>
          <w:rFonts w:ascii="宋体" w:hAnsi="宋体"/>
          <w:color w:val="auto"/>
          <w:sz w:val="24"/>
          <w:szCs w:val="24"/>
        </w:rPr>
      </w:pPr>
      <w:bookmarkStart w:id="298" w:name="_Toc19602"/>
      <w:bookmarkStart w:id="299" w:name="_Toc54335440"/>
      <w:r>
        <w:rPr>
          <w:rFonts w:hint="eastAsia" w:ascii="宋体" w:hAnsi="宋体"/>
          <w:color w:val="auto"/>
          <w:sz w:val="24"/>
          <w:szCs w:val="24"/>
        </w:rPr>
        <w:t>评标方法</w:t>
      </w:r>
      <w:bookmarkEnd w:id="298"/>
      <w:bookmarkEnd w:id="299"/>
    </w:p>
    <w:p>
      <w:pPr>
        <w:pStyle w:val="5"/>
        <w:numPr>
          <w:ilvl w:val="0"/>
          <w:numId w:val="52"/>
        </w:numPr>
        <w:tabs>
          <w:tab w:val="left" w:pos="945"/>
        </w:tabs>
        <w:spacing w:before="0" w:after="0" w:line="360" w:lineRule="auto"/>
        <w:ind w:left="960" w:hanging="960" w:hangingChars="400"/>
        <w:rPr>
          <w:rFonts w:ascii="宋体" w:hAnsi="宋体"/>
          <w:b w:val="0"/>
          <w:color w:val="auto"/>
          <w:sz w:val="24"/>
          <w:szCs w:val="24"/>
        </w:rPr>
      </w:pPr>
      <w:bookmarkStart w:id="300" w:name="_Toc6013"/>
      <w:bookmarkStart w:id="301" w:name="_Toc54335441"/>
      <w:r>
        <w:rPr>
          <w:rFonts w:hint="eastAsia" w:ascii="宋体" w:hAnsi="宋体"/>
          <w:b w:val="0"/>
          <w:color w:val="auto"/>
          <w:sz w:val="24"/>
          <w:szCs w:val="24"/>
        </w:rPr>
        <w:t>评标方法</w:t>
      </w:r>
      <w:bookmarkEnd w:id="300"/>
      <w:bookmarkEnd w:id="301"/>
    </w:p>
    <w:p>
      <w:pPr>
        <w:numPr>
          <w:ilvl w:val="0"/>
          <w:numId w:val="53"/>
        </w:numPr>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 xml:space="preserve">    本次评标采用的评标方法见《评标办法前附表》，未载明的，为综合评分法。综合评分法的评审得分由若干部分的评审因素得分构成，评分总值最高为100分，各部分评审因素及评分分值详见《评标办法前附表》。</w:t>
      </w:r>
    </w:p>
    <w:p>
      <w:pPr>
        <w:pStyle w:val="5"/>
        <w:numPr>
          <w:ilvl w:val="0"/>
          <w:numId w:val="48"/>
        </w:numPr>
        <w:tabs>
          <w:tab w:val="left" w:pos="945"/>
        </w:tabs>
        <w:spacing w:before="0" w:after="0" w:line="360" w:lineRule="auto"/>
        <w:rPr>
          <w:rFonts w:ascii="宋体" w:hAnsi="宋体"/>
          <w:color w:val="auto"/>
          <w:sz w:val="24"/>
          <w:szCs w:val="24"/>
        </w:rPr>
      </w:pPr>
      <w:bookmarkStart w:id="302" w:name="_Toc23125"/>
      <w:bookmarkStart w:id="303" w:name="_Toc54335442"/>
      <w:r>
        <w:rPr>
          <w:rFonts w:hint="eastAsia" w:ascii="宋体" w:hAnsi="宋体"/>
          <w:color w:val="auto"/>
          <w:sz w:val="24"/>
          <w:szCs w:val="24"/>
        </w:rPr>
        <w:t>评标程序和标准</w:t>
      </w:r>
      <w:bookmarkEnd w:id="302"/>
      <w:bookmarkEnd w:id="303"/>
    </w:p>
    <w:p>
      <w:pPr>
        <w:pStyle w:val="5"/>
        <w:numPr>
          <w:ilvl w:val="0"/>
          <w:numId w:val="52"/>
        </w:numPr>
        <w:tabs>
          <w:tab w:val="left" w:pos="945"/>
        </w:tabs>
        <w:spacing w:before="0" w:after="0" w:line="360" w:lineRule="auto"/>
        <w:ind w:left="964" w:hanging="960" w:hangingChars="400"/>
        <w:rPr>
          <w:rFonts w:ascii="宋体" w:hAnsi="宋体"/>
          <w:color w:val="auto"/>
          <w:sz w:val="24"/>
          <w:szCs w:val="24"/>
        </w:rPr>
      </w:pPr>
      <w:bookmarkStart w:id="304" w:name="_Toc54335443"/>
      <w:bookmarkStart w:id="305" w:name="_Toc11187"/>
      <w:r>
        <w:rPr>
          <w:rFonts w:hint="eastAsia" w:ascii="宋体" w:hAnsi="宋体"/>
          <w:color w:val="auto"/>
          <w:sz w:val="24"/>
          <w:szCs w:val="24"/>
        </w:rPr>
        <w:t>资格审查和符合性审查</w:t>
      </w:r>
      <w:bookmarkEnd w:id="304"/>
      <w:bookmarkEnd w:id="305"/>
    </w:p>
    <w:p>
      <w:pPr>
        <w:numPr>
          <w:ilvl w:val="0"/>
          <w:numId w:val="54"/>
        </w:numPr>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 xml:space="preserve">    资格审查：公开招标采购项目开标结束后，采购人或者采购代理机构对投标人的资格进行审查（详见《评标办法前附表》）。</w:t>
      </w:r>
    </w:p>
    <w:p>
      <w:pPr>
        <w:numPr>
          <w:ilvl w:val="0"/>
          <w:numId w:val="54"/>
        </w:numPr>
        <w:autoSpaceDE w:val="0"/>
        <w:autoSpaceDN w:val="0"/>
        <w:spacing w:line="360" w:lineRule="auto"/>
        <w:ind w:left="964" w:hanging="960" w:hangingChars="400"/>
        <w:rPr>
          <w:rFonts w:ascii="宋体" w:hAnsi="宋体"/>
          <w:color w:val="auto"/>
          <w:sz w:val="24"/>
          <w:szCs w:val="24"/>
        </w:rPr>
      </w:pPr>
      <w:r>
        <w:rPr>
          <w:rFonts w:hint="eastAsia" w:ascii="宋体" w:hAnsi="宋体"/>
          <w:b/>
          <w:color w:val="auto"/>
          <w:sz w:val="24"/>
          <w:szCs w:val="24"/>
        </w:rPr>
        <w:t xml:space="preserve">    </w:t>
      </w:r>
      <w:r>
        <w:rPr>
          <w:rFonts w:hint="eastAsia" w:ascii="宋体" w:hAnsi="宋体"/>
          <w:color w:val="auto"/>
          <w:sz w:val="24"/>
          <w:szCs w:val="24"/>
        </w:rPr>
        <w:t>符合性审查：评标委员会对符合资格的投标人的投标文件进行符合性审查（详见《评标办法前附表》），以确定其是否满足招标文件的实质性要求。</w:t>
      </w:r>
    </w:p>
    <w:p>
      <w:pPr>
        <w:numPr>
          <w:ilvl w:val="0"/>
          <w:numId w:val="54"/>
        </w:numPr>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 xml:space="preserve">    只有通过资格审查和符合性审查的投标才是有效投标，只要不满足资格审查和符合性审查所列各项要求之一的，将被认定为无效投标。无效投标不能进入技术、商务及价格评审。    </w:t>
      </w:r>
    </w:p>
    <w:p>
      <w:pPr>
        <w:pStyle w:val="5"/>
        <w:numPr>
          <w:ilvl w:val="0"/>
          <w:numId w:val="52"/>
        </w:numPr>
        <w:tabs>
          <w:tab w:val="left" w:pos="945"/>
        </w:tabs>
        <w:spacing w:before="0" w:after="0" w:line="360" w:lineRule="auto"/>
        <w:ind w:left="964" w:hanging="960" w:hangingChars="400"/>
        <w:rPr>
          <w:rFonts w:ascii="宋体" w:hAnsi="宋体"/>
          <w:color w:val="auto"/>
          <w:sz w:val="24"/>
          <w:szCs w:val="24"/>
        </w:rPr>
      </w:pPr>
      <w:bookmarkStart w:id="306" w:name="_Toc54335444"/>
      <w:bookmarkStart w:id="307" w:name="_Toc7134"/>
      <w:r>
        <w:rPr>
          <w:rFonts w:hint="eastAsia" w:ascii="宋体" w:hAnsi="宋体"/>
          <w:color w:val="auto"/>
          <w:sz w:val="24"/>
          <w:szCs w:val="24"/>
        </w:rPr>
        <w:t>技术及商务评审</w:t>
      </w:r>
      <w:bookmarkEnd w:id="306"/>
      <w:bookmarkEnd w:id="307"/>
    </w:p>
    <w:p>
      <w:pPr>
        <w:numPr>
          <w:ilvl w:val="0"/>
          <w:numId w:val="55"/>
        </w:numPr>
        <w:autoSpaceDE w:val="0"/>
        <w:autoSpaceDN w:val="0"/>
        <w:spacing w:line="360" w:lineRule="auto"/>
        <w:ind w:left="964" w:hanging="960" w:hangingChars="400"/>
        <w:rPr>
          <w:rFonts w:ascii="宋体" w:hAnsi="宋体"/>
          <w:color w:val="auto"/>
          <w:sz w:val="24"/>
          <w:szCs w:val="24"/>
        </w:rPr>
      </w:pPr>
      <w:r>
        <w:rPr>
          <w:rFonts w:hint="eastAsia" w:ascii="宋体" w:hAnsi="宋体"/>
          <w:b/>
          <w:color w:val="auto"/>
          <w:sz w:val="24"/>
          <w:szCs w:val="24"/>
        </w:rPr>
        <w:t xml:space="preserve">    </w:t>
      </w:r>
      <w:r>
        <w:rPr>
          <w:rFonts w:hint="eastAsia" w:ascii="宋体" w:hAnsi="宋体"/>
          <w:color w:val="auto"/>
          <w:sz w:val="24"/>
          <w:szCs w:val="24"/>
        </w:rPr>
        <w:t>评标委员会依据招标文件规定的技术、商务评审因素独立对每个有效投标文件进行详细审查（详见《评标办法前附表》）。</w:t>
      </w:r>
    </w:p>
    <w:p>
      <w:pPr>
        <w:pStyle w:val="5"/>
        <w:numPr>
          <w:ilvl w:val="0"/>
          <w:numId w:val="52"/>
        </w:numPr>
        <w:tabs>
          <w:tab w:val="left" w:pos="945"/>
        </w:tabs>
        <w:spacing w:before="0" w:after="0" w:line="360" w:lineRule="auto"/>
        <w:ind w:left="964" w:hanging="960" w:hangingChars="400"/>
        <w:rPr>
          <w:rFonts w:ascii="宋体" w:hAnsi="宋体"/>
          <w:color w:val="auto"/>
          <w:sz w:val="24"/>
          <w:szCs w:val="24"/>
        </w:rPr>
      </w:pPr>
      <w:bookmarkStart w:id="308" w:name="_Toc18621"/>
      <w:bookmarkStart w:id="309" w:name="_Toc54335445"/>
      <w:r>
        <w:rPr>
          <w:rFonts w:hint="eastAsia" w:ascii="宋体" w:hAnsi="宋体"/>
          <w:color w:val="auto"/>
          <w:sz w:val="24"/>
          <w:szCs w:val="24"/>
        </w:rPr>
        <w:t>价格评审</w:t>
      </w:r>
      <w:bookmarkEnd w:id="308"/>
      <w:bookmarkEnd w:id="309"/>
    </w:p>
    <w:p>
      <w:pPr>
        <w:numPr>
          <w:ilvl w:val="0"/>
          <w:numId w:val="56"/>
        </w:numPr>
        <w:autoSpaceDE w:val="0"/>
        <w:autoSpaceDN w:val="0"/>
        <w:spacing w:line="360" w:lineRule="auto"/>
        <w:ind w:left="964" w:hanging="960" w:hangingChars="400"/>
        <w:rPr>
          <w:color w:val="auto"/>
          <w:sz w:val="24"/>
          <w:szCs w:val="24"/>
        </w:rPr>
      </w:pPr>
      <w:r>
        <w:rPr>
          <w:rFonts w:hint="eastAsia" w:ascii="宋体" w:hAnsi="宋体"/>
          <w:b/>
          <w:color w:val="auto"/>
          <w:sz w:val="24"/>
          <w:szCs w:val="24"/>
        </w:rPr>
        <w:t xml:space="preserve">    </w:t>
      </w:r>
      <w:r>
        <w:rPr>
          <w:rFonts w:hint="eastAsia" w:ascii="宋体" w:hAnsi="宋体"/>
          <w:color w:val="auto"/>
          <w:sz w:val="24"/>
          <w:szCs w:val="24"/>
        </w:rPr>
        <w:t>价格核准（核实价的确定）：评标委员会对有效投标人的详细报价进行复核，修正错误的原则详见上述第3.8.1条的规定。经修正后的报价即为核实价，核实价精确到两位小数。</w:t>
      </w:r>
    </w:p>
    <w:p>
      <w:pPr>
        <w:numPr>
          <w:ilvl w:val="0"/>
          <w:numId w:val="56"/>
        </w:numPr>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ab/>
      </w:r>
      <w:r>
        <w:rPr>
          <w:rFonts w:hint="eastAsia" w:ascii="宋体" w:hAnsi="宋体"/>
          <w:color w:val="auto"/>
          <w:sz w:val="24"/>
          <w:szCs w:val="24"/>
        </w:rPr>
        <w:t>价格扣除：评标委员会根据政府采购政策功能，对符合条件的供应商报价进行价格扣除，详见《评标办法前附表》和本部分附件《政策功能性评审优惠》。</w:t>
      </w:r>
    </w:p>
    <w:p>
      <w:pPr>
        <w:numPr>
          <w:ilvl w:val="0"/>
          <w:numId w:val="56"/>
        </w:numPr>
        <w:autoSpaceDE w:val="0"/>
        <w:autoSpaceDN w:val="0"/>
        <w:spacing w:line="360" w:lineRule="auto"/>
        <w:ind w:left="964" w:hanging="960" w:hangingChars="400"/>
        <w:rPr>
          <w:rFonts w:ascii="宋体" w:hAnsi="宋体"/>
          <w:color w:val="auto"/>
          <w:sz w:val="24"/>
          <w:szCs w:val="24"/>
        </w:rPr>
      </w:pPr>
      <w:r>
        <w:rPr>
          <w:rFonts w:hint="eastAsia" w:ascii="宋体" w:hAnsi="宋体"/>
          <w:b/>
          <w:color w:val="auto"/>
          <w:sz w:val="24"/>
          <w:szCs w:val="24"/>
        </w:rPr>
        <w:t xml:space="preserve">    </w:t>
      </w:r>
      <w:r>
        <w:rPr>
          <w:rFonts w:hint="eastAsia" w:ascii="宋体" w:hAnsi="宋体"/>
          <w:color w:val="auto"/>
          <w:sz w:val="24"/>
          <w:szCs w:val="24"/>
        </w:rPr>
        <w:t>评标价的确定：评标委员会经上述步骤进行价格评审后，得出各有效投标人的评标价（指投标报价经算术修正和落实政府采购政策需进行的价格扣除后的价格）。评标价精确到两位小数。</w:t>
      </w:r>
    </w:p>
    <w:p>
      <w:pPr>
        <w:numPr>
          <w:ilvl w:val="0"/>
          <w:numId w:val="56"/>
        </w:numPr>
        <w:autoSpaceDE w:val="0"/>
        <w:autoSpaceDN w:val="0"/>
        <w:spacing w:line="360" w:lineRule="auto"/>
        <w:ind w:left="960" w:hanging="960" w:hangingChars="400"/>
        <w:rPr>
          <w:rFonts w:ascii="宋体" w:hAnsi="宋体"/>
          <w:b/>
          <w:color w:val="auto"/>
          <w:sz w:val="24"/>
          <w:szCs w:val="24"/>
        </w:rPr>
      </w:pPr>
      <w:r>
        <w:rPr>
          <w:rFonts w:hint="eastAsia" w:ascii="宋体" w:hAnsi="宋体"/>
          <w:color w:val="auto"/>
          <w:sz w:val="24"/>
          <w:szCs w:val="24"/>
        </w:rPr>
        <w:t xml:space="preserve">    </w:t>
      </w:r>
      <w:r>
        <w:rPr>
          <w:rFonts w:hint="eastAsia" w:ascii="宋体" w:hAnsi="宋体"/>
          <w:b/>
          <w:color w:val="auto"/>
          <w:sz w:val="24"/>
          <w:szCs w:val="24"/>
        </w:rPr>
        <w:t>价格评审结果</w:t>
      </w:r>
    </w:p>
    <w:p>
      <w:pPr>
        <w:spacing w:line="360" w:lineRule="auto"/>
        <w:ind w:left="964" w:hanging="960" w:hangingChars="400"/>
        <w:rPr>
          <w:rFonts w:ascii="宋体" w:hAnsi="宋体"/>
          <w:color w:val="auto"/>
          <w:sz w:val="24"/>
          <w:szCs w:val="24"/>
        </w:rPr>
      </w:pPr>
      <w:r>
        <w:rPr>
          <w:rFonts w:hint="eastAsia" w:ascii="宋体" w:hAnsi="宋体"/>
          <w:b/>
          <w:color w:val="auto"/>
          <w:sz w:val="24"/>
          <w:szCs w:val="24"/>
        </w:rPr>
        <w:t>7.4.1  采用最低评标价法评标时：</w:t>
      </w:r>
      <w:r>
        <w:rPr>
          <w:rFonts w:hint="eastAsia" w:ascii="宋体" w:hAnsi="宋体"/>
          <w:color w:val="auto"/>
          <w:sz w:val="24"/>
          <w:szCs w:val="24"/>
        </w:rPr>
        <w:t>除了算术修正和落实政府采购政策需进行的价格扣除外，不能对投标人的投标价格进行任何调整。</w:t>
      </w:r>
    </w:p>
    <w:p>
      <w:pPr>
        <w:spacing w:line="360" w:lineRule="auto"/>
        <w:ind w:left="964" w:hanging="960" w:hangingChars="400"/>
        <w:rPr>
          <w:rFonts w:ascii="宋体" w:hAnsi="宋体"/>
          <w:color w:val="auto"/>
          <w:sz w:val="24"/>
          <w:szCs w:val="24"/>
        </w:rPr>
      </w:pPr>
      <w:r>
        <w:rPr>
          <w:rFonts w:hint="eastAsia" w:ascii="宋体" w:hAnsi="宋体"/>
          <w:b/>
          <w:color w:val="auto"/>
          <w:sz w:val="24"/>
          <w:szCs w:val="24"/>
        </w:rPr>
        <w:t>7.4.2  采用综合评分法评标时：</w:t>
      </w:r>
      <w:r>
        <w:rPr>
          <w:rFonts w:hint="eastAsia" w:ascii="宋体" w:hAnsi="宋体"/>
          <w:color w:val="auto"/>
          <w:sz w:val="24"/>
          <w:szCs w:val="24"/>
        </w:rPr>
        <w:t>价格分采用低价优先法计算，即满足招标文件要求且投标价格最低的投标报价为评标基准价，其价格分为满分。其他投标人的价格分统一按照下列公式计算：</w:t>
      </w:r>
    </w:p>
    <w:p>
      <w:pPr>
        <w:spacing w:line="360" w:lineRule="auto"/>
        <w:ind w:left="840" w:leftChars="400" w:firstLine="480" w:firstLineChars="200"/>
        <w:rPr>
          <w:rFonts w:ascii="宋体" w:hAnsi="宋体"/>
          <w:b/>
          <w:color w:val="auto"/>
          <w:sz w:val="24"/>
          <w:szCs w:val="24"/>
        </w:rPr>
      </w:pPr>
      <w:r>
        <w:rPr>
          <w:rFonts w:hint="eastAsia" w:ascii="宋体" w:hAnsi="宋体"/>
          <w:b/>
          <w:color w:val="auto"/>
          <w:sz w:val="24"/>
          <w:szCs w:val="24"/>
        </w:rPr>
        <w:t>价格得分=（评标基准价÷投标报价）×价格部分分值。</w:t>
      </w:r>
    </w:p>
    <w:p>
      <w:pPr>
        <w:spacing w:line="360" w:lineRule="auto"/>
        <w:ind w:left="840" w:leftChars="400" w:firstLine="480" w:firstLineChars="200"/>
        <w:rPr>
          <w:rFonts w:ascii="宋体" w:hAnsi="宋体"/>
          <w:color w:val="auto"/>
          <w:sz w:val="24"/>
          <w:szCs w:val="24"/>
        </w:rPr>
      </w:pPr>
      <w:r>
        <w:rPr>
          <w:rFonts w:hint="eastAsia" w:ascii="宋体" w:hAnsi="宋体"/>
          <w:color w:val="auto"/>
          <w:sz w:val="24"/>
          <w:szCs w:val="24"/>
        </w:rPr>
        <w:t>因落实政府采购政策进行价格扣除的，以扣除后的价格（即评标价）计算评标基准价和投标报价。</w:t>
      </w:r>
    </w:p>
    <w:p>
      <w:pPr>
        <w:pStyle w:val="5"/>
        <w:numPr>
          <w:ilvl w:val="0"/>
          <w:numId w:val="52"/>
        </w:numPr>
        <w:tabs>
          <w:tab w:val="left" w:pos="945"/>
        </w:tabs>
        <w:spacing w:before="0" w:after="0" w:line="360" w:lineRule="auto"/>
        <w:ind w:left="964" w:hanging="960" w:hangingChars="400"/>
        <w:rPr>
          <w:rFonts w:ascii="宋体" w:hAnsi="宋体"/>
          <w:color w:val="auto"/>
          <w:sz w:val="24"/>
          <w:szCs w:val="24"/>
        </w:rPr>
      </w:pPr>
      <w:bookmarkStart w:id="310" w:name="_Toc2922"/>
      <w:bookmarkStart w:id="311" w:name="_Toc54335446"/>
      <w:r>
        <w:rPr>
          <w:rFonts w:hint="eastAsia" w:ascii="宋体" w:hAnsi="宋体"/>
          <w:color w:val="auto"/>
          <w:sz w:val="24"/>
          <w:szCs w:val="24"/>
        </w:rPr>
        <w:t>评分汇总</w:t>
      </w:r>
      <w:r>
        <w:rPr>
          <w:rFonts w:hint="eastAsia" w:ascii="宋体" w:hAnsi="宋体"/>
          <w:b w:val="0"/>
          <w:color w:val="auto"/>
          <w:sz w:val="24"/>
          <w:szCs w:val="24"/>
        </w:rPr>
        <w:t>（</w:t>
      </w:r>
      <w:r>
        <w:rPr>
          <w:rFonts w:hint="eastAsia" w:ascii="宋体" w:hAnsi="宋体"/>
          <w:color w:val="auto"/>
          <w:sz w:val="24"/>
          <w:szCs w:val="24"/>
        </w:rPr>
        <w:t>采用综合评分法评标时</w:t>
      </w:r>
      <w:r>
        <w:rPr>
          <w:rFonts w:hint="eastAsia" w:ascii="宋体" w:hAnsi="宋体"/>
          <w:b w:val="0"/>
          <w:color w:val="auto"/>
          <w:sz w:val="24"/>
          <w:szCs w:val="24"/>
        </w:rPr>
        <w:t>）</w:t>
      </w:r>
      <w:bookmarkEnd w:id="310"/>
      <w:bookmarkEnd w:id="311"/>
    </w:p>
    <w:p>
      <w:pPr>
        <w:numPr>
          <w:ilvl w:val="0"/>
          <w:numId w:val="57"/>
        </w:numPr>
        <w:tabs>
          <w:tab w:val="left" w:pos="945"/>
        </w:tabs>
        <w:autoSpaceDE w:val="0"/>
        <w:autoSpaceDN w:val="0"/>
        <w:spacing w:line="360" w:lineRule="auto"/>
        <w:ind w:left="964" w:hanging="960" w:hangingChars="400"/>
        <w:rPr>
          <w:rFonts w:ascii="宋体" w:hAnsi="宋体"/>
          <w:b/>
          <w:color w:val="auto"/>
          <w:sz w:val="24"/>
          <w:szCs w:val="24"/>
        </w:rPr>
      </w:pPr>
      <w:bookmarkStart w:id="312" w:name="_Toc44687592"/>
      <w:bookmarkEnd w:id="312"/>
      <w:bookmarkStart w:id="313" w:name="_Toc47459108"/>
      <w:bookmarkEnd w:id="313"/>
      <w:bookmarkStart w:id="314" w:name="_Toc46305929"/>
      <w:bookmarkEnd w:id="314"/>
      <w:bookmarkStart w:id="315" w:name="_Toc44688184"/>
      <w:bookmarkEnd w:id="315"/>
      <w:bookmarkStart w:id="316" w:name="_Toc47525140"/>
      <w:bookmarkEnd w:id="316"/>
      <w:bookmarkStart w:id="317" w:name="_Toc44687958"/>
      <w:bookmarkEnd w:id="317"/>
      <w:r>
        <w:rPr>
          <w:rFonts w:hint="eastAsia" w:ascii="宋体" w:hAnsi="宋体"/>
          <w:b/>
          <w:color w:val="auto"/>
          <w:sz w:val="24"/>
          <w:szCs w:val="24"/>
        </w:rPr>
        <w:t>得分汇总方式：</w:t>
      </w:r>
    </w:p>
    <w:tbl>
      <w:tblPr>
        <w:tblStyle w:val="29"/>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7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spacing w:line="360" w:lineRule="auto"/>
              <w:jc w:val="center"/>
              <w:rPr>
                <w:rFonts w:ascii="宋体" w:hAnsi="宋体"/>
                <w:b/>
                <w:color w:val="auto"/>
                <w:sz w:val="24"/>
                <w:szCs w:val="24"/>
              </w:rPr>
            </w:pPr>
            <w:r>
              <w:rPr>
                <w:rFonts w:hint="eastAsia" w:ascii="宋体" w:hAnsi="宋体"/>
                <w:b/>
                <w:color w:val="auto"/>
                <w:sz w:val="24"/>
                <w:szCs w:val="24"/>
              </w:rPr>
              <w:t>汇总方式</w:t>
            </w:r>
          </w:p>
        </w:tc>
        <w:tc>
          <w:tcPr>
            <w:tcW w:w="7024" w:type="dxa"/>
          </w:tcPr>
          <w:p>
            <w:pPr>
              <w:spacing w:line="360" w:lineRule="auto"/>
              <w:jc w:val="center"/>
              <w:rPr>
                <w:rFonts w:ascii="宋体" w:hAnsi="宋体"/>
                <w:b/>
                <w:color w:val="auto"/>
                <w:sz w:val="24"/>
                <w:szCs w:val="24"/>
              </w:rPr>
            </w:pPr>
            <w:r>
              <w:rPr>
                <w:rFonts w:hint="eastAsia" w:ascii="宋体" w:hAnsi="宋体"/>
                <w:b/>
                <w:color w:val="auto"/>
                <w:sz w:val="24"/>
                <w:szCs w:val="24"/>
              </w:rPr>
              <w:t>汇总方法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Align w:val="center"/>
          </w:tcPr>
          <w:p>
            <w:pPr>
              <w:spacing w:line="360" w:lineRule="auto"/>
              <w:rPr>
                <w:rFonts w:ascii="宋体" w:hAnsi="宋体"/>
                <w:b/>
                <w:color w:val="auto"/>
                <w:sz w:val="24"/>
                <w:szCs w:val="24"/>
              </w:rPr>
            </w:pPr>
            <w:r>
              <w:rPr>
                <w:rFonts w:hint="eastAsia" w:ascii="宋体" w:hAnsi="宋体"/>
                <w:b/>
                <w:color w:val="auto"/>
                <w:sz w:val="24"/>
                <w:szCs w:val="24"/>
              </w:rPr>
              <w:t>先汇总后平均方式</w:t>
            </w:r>
          </w:p>
        </w:tc>
        <w:tc>
          <w:tcPr>
            <w:tcW w:w="7024" w:type="dxa"/>
            <w:vAlign w:val="center"/>
          </w:tcPr>
          <w:p>
            <w:pPr>
              <w:spacing w:line="360" w:lineRule="auto"/>
              <w:rPr>
                <w:rFonts w:ascii="宋体" w:hAnsi="宋体"/>
                <w:color w:val="auto"/>
                <w:sz w:val="24"/>
                <w:szCs w:val="24"/>
              </w:rPr>
            </w:pPr>
            <w:r>
              <w:rPr>
                <w:rFonts w:hint="eastAsia" w:ascii="宋体" w:hAnsi="宋体"/>
                <w:color w:val="auto"/>
                <w:sz w:val="24"/>
                <w:szCs w:val="24"/>
              </w:rPr>
              <w:t>指在汇总每个投标人相应部分评审因素得分时，先汇总每位评标委员会成员该部分评审因素的算术和，后对所有的算术和进行汇总后再算术平均的方法。</w:t>
            </w:r>
          </w:p>
        </w:tc>
      </w:tr>
    </w:tbl>
    <w:p>
      <w:pPr>
        <w:spacing w:line="360" w:lineRule="auto"/>
        <w:ind w:left="945" w:leftChars="450" w:firstLine="360" w:firstLineChars="150"/>
        <w:rPr>
          <w:rFonts w:ascii="宋体" w:hAnsi="宋体"/>
          <w:color w:val="auto"/>
          <w:sz w:val="24"/>
          <w:szCs w:val="24"/>
        </w:rPr>
      </w:pPr>
      <w:r>
        <w:rPr>
          <w:rFonts w:hint="eastAsia" w:ascii="宋体" w:hAnsi="宋体"/>
          <w:color w:val="auto"/>
          <w:sz w:val="24"/>
          <w:szCs w:val="24"/>
        </w:rPr>
        <w:t>注：上述各得分按照四舍五入原则最多保留两位小数。</w:t>
      </w:r>
    </w:p>
    <w:p>
      <w:pPr>
        <w:numPr>
          <w:ilvl w:val="0"/>
          <w:numId w:val="57"/>
        </w:numPr>
        <w:tabs>
          <w:tab w:val="left" w:pos="945"/>
        </w:tabs>
        <w:autoSpaceDE w:val="0"/>
        <w:autoSpaceDN w:val="0"/>
        <w:spacing w:line="360" w:lineRule="auto"/>
        <w:ind w:left="964" w:hanging="960" w:hangingChars="400"/>
        <w:rPr>
          <w:rFonts w:ascii="宋体" w:hAnsi="宋体"/>
          <w:b/>
          <w:color w:val="auto"/>
          <w:sz w:val="24"/>
          <w:szCs w:val="24"/>
        </w:rPr>
      </w:pPr>
      <w:r>
        <w:rPr>
          <w:rFonts w:hint="eastAsia" w:ascii="宋体" w:hAnsi="宋体"/>
          <w:b/>
          <w:color w:val="auto"/>
          <w:sz w:val="24"/>
          <w:szCs w:val="24"/>
        </w:rPr>
        <w:t>综合得分汇总：综合得分计算详见《评标办法前附表》。</w:t>
      </w:r>
    </w:p>
    <w:p>
      <w:pPr>
        <w:spacing w:line="360" w:lineRule="auto"/>
        <w:ind w:firstLine="840" w:firstLineChars="350"/>
        <w:rPr>
          <w:rFonts w:ascii="宋体" w:hAnsi="宋体"/>
          <w:color w:val="auto"/>
          <w:sz w:val="24"/>
          <w:szCs w:val="24"/>
        </w:rPr>
      </w:pPr>
      <w:r>
        <w:rPr>
          <w:rFonts w:hint="eastAsia" w:ascii="宋体" w:hAnsi="宋体"/>
          <w:color w:val="auto"/>
          <w:sz w:val="24"/>
          <w:szCs w:val="24"/>
        </w:rPr>
        <w:t>综合得分按照四舍五入原则最多保留两位小数。</w:t>
      </w:r>
    </w:p>
    <w:p>
      <w:pPr>
        <w:numPr>
          <w:ilvl w:val="0"/>
          <w:numId w:val="57"/>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评标结果汇总完成后，除下列情形外，任何人不得修改评标结果：</w:t>
      </w:r>
    </w:p>
    <w:p>
      <w:pPr>
        <w:spacing w:line="360" w:lineRule="auto"/>
        <w:ind w:left="780" w:leftChars="200" w:hanging="360" w:hangingChars="150"/>
        <w:rPr>
          <w:rFonts w:ascii="宋体" w:hAnsi="宋体"/>
          <w:color w:val="auto"/>
          <w:sz w:val="24"/>
          <w:szCs w:val="24"/>
        </w:rPr>
      </w:pPr>
      <w:r>
        <w:rPr>
          <w:rFonts w:hint="eastAsia" w:ascii="宋体" w:hAnsi="宋体"/>
          <w:color w:val="auto"/>
          <w:sz w:val="24"/>
          <w:szCs w:val="24"/>
        </w:rPr>
        <w:t>（1）分值汇总计算错误的；</w:t>
      </w:r>
    </w:p>
    <w:p>
      <w:pPr>
        <w:spacing w:line="360" w:lineRule="auto"/>
        <w:ind w:left="780" w:leftChars="200" w:hanging="360" w:hangingChars="150"/>
        <w:rPr>
          <w:rFonts w:ascii="宋体" w:hAnsi="宋体"/>
          <w:color w:val="auto"/>
          <w:sz w:val="24"/>
          <w:szCs w:val="24"/>
        </w:rPr>
      </w:pPr>
      <w:r>
        <w:rPr>
          <w:rFonts w:hint="eastAsia" w:ascii="宋体" w:hAnsi="宋体"/>
          <w:color w:val="auto"/>
          <w:sz w:val="24"/>
          <w:szCs w:val="24"/>
        </w:rPr>
        <w:t>（2）分项评分超出评分标准范围的；</w:t>
      </w:r>
    </w:p>
    <w:p>
      <w:pPr>
        <w:spacing w:line="360" w:lineRule="auto"/>
        <w:ind w:left="780" w:leftChars="200" w:hanging="360" w:hangingChars="150"/>
        <w:rPr>
          <w:rFonts w:ascii="宋体" w:hAnsi="宋体"/>
          <w:color w:val="auto"/>
          <w:sz w:val="24"/>
          <w:szCs w:val="24"/>
        </w:rPr>
      </w:pPr>
      <w:r>
        <w:rPr>
          <w:rFonts w:hint="eastAsia" w:ascii="宋体" w:hAnsi="宋体"/>
          <w:color w:val="auto"/>
          <w:sz w:val="24"/>
          <w:szCs w:val="24"/>
        </w:rPr>
        <w:t>（3）评标委员会成员对客观评审因素评分不一致的；</w:t>
      </w:r>
    </w:p>
    <w:p>
      <w:pPr>
        <w:spacing w:line="360" w:lineRule="auto"/>
        <w:ind w:left="780" w:leftChars="200" w:hanging="360" w:hangingChars="150"/>
        <w:rPr>
          <w:rFonts w:ascii="宋体" w:hAnsi="宋体"/>
          <w:color w:val="auto"/>
          <w:sz w:val="24"/>
          <w:szCs w:val="24"/>
        </w:rPr>
      </w:pPr>
      <w:r>
        <w:rPr>
          <w:rFonts w:hint="eastAsia" w:ascii="宋体" w:hAnsi="宋体"/>
          <w:color w:val="auto"/>
          <w:sz w:val="24"/>
          <w:szCs w:val="24"/>
        </w:rPr>
        <w:t>（4）经评标委员会认定评分畸高、畸低的。</w:t>
      </w:r>
    </w:p>
    <w:p>
      <w:pPr>
        <w:spacing w:line="360" w:lineRule="auto"/>
        <w:ind w:left="960" w:hanging="960" w:hangingChars="400"/>
        <w:rPr>
          <w:rFonts w:ascii="宋体" w:hAnsi="宋体"/>
          <w:color w:val="auto"/>
          <w:sz w:val="24"/>
          <w:szCs w:val="24"/>
        </w:rPr>
      </w:pPr>
      <w:r>
        <w:rPr>
          <w:rFonts w:hint="eastAsia" w:ascii="宋体" w:hAnsi="宋体"/>
          <w:color w:val="auto"/>
          <w:sz w:val="24"/>
          <w:szCs w:val="24"/>
        </w:rPr>
        <w:t xml:space="preserve">          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pStyle w:val="5"/>
        <w:numPr>
          <w:ilvl w:val="0"/>
          <w:numId w:val="52"/>
        </w:numPr>
        <w:tabs>
          <w:tab w:val="left" w:pos="945"/>
        </w:tabs>
        <w:spacing w:before="0" w:after="0" w:line="360" w:lineRule="auto"/>
        <w:ind w:left="964" w:hanging="960" w:hangingChars="400"/>
        <w:rPr>
          <w:rFonts w:ascii="宋体" w:hAnsi="宋体"/>
          <w:color w:val="auto"/>
          <w:sz w:val="24"/>
          <w:szCs w:val="24"/>
        </w:rPr>
      </w:pPr>
      <w:bookmarkStart w:id="318" w:name="_Toc54335447"/>
      <w:bookmarkStart w:id="319" w:name="_Toc25395"/>
      <w:r>
        <w:rPr>
          <w:rFonts w:hint="eastAsia" w:ascii="宋体" w:hAnsi="宋体"/>
          <w:color w:val="auto"/>
          <w:sz w:val="24"/>
          <w:szCs w:val="24"/>
        </w:rPr>
        <w:t>评标结果排序与推荐中标候选人</w:t>
      </w:r>
      <w:bookmarkEnd w:id="318"/>
      <w:bookmarkEnd w:id="319"/>
    </w:p>
    <w:p>
      <w:pPr>
        <w:numPr>
          <w:ilvl w:val="1"/>
          <w:numId w:val="58"/>
        </w:numPr>
        <w:tabs>
          <w:tab w:val="left" w:pos="945"/>
        </w:tabs>
        <w:autoSpaceDE w:val="0"/>
        <w:autoSpaceDN w:val="0"/>
        <w:spacing w:line="360" w:lineRule="auto"/>
        <w:ind w:left="964" w:hanging="960" w:hangingChars="400"/>
        <w:rPr>
          <w:rFonts w:ascii="宋体" w:hAnsi="宋体"/>
          <w:color w:val="auto"/>
          <w:sz w:val="24"/>
          <w:szCs w:val="24"/>
        </w:rPr>
      </w:pPr>
      <w:r>
        <w:rPr>
          <w:rFonts w:hint="eastAsia" w:ascii="宋体" w:hAnsi="宋体"/>
          <w:b/>
          <w:color w:val="auto"/>
          <w:sz w:val="24"/>
          <w:szCs w:val="24"/>
        </w:rPr>
        <w:t>采用最低评标价法评标时：</w:t>
      </w:r>
    </w:p>
    <w:p>
      <w:pPr>
        <w:numPr>
          <w:ilvl w:val="0"/>
          <w:numId w:val="59"/>
        </w:numPr>
        <w:spacing w:line="360" w:lineRule="auto"/>
        <w:ind w:left="960" w:hanging="960" w:hangingChars="400"/>
        <w:rPr>
          <w:rFonts w:ascii="宋体" w:hAnsi="宋体"/>
          <w:color w:val="auto"/>
          <w:sz w:val="24"/>
          <w:szCs w:val="24"/>
        </w:rPr>
      </w:pPr>
      <w:r>
        <w:rPr>
          <w:rFonts w:hint="eastAsia" w:ascii="宋体" w:hAnsi="宋体"/>
          <w:color w:val="auto"/>
          <w:sz w:val="24"/>
          <w:szCs w:val="24"/>
        </w:rPr>
        <w:t xml:space="preserve">  评标结果按投标报价由低到高顺序排列，投标报价相同的并列。投标文件满足招标文件全部实质性要求且投标报价最低的投标人为排名第一的中标候选人，排名第一的中标候选人紧接其后的投标人为排名第二的中标候选人，依次类推。</w:t>
      </w:r>
    </w:p>
    <w:p>
      <w:pPr>
        <w:numPr>
          <w:ilvl w:val="0"/>
          <w:numId w:val="59"/>
        </w:numPr>
        <w:spacing w:line="360" w:lineRule="auto"/>
        <w:ind w:left="960" w:hanging="960" w:hangingChars="400"/>
        <w:rPr>
          <w:rFonts w:ascii="宋体" w:hAnsi="宋体"/>
          <w:color w:val="auto"/>
          <w:sz w:val="24"/>
          <w:szCs w:val="24"/>
        </w:rPr>
      </w:pPr>
      <w:r>
        <w:rPr>
          <w:rFonts w:hint="eastAsia" w:ascii="宋体" w:hAnsi="宋体"/>
          <w:color w:val="auto"/>
          <w:sz w:val="24"/>
          <w:szCs w:val="24"/>
        </w:rPr>
        <w:t xml:space="preserve">  提供相同品牌产品（非单一产品采购项目，以核心产品为准）的不同投标人参加同一合同项下投标的，以其中通过资格审查、符合性审查且报价最低的参加评标；报价相同的，由采购人或者采购人委托评标委员会按照下列顺序比较确定：（1）节能产品（金额由高到低）；（2）环境标志产品（金额由高到低）；或委托评标委员会采取随机抽取方式确定，其他投标无效。</w:t>
      </w:r>
    </w:p>
    <w:p>
      <w:pPr>
        <w:numPr>
          <w:ilvl w:val="1"/>
          <w:numId w:val="58"/>
        </w:numPr>
        <w:tabs>
          <w:tab w:val="left" w:pos="945"/>
        </w:tabs>
        <w:autoSpaceDE w:val="0"/>
        <w:autoSpaceDN w:val="0"/>
        <w:spacing w:line="360" w:lineRule="auto"/>
        <w:ind w:left="964" w:hanging="960" w:hangingChars="400"/>
        <w:rPr>
          <w:rFonts w:ascii="宋体" w:hAnsi="宋体"/>
          <w:b/>
          <w:color w:val="auto"/>
          <w:sz w:val="24"/>
          <w:szCs w:val="24"/>
        </w:rPr>
      </w:pPr>
      <w:r>
        <w:rPr>
          <w:rFonts w:hint="eastAsia" w:ascii="宋体" w:hAnsi="宋体"/>
          <w:b/>
          <w:color w:val="auto"/>
          <w:sz w:val="24"/>
          <w:szCs w:val="24"/>
        </w:rPr>
        <w:t>采用综合评分法评标时：</w:t>
      </w:r>
    </w:p>
    <w:p>
      <w:pPr>
        <w:numPr>
          <w:ilvl w:val="2"/>
          <w:numId w:val="58"/>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评标结果按评审后综合得分由高到低顺序排列。得分相同的，按投标报价由低到高顺序排列。得分且投标报价相同的并列。投标文件满足招标文件全部实质性要求，且按照评审因素的量化指标评审得分最高的投标人为排名第一的中标候选人，排名第一的中标候选人紧接其后的投标人为排名第二的中标候选人，依次类推 。</w:t>
      </w:r>
    </w:p>
    <w:p>
      <w:pPr>
        <w:numPr>
          <w:ilvl w:val="2"/>
          <w:numId w:val="58"/>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提供相同品牌产品（非单一产品采购项目，以核心产品为准）且通过资格审查、符合性审查的不同投标人参加同一合同项下投标的，按一家投标人计算，评审后得分最高的同品牌投标人获得中标人推荐资格；评审得分相同的，由采购人或者采购人委托评标委员会按照下列顺序比较确定：（1）节能产品（金额由高到低）；（2）环境标志产品（金额由高到低）；或委托评标委员会采取随机抽取方式确定一个投标人获得中标人推荐资格，其他同品牌投标人不作为中标候选人。</w:t>
      </w:r>
    </w:p>
    <w:p>
      <w:pPr>
        <w:numPr>
          <w:ilvl w:val="1"/>
          <w:numId w:val="58"/>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本项目（采购包）推荐的中标候选人数量见《评标办法前附表》，如未载明的，为3名中标候选人。</w:t>
      </w:r>
    </w:p>
    <w:p>
      <w:pPr>
        <w:numPr>
          <w:ilvl w:val="1"/>
          <w:numId w:val="58"/>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编写评标报告：评标委员会根据全体评标成员签字的原始评标记录和评标结果编写评标报告。</w:t>
      </w:r>
    </w:p>
    <w:p>
      <w:pPr>
        <w:pStyle w:val="5"/>
        <w:numPr>
          <w:ilvl w:val="0"/>
          <w:numId w:val="52"/>
        </w:numPr>
        <w:tabs>
          <w:tab w:val="left" w:pos="945"/>
        </w:tabs>
        <w:spacing w:before="0" w:after="0" w:line="360" w:lineRule="auto"/>
        <w:ind w:left="964" w:hanging="960" w:hangingChars="400"/>
        <w:rPr>
          <w:rFonts w:ascii="宋体" w:hAnsi="宋体"/>
          <w:color w:val="auto"/>
          <w:sz w:val="24"/>
          <w:szCs w:val="24"/>
        </w:rPr>
      </w:pPr>
      <w:bookmarkStart w:id="320" w:name="_Toc54335448"/>
      <w:bookmarkStart w:id="321" w:name="_Toc18779"/>
      <w:r>
        <w:rPr>
          <w:rFonts w:hint="eastAsia" w:ascii="宋体" w:hAnsi="宋体"/>
          <w:color w:val="auto"/>
          <w:sz w:val="24"/>
          <w:szCs w:val="24"/>
        </w:rPr>
        <w:t>定标</w:t>
      </w:r>
      <w:bookmarkEnd w:id="320"/>
      <w:bookmarkEnd w:id="321"/>
    </w:p>
    <w:p>
      <w:pPr>
        <w:numPr>
          <w:ilvl w:val="0"/>
          <w:numId w:val="60"/>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根据评标委员会的评标结果，中标供应商的确定详见《投标人须知》第20.条。</w:t>
      </w:r>
    </w:p>
    <w:p>
      <w:pPr>
        <w:numPr>
          <w:ilvl w:val="0"/>
          <w:numId w:val="60"/>
        </w:numPr>
        <w:tabs>
          <w:tab w:val="left" w:pos="945"/>
        </w:tabs>
        <w:autoSpaceDE w:val="0"/>
        <w:autoSpaceDN w:val="0"/>
        <w:spacing w:line="360" w:lineRule="auto"/>
        <w:ind w:left="960" w:hanging="960" w:hangingChars="400"/>
        <w:rPr>
          <w:rFonts w:ascii="宋体" w:hAnsi="宋体"/>
          <w:color w:val="auto"/>
          <w:sz w:val="24"/>
          <w:szCs w:val="24"/>
        </w:rPr>
      </w:pPr>
      <w:r>
        <w:rPr>
          <w:rFonts w:hint="eastAsia" w:ascii="宋体" w:hAnsi="宋体"/>
          <w:color w:val="auto"/>
          <w:sz w:val="24"/>
          <w:szCs w:val="24"/>
        </w:rPr>
        <w:t>中标价的确定：评标价仅用于计算价格评分和排序。除了按本部分第3.8.1条进行算术修正并经投标人确认的投标报价作为中标价外，中标价以开标时公开唱标读额为准。</w:t>
      </w:r>
    </w:p>
    <w:p>
      <w:pPr>
        <w:pStyle w:val="5"/>
        <w:numPr>
          <w:ilvl w:val="0"/>
          <w:numId w:val="52"/>
        </w:numPr>
        <w:tabs>
          <w:tab w:val="left" w:pos="945"/>
        </w:tabs>
        <w:spacing w:before="0" w:after="0" w:line="360" w:lineRule="auto"/>
        <w:ind w:left="964" w:hanging="960" w:hangingChars="400"/>
        <w:rPr>
          <w:rFonts w:ascii="宋体" w:hAnsi="宋体"/>
          <w:color w:val="auto"/>
          <w:sz w:val="24"/>
          <w:szCs w:val="24"/>
        </w:rPr>
      </w:pPr>
      <w:bookmarkStart w:id="322" w:name="_Toc10118"/>
      <w:bookmarkStart w:id="323" w:name="_Toc54335449"/>
      <w:r>
        <w:rPr>
          <w:rFonts w:hint="eastAsia" w:ascii="宋体" w:hAnsi="宋体"/>
          <w:color w:val="auto"/>
          <w:sz w:val="24"/>
          <w:szCs w:val="24"/>
        </w:rPr>
        <w:t>项目废标和招标失败</w:t>
      </w:r>
      <w:bookmarkEnd w:id="322"/>
      <w:bookmarkEnd w:id="323"/>
    </w:p>
    <w:p>
      <w:pPr>
        <w:pStyle w:val="58"/>
        <w:spacing w:line="360" w:lineRule="auto"/>
        <w:ind w:firstLine="0" w:firstLineChars="0"/>
        <w:rPr>
          <w:rFonts w:ascii="宋体" w:hAnsi="宋体"/>
          <w:color w:val="auto"/>
          <w:sz w:val="24"/>
          <w:szCs w:val="24"/>
        </w:rPr>
      </w:pPr>
      <w:r>
        <w:rPr>
          <w:rFonts w:hint="eastAsia" w:ascii="宋体" w:hAnsi="宋体"/>
          <w:color w:val="auto"/>
          <w:sz w:val="24"/>
          <w:szCs w:val="24"/>
        </w:rPr>
        <w:t>11.1.   在招标采购中，本项目（采购包）出现下列情形之一的，应予废标：</w:t>
      </w:r>
    </w:p>
    <w:p>
      <w:pPr>
        <w:pStyle w:val="58"/>
        <w:spacing w:line="360" w:lineRule="auto"/>
        <w:ind w:left="1005" w:leftChars="250" w:hanging="480" w:hangingChars="200"/>
        <w:rPr>
          <w:rFonts w:ascii="宋体" w:hAnsi="宋体"/>
          <w:color w:val="auto"/>
          <w:sz w:val="24"/>
          <w:szCs w:val="24"/>
        </w:rPr>
      </w:pPr>
      <w:r>
        <w:rPr>
          <w:rFonts w:hint="eastAsia" w:ascii="宋体" w:hAnsi="宋体"/>
          <w:color w:val="auto"/>
          <w:sz w:val="24"/>
          <w:szCs w:val="24"/>
        </w:rPr>
        <w:t>（1）符合资格条件的供应商或者对招标文件作实质响应的供应商不足三家的（提供相同品牌产品（非单一产品采购的，以核心产品为准）且通过资格审查、符合性审查的不同供应商参加同一合同项下投标（响应）的，按一家供应商计算）；</w:t>
      </w:r>
    </w:p>
    <w:p>
      <w:pPr>
        <w:pStyle w:val="58"/>
        <w:spacing w:line="360" w:lineRule="auto"/>
        <w:ind w:firstLine="480"/>
        <w:rPr>
          <w:rFonts w:ascii="宋体" w:hAnsi="宋体"/>
          <w:color w:val="auto"/>
          <w:sz w:val="24"/>
          <w:szCs w:val="24"/>
        </w:rPr>
      </w:pPr>
      <w:r>
        <w:rPr>
          <w:rFonts w:hint="eastAsia" w:ascii="宋体" w:hAnsi="宋体"/>
          <w:color w:val="auto"/>
          <w:sz w:val="24"/>
          <w:szCs w:val="24"/>
        </w:rPr>
        <w:t>（2）出现影响采购公正的违法、违规行为的；</w:t>
      </w:r>
    </w:p>
    <w:p>
      <w:pPr>
        <w:pStyle w:val="58"/>
        <w:spacing w:line="360" w:lineRule="auto"/>
        <w:ind w:firstLine="480"/>
        <w:rPr>
          <w:rFonts w:ascii="宋体" w:hAnsi="宋体"/>
          <w:color w:val="auto"/>
          <w:sz w:val="24"/>
          <w:szCs w:val="24"/>
        </w:rPr>
      </w:pPr>
      <w:r>
        <w:rPr>
          <w:rFonts w:hint="eastAsia" w:ascii="宋体" w:hAnsi="宋体"/>
          <w:color w:val="auto"/>
          <w:sz w:val="24"/>
          <w:szCs w:val="24"/>
        </w:rPr>
        <w:t>（3）投标人的报价均超过了采购预算，采购人不能支付的；</w:t>
      </w:r>
    </w:p>
    <w:p>
      <w:pPr>
        <w:pStyle w:val="58"/>
        <w:spacing w:line="360" w:lineRule="auto"/>
        <w:ind w:firstLine="480"/>
        <w:rPr>
          <w:rFonts w:ascii="宋体" w:hAnsi="宋体"/>
          <w:color w:val="auto"/>
          <w:sz w:val="24"/>
          <w:szCs w:val="24"/>
        </w:rPr>
      </w:pPr>
      <w:r>
        <w:rPr>
          <w:rFonts w:hint="eastAsia" w:ascii="宋体" w:hAnsi="宋体"/>
          <w:color w:val="auto"/>
          <w:sz w:val="24"/>
          <w:szCs w:val="24"/>
        </w:rPr>
        <w:t>（4）</w:t>
      </w:r>
      <w:r>
        <w:rPr>
          <w:rFonts w:hint="eastAsia" w:ascii="宋体" w:hAnsi="宋体"/>
          <w:color w:val="auto"/>
          <w:sz w:val="24"/>
          <w:szCs w:val="24"/>
        </w:rPr>
        <w:tab/>
      </w:r>
      <w:r>
        <w:rPr>
          <w:rFonts w:hint="eastAsia" w:ascii="宋体" w:hAnsi="宋体"/>
          <w:color w:val="auto"/>
          <w:sz w:val="24"/>
          <w:szCs w:val="24"/>
        </w:rPr>
        <w:t>因重大变故，采购任务取消的。</w:t>
      </w:r>
    </w:p>
    <w:p>
      <w:pPr>
        <w:pStyle w:val="58"/>
        <w:spacing w:line="360" w:lineRule="auto"/>
        <w:ind w:firstLine="0" w:firstLineChars="0"/>
        <w:rPr>
          <w:rFonts w:ascii="宋体" w:hAnsi="宋体"/>
          <w:color w:val="auto"/>
          <w:sz w:val="24"/>
          <w:szCs w:val="24"/>
        </w:rPr>
      </w:pPr>
      <w:r>
        <w:rPr>
          <w:rFonts w:hint="eastAsia" w:ascii="宋体" w:hAnsi="宋体"/>
          <w:color w:val="auto"/>
          <w:sz w:val="24"/>
          <w:szCs w:val="24"/>
        </w:rPr>
        <w:t>11.2.   招标失败的情形：</w:t>
      </w:r>
    </w:p>
    <w:p>
      <w:pPr>
        <w:pStyle w:val="58"/>
        <w:spacing w:line="360" w:lineRule="auto"/>
        <w:ind w:firstLine="480"/>
        <w:rPr>
          <w:rFonts w:ascii="宋体" w:hAnsi="宋体"/>
          <w:color w:val="auto"/>
          <w:sz w:val="24"/>
          <w:szCs w:val="24"/>
        </w:rPr>
      </w:pPr>
      <w:r>
        <w:rPr>
          <w:rFonts w:hint="eastAsia" w:ascii="宋体" w:hAnsi="宋体"/>
          <w:color w:val="auto"/>
          <w:sz w:val="24"/>
          <w:szCs w:val="24"/>
        </w:rPr>
        <w:t>（1）按照招标公告及招标文件的规定获取招标文件的供应商少于三家；</w:t>
      </w:r>
    </w:p>
    <w:p>
      <w:pPr>
        <w:pStyle w:val="58"/>
        <w:spacing w:line="360" w:lineRule="auto"/>
        <w:ind w:firstLine="480"/>
        <w:rPr>
          <w:rFonts w:ascii="宋体" w:hAnsi="宋体"/>
          <w:color w:val="auto"/>
          <w:sz w:val="24"/>
          <w:szCs w:val="24"/>
        </w:rPr>
      </w:pPr>
      <w:r>
        <w:rPr>
          <w:rFonts w:hint="eastAsia" w:ascii="宋体" w:hAnsi="宋体"/>
          <w:color w:val="auto"/>
          <w:sz w:val="24"/>
          <w:szCs w:val="24"/>
        </w:rPr>
        <w:t>（2）至投标截止时间止，递交投标文件的供应商少于三家；</w:t>
      </w:r>
    </w:p>
    <w:p>
      <w:pPr>
        <w:pStyle w:val="58"/>
        <w:spacing w:line="360" w:lineRule="auto"/>
        <w:ind w:firstLine="480"/>
        <w:rPr>
          <w:rFonts w:ascii="宋体" w:hAnsi="宋体"/>
          <w:color w:val="auto"/>
          <w:sz w:val="24"/>
          <w:szCs w:val="24"/>
        </w:rPr>
      </w:pPr>
      <w:r>
        <w:rPr>
          <w:rFonts w:hint="eastAsia" w:ascii="宋体" w:hAnsi="宋体"/>
          <w:color w:val="auto"/>
          <w:sz w:val="24"/>
          <w:szCs w:val="24"/>
        </w:rPr>
        <w:t>（3）通过符合性审查的投标人不足三家。</w:t>
      </w:r>
    </w:p>
    <w:p>
      <w:pPr>
        <w:pStyle w:val="5"/>
        <w:numPr>
          <w:ilvl w:val="0"/>
          <w:numId w:val="48"/>
        </w:numPr>
        <w:tabs>
          <w:tab w:val="left" w:pos="945"/>
        </w:tabs>
        <w:spacing w:before="0" w:after="0" w:line="360" w:lineRule="auto"/>
        <w:ind w:left="964" w:hanging="960" w:hangingChars="400"/>
        <w:rPr>
          <w:rFonts w:ascii="宋体" w:hAnsi="宋体"/>
          <w:color w:val="auto"/>
          <w:sz w:val="24"/>
          <w:szCs w:val="24"/>
        </w:rPr>
      </w:pPr>
      <w:bookmarkStart w:id="324" w:name="_Toc3981"/>
      <w:bookmarkStart w:id="325" w:name="_Toc50460204"/>
      <w:bookmarkStart w:id="326" w:name="_Toc54335450"/>
      <w:r>
        <w:rPr>
          <w:rFonts w:hint="eastAsia"/>
          <w:color w:val="auto"/>
          <w:sz w:val="24"/>
          <w:szCs w:val="24"/>
        </w:rPr>
        <w:t>其他内容</w:t>
      </w:r>
      <w:bookmarkEnd w:id="324"/>
      <w:bookmarkEnd w:id="325"/>
      <w:bookmarkEnd w:id="326"/>
    </w:p>
    <w:p>
      <w:pPr>
        <w:pStyle w:val="5"/>
        <w:numPr>
          <w:ilvl w:val="0"/>
          <w:numId w:val="52"/>
        </w:numPr>
        <w:tabs>
          <w:tab w:val="left" w:pos="945"/>
        </w:tabs>
        <w:spacing w:before="0" w:after="0" w:line="360" w:lineRule="auto"/>
        <w:ind w:left="964" w:hanging="960" w:hangingChars="400"/>
        <w:rPr>
          <w:rFonts w:ascii="宋体" w:hAnsi="宋体"/>
          <w:color w:val="auto"/>
          <w:sz w:val="24"/>
          <w:szCs w:val="24"/>
        </w:rPr>
      </w:pPr>
      <w:bookmarkStart w:id="327" w:name="_Toc29326"/>
      <w:bookmarkStart w:id="328" w:name="_Toc54335451"/>
      <w:bookmarkStart w:id="329" w:name="_Toc50460205"/>
      <w:r>
        <w:rPr>
          <w:rFonts w:hint="eastAsia" w:ascii="宋体" w:hAnsi="宋体"/>
          <w:color w:val="auto"/>
          <w:sz w:val="24"/>
          <w:szCs w:val="24"/>
        </w:rPr>
        <w:t>需要补充的其他内容</w:t>
      </w:r>
      <w:bookmarkEnd w:id="327"/>
      <w:bookmarkEnd w:id="328"/>
      <w:bookmarkEnd w:id="329"/>
    </w:p>
    <w:p>
      <w:pPr>
        <w:pStyle w:val="58"/>
        <w:spacing w:line="360" w:lineRule="auto"/>
        <w:ind w:firstLine="0" w:firstLineChars="0"/>
        <w:rPr>
          <w:rFonts w:ascii="宋体" w:hAnsi="宋体"/>
          <w:color w:val="auto"/>
          <w:sz w:val="24"/>
          <w:szCs w:val="24"/>
        </w:rPr>
      </w:pPr>
      <w:r>
        <w:rPr>
          <w:rFonts w:hint="eastAsia" w:ascii="宋体" w:hAnsi="宋体"/>
          <w:color w:val="auto"/>
          <w:sz w:val="24"/>
          <w:szCs w:val="24"/>
        </w:rPr>
        <w:t xml:space="preserve">12.1    </w:t>
      </w:r>
      <w:r>
        <w:rPr>
          <w:rFonts w:hint="eastAsia"/>
          <w:color w:val="auto"/>
          <w:sz w:val="24"/>
          <w:szCs w:val="24"/>
        </w:rPr>
        <w:t>需要补充的其他内容：如有，见《评标办法前附表》。</w:t>
      </w:r>
    </w:p>
    <w:p>
      <w:pPr>
        <w:pStyle w:val="5"/>
        <w:numPr>
          <w:ilvl w:val="0"/>
          <w:numId w:val="52"/>
        </w:numPr>
        <w:tabs>
          <w:tab w:val="left" w:pos="945"/>
        </w:tabs>
        <w:spacing w:before="0" w:after="0" w:line="360" w:lineRule="auto"/>
        <w:ind w:left="964" w:hanging="960" w:hangingChars="400"/>
        <w:rPr>
          <w:rFonts w:ascii="宋体" w:hAnsi="宋体"/>
          <w:color w:val="auto"/>
          <w:sz w:val="24"/>
          <w:szCs w:val="24"/>
        </w:rPr>
      </w:pPr>
      <w:bookmarkStart w:id="330" w:name="_Toc50460206"/>
      <w:bookmarkStart w:id="331" w:name="_Toc54335452"/>
      <w:bookmarkStart w:id="332" w:name="_Toc20541"/>
      <w:r>
        <w:rPr>
          <w:rFonts w:hint="eastAsia" w:ascii="宋体" w:hAnsi="宋体"/>
          <w:color w:val="auto"/>
          <w:sz w:val="24"/>
          <w:szCs w:val="24"/>
        </w:rPr>
        <w:t>附件</w:t>
      </w:r>
      <w:bookmarkEnd w:id="330"/>
      <w:bookmarkEnd w:id="331"/>
      <w:bookmarkEnd w:id="332"/>
    </w:p>
    <w:p>
      <w:pPr>
        <w:spacing w:line="360" w:lineRule="auto"/>
        <w:ind w:firstLine="840" w:firstLineChars="350"/>
        <w:rPr>
          <w:color w:val="auto"/>
          <w:sz w:val="24"/>
          <w:szCs w:val="24"/>
        </w:rPr>
      </w:pPr>
      <w:r>
        <w:rPr>
          <w:rFonts w:hint="eastAsia" w:ascii="宋体" w:hAnsi="宋体"/>
          <w:color w:val="auto"/>
          <w:sz w:val="24"/>
          <w:szCs w:val="24"/>
        </w:rPr>
        <w:t>附件1：政策功能性评审优惠</w:t>
      </w:r>
    </w:p>
    <w:p>
      <w:pPr>
        <w:pStyle w:val="5"/>
        <w:numPr>
          <w:ilvl w:val="0"/>
          <w:numId w:val="0"/>
        </w:numPr>
        <w:tabs>
          <w:tab w:val="left" w:pos="945"/>
        </w:tabs>
        <w:spacing w:before="0" w:after="0" w:line="360" w:lineRule="auto"/>
        <w:ind w:left="425" w:hanging="425"/>
        <w:rPr>
          <w:rFonts w:ascii="宋体" w:hAnsi="宋体"/>
          <w:color w:val="auto"/>
          <w:sz w:val="24"/>
          <w:szCs w:val="24"/>
        </w:rPr>
      </w:pPr>
      <w:r>
        <w:rPr>
          <w:color w:val="auto"/>
        </w:rPr>
        <w:br w:type="page"/>
      </w:r>
      <w:bookmarkEnd w:id="223"/>
      <w:bookmarkStart w:id="333" w:name="_Toc44687995"/>
      <w:bookmarkEnd w:id="333"/>
      <w:bookmarkStart w:id="334" w:name="_Toc44688227"/>
      <w:bookmarkEnd w:id="334"/>
      <w:bookmarkStart w:id="335" w:name="_Toc44688001"/>
      <w:bookmarkEnd w:id="335"/>
      <w:bookmarkStart w:id="336" w:name="_Toc44688221"/>
      <w:bookmarkEnd w:id="336"/>
      <w:bookmarkStart w:id="337" w:name="_Toc50460207"/>
      <w:bookmarkStart w:id="338" w:name="_Toc54335453"/>
      <w:bookmarkStart w:id="339" w:name="_Toc23375"/>
      <w:r>
        <w:rPr>
          <w:rFonts w:hint="eastAsia" w:ascii="宋体" w:hAnsi="宋体"/>
          <w:color w:val="auto"/>
          <w:sz w:val="24"/>
          <w:szCs w:val="24"/>
        </w:rPr>
        <w:t>附件1：政策功能性评审优惠</w:t>
      </w:r>
      <w:bookmarkEnd w:id="337"/>
      <w:bookmarkEnd w:id="338"/>
      <w:bookmarkEnd w:id="339"/>
    </w:p>
    <w:p>
      <w:pPr>
        <w:jc w:val="center"/>
        <w:rPr>
          <w:b/>
          <w:color w:val="auto"/>
          <w:sz w:val="30"/>
          <w:szCs w:val="30"/>
        </w:rPr>
      </w:pPr>
      <w:r>
        <w:rPr>
          <w:rFonts w:hint="eastAsia"/>
          <w:b/>
          <w:color w:val="auto"/>
          <w:sz w:val="30"/>
          <w:szCs w:val="30"/>
        </w:rPr>
        <w:t>政策功能性评审优惠</w:t>
      </w:r>
    </w:p>
    <w:p>
      <w:pPr>
        <w:tabs>
          <w:tab w:val="left" w:pos="567"/>
        </w:tabs>
        <w:adjustRightInd w:val="0"/>
        <w:snapToGrid w:val="0"/>
        <w:spacing w:line="360" w:lineRule="auto"/>
        <w:rPr>
          <w:rFonts w:ascii="宋体" w:hAnsi="宋体"/>
          <w:b/>
          <w:bCs/>
          <w:color w:val="auto"/>
          <w:sz w:val="24"/>
          <w:szCs w:val="24"/>
        </w:rPr>
      </w:pPr>
      <w:r>
        <w:rPr>
          <w:rFonts w:hint="eastAsia"/>
          <w:b/>
          <w:bCs/>
          <w:color w:val="auto"/>
          <w:sz w:val="24"/>
          <w:szCs w:val="24"/>
        </w:rPr>
        <w:t>一、</w:t>
      </w:r>
      <w:r>
        <w:rPr>
          <w:rFonts w:hint="eastAsia" w:ascii="宋体" w:hAnsi="宋体"/>
          <w:b/>
          <w:bCs/>
          <w:color w:val="auto"/>
          <w:sz w:val="24"/>
          <w:szCs w:val="24"/>
        </w:rPr>
        <w:t>对中小企业参加政府采购活动的评审优惠</w:t>
      </w:r>
    </w:p>
    <w:p>
      <w:pPr>
        <w:spacing w:line="360" w:lineRule="auto"/>
        <w:ind w:left="480" w:hanging="480" w:hangingChars="200"/>
        <w:rPr>
          <w:rFonts w:ascii="宋体" w:hAnsi="宋体"/>
          <w:color w:val="auto"/>
          <w:sz w:val="24"/>
          <w:szCs w:val="24"/>
        </w:rPr>
      </w:pPr>
      <w:r>
        <w:rPr>
          <w:rFonts w:hint="eastAsia" w:ascii="宋体" w:hAnsi="宋体"/>
          <w:color w:val="auto"/>
          <w:sz w:val="24"/>
          <w:szCs w:val="24"/>
        </w:rPr>
        <w:t>1.  根据《政府采购促进中小企业发展管理办法》（财库〔</w:t>
      </w:r>
      <w:r>
        <w:rPr>
          <w:rFonts w:ascii="宋体" w:hAnsi="宋体"/>
          <w:color w:val="auto"/>
          <w:sz w:val="24"/>
          <w:szCs w:val="24"/>
        </w:rPr>
        <w:t>2020</w:t>
      </w:r>
      <w:r>
        <w:rPr>
          <w:rFonts w:hint="eastAsia" w:ascii="宋体" w:hAnsi="宋体"/>
          <w:color w:val="auto"/>
          <w:sz w:val="24"/>
          <w:szCs w:val="24"/>
        </w:rPr>
        <w:t>〕</w:t>
      </w:r>
      <w:r>
        <w:rPr>
          <w:rFonts w:ascii="宋体" w:hAnsi="宋体"/>
          <w:color w:val="auto"/>
          <w:sz w:val="24"/>
          <w:szCs w:val="24"/>
        </w:rPr>
        <w:t>46</w:t>
      </w:r>
      <w:r>
        <w:rPr>
          <w:rFonts w:hint="eastAsia" w:ascii="宋体" w:hAnsi="宋体"/>
          <w:color w:val="auto"/>
          <w:sz w:val="24"/>
          <w:szCs w:val="24"/>
        </w:rPr>
        <w:t>号）（以下简称《办法》）相关规定</w:t>
      </w:r>
    </w:p>
    <w:p>
      <w:pPr>
        <w:pStyle w:val="10"/>
        <w:kinsoku w:val="0"/>
        <w:overflowPunct w:val="0"/>
        <w:ind w:left="480" w:hanging="480" w:hangingChars="200"/>
        <w:rPr>
          <w:rFonts w:ascii="宋体" w:hAnsi="宋体"/>
          <w:color w:val="auto"/>
          <w:sz w:val="24"/>
          <w:szCs w:val="24"/>
        </w:rPr>
      </w:pPr>
      <w:r>
        <w:rPr>
          <w:rFonts w:hint="eastAsia" w:ascii="宋体" w:hAnsi="宋体"/>
          <w:color w:val="auto"/>
          <w:sz w:val="24"/>
          <w:szCs w:val="24"/>
        </w:rPr>
        <w:t>1.1</w:t>
      </w:r>
      <w:r>
        <w:rPr>
          <w:rFonts w:hint="eastAsia" w:ascii="宋体" w:hAnsi="宋体"/>
          <w:color w:val="auto"/>
          <w:spacing w:val="-3"/>
          <w:sz w:val="24"/>
          <w:szCs w:val="24"/>
        </w:rPr>
        <w:t>本办法所称中小企业，是指在中华人民共和国境内依法设立，依据国务院批准的中小企</w:t>
      </w:r>
      <w:r>
        <w:rPr>
          <w:rFonts w:ascii="宋体" w:hAnsi="宋体"/>
          <w:color w:val="auto"/>
          <w:spacing w:val="-3"/>
          <w:sz w:val="24"/>
          <w:szCs w:val="24"/>
        </w:rPr>
        <w:t xml:space="preserve"> </w:t>
      </w:r>
      <w:r>
        <w:rPr>
          <w:rFonts w:hint="eastAsia" w:ascii="宋体" w:hAnsi="宋体"/>
          <w:color w:val="auto"/>
          <w:spacing w:val="-2"/>
          <w:sz w:val="24"/>
          <w:szCs w:val="24"/>
        </w:rPr>
        <w:t>业划分标准确定的中型企业、小型企业和微型企业，但与大企业的负责人为同一人，或者与大企业存在直接控股、管理关系的除外。符合中小企业划分标准的个体工商户，在政府采购活动中视同中</w:t>
      </w:r>
      <w:r>
        <w:rPr>
          <w:rFonts w:hint="eastAsia" w:ascii="宋体" w:hAnsi="宋体"/>
          <w:color w:val="auto"/>
          <w:sz w:val="24"/>
          <w:szCs w:val="24"/>
        </w:rPr>
        <w:t>小企业。</w:t>
      </w:r>
    </w:p>
    <w:p>
      <w:pPr>
        <w:pStyle w:val="10"/>
        <w:kinsoku w:val="0"/>
        <w:overflowPunct w:val="0"/>
        <w:ind w:left="480" w:hanging="480" w:hangingChars="200"/>
        <w:rPr>
          <w:rFonts w:ascii="宋体" w:hAnsi="宋体"/>
          <w:color w:val="auto"/>
          <w:sz w:val="24"/>
          <w:szCs w:val="24"/>
        </w:rPr>
      </w:pPr>
      <w:r>
        <w:rPr>
          <w:rFonts w:hint="eastAsia" w:ascii="宋体" w:hAnsi="宋体"/>
          <w:color w:val="auto"/>
          <w:sz w:val="24"/>
          <w:szCs w:val="24"/>
        </w:rPr>
        <w:t xml:space="preserve">1.2 </w:t>
      </w:r>
      <w:r>
        <w:rPr>
          <w:rFonts w:hint="eastAsia" w:ascii="宋体" w:hAnsi="宋体"/>
          <w:color w:val="auto"/>
          <w:spacing w:val="-3"/>
          <w:sz w:val="24"/>
          <w:szCs w:val="24"/>
        </w:rPr>
        <w:t>符合享受本办法规定政策的情形：（一）在货物采购项目中，货物由中小企业制造，即</w:t>
      </w:r>
      <w:r>
        <w:rPr>
          <w:rFonts w:ascii="宋体" w:hAnsi="宋体"/>
          <w:color w:val="auto"/>
          <w:sz w:val="24"/>
          <w:szCs w:val="24"/>
        </w:rPr>
        <w:t xml:space="preserve"> </w:t>
      </w:r>
      <w:r>
        <w:rPr>
          <w:rFonts w:hint="eastAsia" w:ascii="宋体" w:hAnsi="宋体"/>
          <w:color w:val="auto"/>
          <w:spacing w:val="-2"/>
          <w:sz w:val="24"/>
          <w:szCs w:val="24"/>
        </w:rPr>
        <w:t>货物由中小企业生产且使用该中小企业商号或者注册商标；（二）在工程采购项目中，工程由中小企业承建，即工程施工单位为中小企业；（三）在服务采购项目中，服务由中小企业承接，即提供</w:t>
      </w:r>
      <w:r>
        <w:rPr>
          <w:rFonts w:hint="eastAsia" w:ascii="宋体" w:hAnsi="宋体"/>
          <w:color w:val="auto"/>
          <w:sz w:val="24"/>
          <w:szCs w:val="24"/>
        </w:rPr>
        <w:t>服务的人员为中小企业依照《中华人民共和国劳动合同法》订立劳动合同的从业人员。</w:t>
      </w:r>
    </w:p>
    <w:p>
      <w:pPr>
        <w:pStyle w:val="10"/>
        <w:kinsoku w:val="0"/>
        <w:overflowPunct w:val="0"/>
        <w:ind w:left="480" w:hanging="480" w:hangingChars="200"/>
        <w:rPr>
          <w:rFonts w:ascii="宋体" w:hAnsi="宋体"/>
          <w:color w:val="auto"/>
          <w:sz w:val="24"/>
          <w:szCs w:val="24"/>
        </w:rPr>
      </w:pPr>
      <w:r>
        <w:rPr>
          <w:rFonts w:hint="eastAsia" w:ascii="宋体" w:hAnsi="宋体"/>
          <w:color w:val="auto"/>
          <w:sz w:val="24"/>
          <w:szCs w:val="24"/>
        </w:rPr>
        <w:t>1.3 在货物采购项目中，供应商提供的货物既有中小企业制造货物，也有大型企业制造货物的，不享受本办法规定的政策。</w:t>
      </w:r>
    </w:p>
    <w:p>
      <w:pPr>
        <w:pStyle w:val="10"/>
        <w:kinsoku w:val="0"/>
        <w:overflowPunct w:val="0"/>
        <w:ind w:left="480" w:hanging="480" w:hangingChars="200"/>
        <w:rPr>
          <w:rFonts w:ascii="宋体" w:hAnsi="宋体"/>
          <w:color w:val="auto"/>
          <w:sz w:val="24"/>
          <w:szCs w:val="24"/>
        </w:rPr>
      </w:pPr>
      <w:r>
        <w:rPr>
          <w:rFonts w:hint="eastAsia" w:ascii="宋体" w:hAnsi="宋体"/>
          <w:color w:val="auto"/>
          <w:sz w:val="24"/>
          <w:szCs w:val="24"/>
        </w:rPr>
        <w:t>1.4 以联合体形式参加政府采购活动，联合体各方均为中小企业的，联合体视同中小企业。其中，联合体各方均为小微企业的，联合体视同小微企业。</w:t>
      </w:r>
    </w:p>
    <w:p>
      <w:pPr>
        <w:pStyle w:val="10"/>
        <w:kinsoku w:val="0"/>
        <w:overflowPunct w:val="0"/>
        <w:ind w:left="480" w:hanging="480" w:hangingChars="200"/>
        <w:rPr>
          <w:rFonts w:ascii="宋体" w:hAnsi="宋体"/>
          <w:color w:val="auto"/>
          <w:sz w:val="24"/>
          <w:szCs w:val="24"/>
        </w:rPr>
      </w:pPr>
      <w:r>
        <w:rPr>
          <w:rFonts w:hint="eastAsia" w:ascii="宋体" w:hAnsi="宋体"/>
          <w:color w:val="auto"/>
          <w:sz w:val="24"/>
          <w:szCs w:val="24"/>
        </w:rPr>
        <w:t>1.5</w:t>
      </w:r>
      <w:r>
        <w:rPr>
          <w:rFonts w:hint="eastAsia" w:ascii="宋体" w:hAnsi="宋体"/>
          <w:color w:val="auto"/>
          <w:spacing w:val="7"/>
          <w:sz w:val="24"/>
          <w:szCs w:val="24"/>
        </w:rPr>
        <w:t>中小企业划分标准按照《关于印发中小企业划型标准规定的通知》（工信部联企业</w:t>
      </w:r>
      <w:r>
        <w:rPr>
          <w:rFonts w:ascii="宋体" w:hAnsi="宋体"/>
          <w:color w:val="auto"/>
          <w:sz w:val="24"/>
          <w:szCs w:val="24"/>
        </w:rPr>
        <w:t>[2011]300</w:t>
      </w:r>
      <w:r>
        <w:rPr>
          <w:rFonts w:hint="eastAsia" w:ascii="宋体" w:hAnsi="宋体"/>
          <w:color w:val="auto"/>
          <w:sz w:val="24"/>
          <w:szCs w:val="24"/>
        </w:rPr>
        <w:t>号）执行。现行中小企业划分标准行业包括农、林、牧、渔业，工业，建筑业，批发业，零售业，交通运输业，仓储业，邮政业，住宿业，餐饮业，信息传输业，软件和信息技术服务业，房地产开发经营，物业管理，租赁和商业服务业和其他未列明行业等十六类。</w:t>
      </w:r>
    </w:p>
    <w:p>
      <w:pPr>
        <w:pStyle w:val="10"/>
        <w:overflowPunct w:val="0"/>
        <w:ind w:left="480" w:hanging="480" w:hangingChars="200"/>
        <w:rPr>
          <w:rFonts w:ascii="宋体" w:hAnsi="宋体"/>
          <w:color w:val="auto"/>
          <w:sz w:val="24"/>
          <w:szCs w:val="24"/>
        </w:rPr>
      </w:pPr>
      <w:r>
        <w:rPr>
          <w:rFonts w:hint="eastAsia" w:ascii="宋体" w:hAnsi="宋体"/>
          <w:color w:val="auto"/>
          <w:sz w:val="24"/>
          <w:szCs w:val="24"/>
        </w:rPr>
        <w:t>1.6 参加政府采购活动的中小企业投标时需提供《中小企业声明函》。供应商应对声明函的真实性负责，提供声明函内容不实的，属于提供虚假材料谋取中标、成交，依照《中华人民共和国政府采购法》等国家有关规定追究相应责任。</w:t>
      </w:r>
    </w:p>
    <w:p>
      <w:pPr>
        <w:pStyle w:val="10"/>
        <w:overflowPunct w:val="0"/>
        <w:ind w:left="480" w:hanging="480" w:hangingChars="200"/>
        <w:rPr>
          <w:rFonts w:ascii="宋体" w:hAnsi="宋体"/>
          <w:color w:val="auto"/>
          <w:sz w:val="24"/>
          <w:szCs w:val="24"/>
        </w:rPr>
      </w:pPr>
      <w:r>
        <w:rPr>
          <w:rFonts w:hint="eastAsia" w:ascii="宋体" w:hAnsi="宋体"/>
          <w:color w:val="auto"/>
          <w:sz w:val="24"/>
          <w:szCs w:val="24"/>
        </w:rPr>
        <w:t>1.7 依据《办法》规定享受扶持政策获得政府采购合同的，小微企业不得将合同分包给大中型企业，中型企业不得将合同分包给大型企业。</w:t>
      </w:r>
    </w:p>
    <w:p>
      <w:pPr>
        <w:pStyle w:val="10"/>
        <w:overflowPunct w:val="0"/>
        <w:ind w:left="480" w:hanging="480" w:hangingChars="200"/>
        <w:rPr>
          <w:rFonts w:ascii="宋体" w:hAnsi="宋体"/>
          <w:color w:val="auto"/>
          <w:sz w:val="24"/>
          <w:szCs w:val="24"/>
        </w:rPr>
      </w:pPr>
      <w:r>
        <w:rPr>
          <w:rFonts w:hint="eastAsia" w:ascii="宋体" w:hAnsi="宋体"/>
          <w:color w:val="auto"/>
          <w:sz w:val="24"/>
          <w:szCs w:val="24"/>
        </w:rPr>
        <w:t>2.  享受中小企业扶持政策的供应商应当满足下列条件：在货物采购项目中，货物应当由中小企业制造，不对其中涉及的服务的承接商作出要求；在工程采购项目中，工程应当由中小企业承建，不对其中涉及的货物的制造商和服务的承接商作出要求；在服务采购项目中，服务的承接商应当为中小企业，不对其中涉及的货物的制造商作出要求。</w:t>
      </w:r>
    </w:p>
    <w:p>
      <w:pPr>
        <w:pStyle w:val="10"/>
        <w:overflowPunct w:val="0"/>
        <w:ind w:left="480" w:hanging="480" w:hangingChars="200"/>
        <w:rPr>
          <w:rFonts w:ascii="宋体" w:hAnsi="宋体"/>
          <w:color w:val="auto"/>
          <w:sz w:val="24"/>
          <w:szCs w:val="24"/>
        </w:rPr>
      </w:pPr>
      <w:r>
        <w:rPr>
          <w:rFonts w:hint="eastAsia" w:ascii="宋体" w:hAnsi="宋体"/>
          <w:color w:val="auto"/>
          <w:sz w:val="24"/>
          <w:szCs w:val="24"/>
        </w:rPr>
        <w:t>3.  专门面向中小企业的采购项目（或者采购包），包括通过预留采购项目、预留专门采购包、要求以联合体形式参加或者合同分包形式参加政府采购活动的项目（采购包），</w:t>
      </w:r>
      <w:r>
        <w:rPr>
          <w:rFonts w:hint="eastAsia" w:ascii="宋体" w:hAnsi="宋体"/>
          <w:b/>
          <w:color w:val="auto"/>
          <w:sz w:val="24"/>
          <w:szCs w:val="24"/>
        </w:rPr>
        <w:t>不再执行价格评审优惠的扶持政策</w:t>
      </w:r>
      <w:r>
        <w:rPr>
          <w:rFonts w:hint="eastAsia" w:ascii="宋体" w:hAnsi="宋体"/>
          <w:color w:val="auto"/>
          <w:sz w:val="24"/>
          <w:szCs w:val="24"/>
        </w:rPr>
        <w:t>。</w:t>
      </w:r>
    </w:p>
    <w:p>
      <w:pPr>
        <w:pStyle w:val="10"/>
        <w:overflowPunct w:val="0"/>
        <w:ind w:left="480" w:hanging="480" w:hangingChars="200"/>
        <w:rPr>
          <w:rFonts w:ascii="宋体" w:hAnsi="宋体"/>
          <w:color w:val="auto"/>
          <w:sz w:val="24"/>
          <w:szCs w:val="24"/>
        </w:rPr>
      </w:pPr>
      <w:r>
        <w:rPr>
          <w:rFonts w:hint="eastAsia" w:ascii="宋体" w:hAnsi="宋体"/>
          <w:color w:val="auto"/>
          <w:sz w:val="24"/>
          <w:szCs w:val="24"/>
        </w:rPr>
        <w:t>4.  不属于专门面向中小企业采购的项目（或者采购包），包括未预留份额专门面向中小企业采购的采购项目，以及预留份额项目中的非预留部分采购包，对小型和微型企业参加政府采购活动，满足条件的响应供应商按照下表所述评审优惠给予相应的价格扣除。价格扣除比例详见</w:t>
      </w:r>
      <w:r>
        <w:rPr>
          <w:rFonts w:hint="eastAsia" w:ascii="宋体" w:hAnsi="宋体"/>
          <w:b/>
          <w:color w:val="auto"/>
          <w:sz w:val="24"/>
          <w:szCs w:val="24"/>
        </w:rPr>
        <w:t>《评标办法前附表》，如未载明的，为取值范围的最低限。</w:t>
      </w:r>
    </w:p>
    <w:tbl>
      <w:tblPr>
        <w:tblStyle w:val="29"/>
        <w:tblW w:w="8788"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828"/>
        <w:gridCol w:w="1275"/>
        <w:gridCol w:w="1276"/>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vAlign w:val="center"/>
          </w:tcPr>
          <w:p>
            <w:pPr>
              <w:jc w:val="center"/>
              <w:rPr>
                <w:rFonts w:ascii="宋体" w:hAnsi="宋体"/>
                <w:b/>
                <w:color w:val="auto"/>
                <w:szCs w:val="21"/>
                <w:lang w:val="en-GB"/>
              </w:rPr>
            </w:pPr>
            <w:r>
              <w:rPr>
                <w:rFonts w:hint="eastAsia" w:ascii="宋体" w:hAnsi="宋体"/>
                <w:b/>
                <w:color w:val="auto"/>
                <w:szCs w:val="21"/>
                <w:lang w:val="en-GB"/>
              </w:rPr>
              <w:t>序号</w:t>
            </w:r>
          </w:p>
        </w:tc>
        <w:tc>
          <w:tcPr>
            <w:tcW w:w="3828" w:type="dxa"/>
            <w:vAlign w:val="center"/>
          </w:tcPr>
          <w:p>
            <w:pPr>
              <w:jc w:val="center"/>
              <w:rPr>
                <w:rFonts w:ascii="宋体" w:hAnsi="宋体"/>
                <w:b/>
                <w:color w:val="auto"/>
                <w:szCs w:val="21"/>
                <w:lang w:val="en-GB"/>
              </w:rPr>
            </w:pPr>
            <w:r>
              <w:rPr>
                <w:rFonts w:hint="eastAsia" w:ascii="宋体" w:hAnsi="宋体"/>
                <w:b/>
                <w:color w:val="auto"/>
                <w:szCs w:val="21"/>
                <w:lang w:val="en-GB"/>
              </w:rPr>
              <w:t>情形</w:t>
            </w:r>
          </w:p>
        </w:tc>
        <w:tc>
          <w:tcPr>
            <w:tcW w:w="1275" w:type="dxa"/>
            <w:vAlign w:val="center"/>
          </w:tcPr>
          <w:p>
            <w:pPr>
              <w:jc w:val="center"/>
              <w:rPr>
                <w:rFonts w:ascii="宋体" w:hAnsi="宋体"/>
                <w:b/>
                <w:color w:val="auto"/>
                <w:szCs w:val="21"/>
                <w:lang w:val="en-GB"/>
              </w:rPr>
            </w:pPr>
            <w:r>
              <w:rPr>
                <w:rFonts w:hint="eastAsia" w:ascii="宋体" w:hAnsi="宋体"/>
                <w:b/>
                <w:color w:val="auto"/>
                <w:szCs w:val="21"/>
              </w:rPr>
              <w:t>优惠方式</w:t>
            </w:r>
          </w:p>
        </w:tc>
        <w:tc>
          <w:tcPr>
            <w:tcW w:w="1276" w:type="dxa"/>
            <w:vAlign w:val="center"/>
          </w:tcPr>
          <w:p>
            <w:pPr>
              <w:jc w:val="center"/>
              <w:rPr>
                <w:rFonts w:ascii="宋体" w:hAnsi="宋体"/>
                <w:b/>
                <w:color w:val="auto"/>
                <w:szCs w:val="21"/>
                <w:lang w:val="en-GB"/>
              </w:rPr>
            </w:pPr>
            <w:r>
              <w:rPr>
                <w:rFonts w:hint="eastAsia" w:ascii="宋体" w:hAnsi="宋体"/>
                <w:b/>
                <w:color w:val="auto"/>
                <w:szCs w:val="21"/>
                <w:lang w:val="en-GB"/>
              </w:rPr>
              <w:t>价格扣除比例取值范围</w:t>
            </w:r>
          </w:p>
        </w:tc>
        <w:tc>
          <w:tcPr>
            <w:tcW w:w="1701" w:type="dxa"/>
            <w:vAlign w:val="center"/>
          </w:tcPr>
          <w:p>
            <w:pPr>
              <w:jc w:val="center"/>
              <w:rPr>
                <w:rFonts w:ascii="宋体" w:hAnsi="宋体"/>
                <w:b/>
                <w:color w:val="auto"/>
                <w:szCs w:val="21"/>
                <w:lang w:val="en-GB"/>
              </w:rPr>
            </w:pPr>
            <w:r>
              <w:rPr>
                <w:rFonts w:hint="eastAsia" w:ascii="宋体" w:hAnsi="宋体"/>
                <w:b/>
                <w:color w:val="auto"/>
                <w:szCs w:val="21"/>
                <w:lang w:val="en-GB"/>
              </w:rPr>
              <w:t>计算公式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708" w:type="dxa"/>
            <w:vMerge w:val="restart"/>
            <w:vAlign w:val="center"/>
          </w:tcPr>
          <w:p>
            <w:pPr>
              <w:rPr>
                <w:rFonts w:ascii="宋体" w:hAnsi="宋体"/>
                <w:color w:val="auto"/>
                <w:szCs w:val="21"/>
                <w:lang w:val="en-GB"/>
              </w:rPr>
            </w:pPr>
            <w:r>
              <w:rPr>
                <w:rFonts w:hint="eastAsia" w:ascii="宋体" w:hAnsi="宋体"/>
                <w:color w:val="auto"/>
                <w:szCs w:val="21"/>
                <w:lang w:val="en-GB"/>
              </w:rPr>
              <w:t>（1）</w:t>
            </w:r>
          </w:p>
        </w:tc>
        <w:tc>
          <w:tcPr>
            <w:tcW w:w="3828" w:type="dxa"/>
            <w:vAlign w:val="center"/>
          </w:tcPr>
          <w:p>
            <w:pPr>
              <w:rPr>
                <w:rFonts w:ascii="宋体" w:hAnsi="宋体"/>
                <w:color w:val="auto"/>
                <w:szCs w:val="21"/>
                <w:lang w:val="en-GB"/>
              </w:rPr>
            </w:pPr>
            <w:r>
              <w:rPr>
                <w:rFonts w:hint="eastAsia" w:ascii="宋体" w:hAnsi="宋体"/>
                <w:b/>
                <w:color w:val="auto"/>
                <w:szCs w:val="21"/>
              </w:rPr>
              <w:t>【货物类项目】</w:t>
            </w:r>
            <w:r>
              <w:rPr>
                <w:rFonts w:hint="eastAsia" w:ascii="宋体" w:hAnsi="宋体"/>
                <w:color w:val="auto"/>
                <w:szCs w:val="21"/>
              </w:rPr>
              <w:t>投标供应商（包括以联合体形式或合同分包形式参加投标）提供的</w:t>
            </w:r>
            <w:r>
              <w:rPr>
                <w:rFonts w:hint="eastAsia" w:ascii="宋体" w:hAnsi="宋体"/>
                <w:b/>
                <w:color w:val="auto"/>
                <w:szCs w:val="21"/>
              </w:rPr>
              <w:t>所有采购标的均为小微企业制造且使用该小微企业商号或者注册商标</w:t>
            </w:r>
            <w:r>
              <w:rPr>
                <w:rFonts w:hint="eastAsia" w:ascii="宋体" w:hAnsi="宋体"/>
                <w:color w:val="auto"/>
                <w:szCs w:val="21"/>
              </w:rPr>
              <w:t>。</w:t>
            </w:r>
          </w:p>
        </w:tc>
        <w:tc>
          <w:tcPr>
            <w:tcW w:w="1275" w:type="dxa"/>
            <w:vAlign w:val="center"/>
          </w:tcPr>
          <w:p>
            <w:pPr>
              <w:rPr>
                <w:rFonts w:ascii="宋体" w:hAnsi="宋体"/>
                <w:color w:val="auto"/>
                <w:szCs w:val="21"/>
              </w:rPr>
            </w:pPr>
            <w:r>
              <w:rPr>
                <w:rFonts w:hint="eastAsia" w:ascii="宋体" w:hAnsi="宋体"/>
                <w:color w:val="auto"/>
                <w:szCs w:val="21"/>
              </w:rPr>
              <w:t>对投标报价给予C1的价格扣除</w:t>
            </w:r>
          </w:p>
        </w:tc>
        <w:tc>
          <w:tcPr>
            <w:tcW w:w="1276" w:type="dxa"/>
            <w:vAlign w:val="center"/>
          </w:tcPr>
          <w:p>
            <w:pPr>
              <w:rPr>
                <w:rFonts w:ascii="宋体" w:hAnsi="宋体"/>
                <w:color w:val="auto"/>
                <w:szCs w:val="21"/>
                <w:lang w:val="en-GB"/>
              </w:rPr>
            </w:pPr>
            <w:r>
              <w:rPr>
                <w:rFonts w:hint="eastAsia" w:ascii="宋体" w:hAnsi="宋体"/>
                <w:color w:val="auto"/>
                <w:szCs w:val="21"/>
              </w:rPr>
              <w:t>C1=6%～10%</w:t>
            </w:r>
          </w:p>
        </w:tc>
        <w:tc>
          <w:tcPr>
            <w:tcW w:w="1701" w:type="dxa"/>
            <w:vAlign w:val="center"/>
          </w:tcPr>
          <w:p>
            <w:pPr>
              <w:rPr>
                <w:rFonts w:ascii="宋体" w:hAnsi="宋体"/>
                <w:color w:val="auto"/>
                <w:szCs w:val="21"/>
                <w:lang w:val="en-GB"/>
              </w:rPr>
            </w:pPr>
            <w:r>
              <w:rPr>
                <w:rFonts w:hint="eastAsia" w:ascii="宋体" w:hAnsi="宋体"/>
                <w:color w:val="auto"/>
                <w:szCs w:val="21"/>
              </w:rPr>
              <w:t>评标价＝核实价×（1-C1）；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708" w:type="dxa"/>
            <w:vMerge w:val="continue"/>
            <w:vAlign w:val="center"/>
          </w:tcPr>
          <w:p>
            <w:pPr>
              <w:rPr>
                <w:rFonts w:ascii="宋体" w:hAnsi="宋体"/>
                <w:color w:val="auto"/>
                <w:szCs w:val="21"/>
                <w:lang w:val="en-GB"/>
              </w:rPr>
            </w:pPr>
          </w:p>
        </w:tc>
        <w:tc>
          <w:tcPr>
            <w:tcW w:w="3828" w:type="dxa"/>
            <w:vAlign w:val="center"/>
          </w:tcPr>
          <w:p>
            <w:pPr>
              <w:rPr>
                <w:rFonts w:ascii="宋体" w:hAnsi="宋体"/>
                <w:color w:val="auto"/>
                <w:szCs w:val="21"/>
                <w:lang w:val="en-GB"/>
              </w:rPr>
            </w:pPr>
            <w:r>
              <w:rPr>
                <w:rFonts w:hint="eastAsia" w:ascii="宋体" w:hAnsi="宋体"/>
                <w:b/>
                <w:color w:val="auto"/>
                <w:szCs w:val="21"/>
              </w:rPr>
              <w:t>【服务类项目】</w:t>
            </w:r>
            <w:r>
              <w:rPr>
                <w:rFonts w:hint="eastAsia" w:ascii="宋体" w:hAnsi="宋体"/>
                <w:color w:val="auto"/>
                <w:szCs w:val="21"/>
              </w:rPr>
              <w:t>投标供应商为小微企业（包括：成员全部为小微企业的联合体、接受分包合同的企业全部为小微企业）</w:t>
            </w:r>
          </w:p>
        </w:tc>
        <w:tc>
          <w:tcPr>
            <w:tcW w:w="1275" w:type="dxa"/>
            <w:vAlign w:val="center"/>
          </w:tcPr>
          <w:p>
            <w:pPr>
              <w:rPr>
                <w:rFonts w:ascii="宋体" w:hAnsi="宋体"/>
                <w:color w:val="auto"/>
                <w:szCs w:val="21"/>
              </w:rPr>
            </w:pPr>
            <w:r>
              <w:rPr>
                <w:rFonts w:hint="eastAsia" w:ascii="宋体" w:hAnsi="宋体"/>
                <w:color w:val="auto"/>
                <w:szCs w:val="21"/>
              </w:rPr>
              <w:t>对投标报价给予C1的价格扣除</w:t>
            </w:r>
          </w:p>
        </w:tc>
        <w:tc>
          <w:tcPr>
            <w:tcW w:w="1276" w:type="dxa"/>
            <w:vAlign w:val="center"/>
          </w:tcPr>
          <w:p>
            <w:pPr>
              <w:rPr>
                <w:rFonts w:ascii="宋体" w:hAnsi="宋体"/>
                <w:color w:val="auto"/>
                <w:szCs w:val="21"/>
                <w:lang w:val="en-GB"/>
              </w:rPr>
            </w:pPr>
            <w:r>
              <w:rPr>
                <w:rFonts w:hint="eastAsia" w:ascii="宋体" w:hAnsi="宋体"/>
                <w:color w:val="auto"/>
                <w:szCs w:val="21"/>
              </w:rPr>
              <w:t>C1=6%～10%</w:t>
            </w:r>
          </w:p>
        </w:tc>
        <w:tc>
          <w:tcPr>
            <w:tcW w:w="1701" w:type="dxa"/>
            <w:vAlign w:val="center"/>
          </w:tcPr>
          <w:p>
            <w:pPr>
              <w:rPr>
                <w:rFonts w:ascii="宋体" w:hAnsi="宋体"/>
                <w:color w:val="auto"/>
                <w:szCs w:val="21"/>
                <w:lang w:val="en-GB"/>
              </w:rPr>
            </w:pPr>
            <w:r>
              <w:rPr>
                <w:rFonts w:hint="eastAsia" w:ascii="宋体" w:hAnsi="宋体"/>
                <w:color w:val="auto"/>
                <w:szCs w:val="21"/>
              </w:rPr>
              <w:t>评标价＝核实价×（1-C1）；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708" w:type="dxa"/>
            <w:vAlign w:val="center"/>
          </w:tcPr>
          <w:p>
            <w:pPr>
              <w:rPr>
                <w:rFonts w:ascii="宋体" w:hAnsi="宋体"/>
                <w:color w:val="auto"/>
                <w:szCs w:val="21"/>
                <w:lang w:val="en-GB"/>
              </w:rPr>
            </w:pPr>
            <w:r>
              <w:rPr>
                <w:rFonts w:hint="eastAsia" w:ascii="宋体" w:hAnsi="宋体"/>
                <w:color w:val="auto"/>
                <w:szCs w:val="21"/>
                <w:lang w:val="en-GB"/>
              </w:rPr>
              <w:t>（2）</w:t>
            </w:r>
          </w:p>
        </w:tc>
        <w:tc>
          <w:tcPr>
            <w:tcW w:w="3828" w:type="dxa"/>
            <w:vAlign w:val="center"/>
          </w:tcPr>
          <w:p>
            <w:pPr>
              <w:rPr>
                <w:rFonts w:ascii="宋体" w:hAnsi="宋体"/>
                <w:color w:val="auto"/>
                <w:szCs w:val="21"/>
              </w:rPr>
            </w:pPr>
            <w:r>
              <w:rPr>
                <w:rFonts w:hint="eastAsia" w:ascii="宋体" w:hAnsi="宋体"/>
                <w:b/>
                <w:color w:val="auto"/>
                <w:szCs w:val="21"/>
              </w:rPr>
              <w:t>【货物类项目、服务类项目】</w:t>
            </w:r>
            <w:r>
              <w:rPr>
                <w:rFonts w:hint="eastAsia" w:ascii="宋体" w:hAnsi="宋体"/>
                <w:color w:val="auto"/>
                <w:szCs w:val="21"/>
              </w:rPr>
              <w:t>投标供应商为大中型企业（和其他自然人、法人或者其他组织）与小微企业组成的联合</w:t>
            </w:r>
            <w:r>
              <w:rPr>
                <w:rFonts w:hint="eastAsia" w:ascii="宋体" w:hAnsi="宋体"/>
                <w:color w:val="auto"/>
                <w:spacing w:val="-2"/>
                <w:szCs w:val="21"/>
              </w:rPr>
              <w:t>体，且《联合协议》中约定小微企业的合同份额占到合同总金额30%或以上。</w:t>
            </w:r>
          </w:p>
        </w:tc>
        <w:tc>
          <w:tcPr>
            <w:tcW w:w="1275" w:type="dxa"/>
            <w:vAlign w:val="center"/>
          </w:tcPr>
          <w:p>
            <w:pPr>
              <w:rPr>
                <w:rFonts w:ascii="宋体" w:hAnsi="宋体"/>
                <w:color w:val="auto"/>
                <w:szCs w:val="21"/>
              </w:rPr>
            </w:pPr>
            <w:r>
              <w:rPr>
                <w:rFonts w:hint="eastAsia" w:ascii="宋体" w:hAnsi="宋体"/>
                <w:color w:val="auto"/>
                <w:szCs w:val="21"/>
              </w:rPr>
              <w:t>对投标报价给予C2的价格扣除</w:t>
            </w:r>
          </w:p>
        </w:tc>
        <w:tc>
          <w:tcPr>
            <w:tcW w:w="1276" w:type="dxa"/>
            <w:vAlign w:val="center"/>
          </w:tcPr>
          <w:p>
            <w:pPr>
              <w:rPr>
                <w:rFonts w:ascii="宋体" w:hAnsi="宋体"/>
                <w:color w:val="auto"/>
                <w:szCs w:val="21"/>
                <w:lang w:val="en-GB"/>
              </w:rPr>
            </w:pPr>
            <w:r>
              <w:rPr>
                <w:rFonts w:hint="eastAsia" w:ascii="宋体" w:hAnsi="宋体"/>
                <w:color w:val="auto"/>
                <w:szCs w:val="21"/>
              </w:rPr>
              <w:t>C2=2%～3%</w:t>
            </w:r>
          </w:p>
        </w:tc>
        <w:tc>
          <w:tcPr>
            <w:tcW w:w="1701" w:type="dxa"/>
            <w:vAlign w:val="center"/>
          </w:tcPr>
          <w:p>
            <w:pPr>
              <w:rPr>
                <w:rFonts w:ascii="宋体" w:hAnsi="宋体"/>
                <w:color w:val="auto"/>
                <w:szCs w:val="21"/>
                <w:lang w:val="en-GB"/>
              </w:rPr>
            </w:pPr>
            <w:r>
              <w:rPr>
                <w:rFonts w:hint="eastAsia" w:ascii="宋体" w:hAnsi="宋体"/>
                <w:color w:val="auto"/>
                <w:szCs w:val="21"/>
              </w:rPr>
              <w:t>评标价＝核实价×（1-C2）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708" w:type="dxa"/>
            <w:vAlign w:val="center"/>
          </w:tcPr>
          <w:p>
            <w:pPr>
              <w:rPr>
                <w:rFonts w:ascii="宋体" w:hAnsi="宋体"/>
                <w:color w:val="auto"/>
                <w:szCs w:val="21"/>
                <w:lang w:val="en-GB"/>
              </w:rPr>
            </w:pPr>
            <w:r>
              <w:rPr>
                <w:rFonts w:hint="eastAsia" w:ascii="宋体" w:hAnsi="宋体"/>
                <w:color w:val="auto"/>
                <w:szCs w:val="21"/>
                <w:lang w:val="en-GB"/>
              </w:rPr>
              <w:t>（3）</w:t>
            </w:r>
          </w:p>
        </w:tc>
        <w:tc>
          <w:tcPr>
            <w:tcW w:w="3828" w:type="dxa"/>
            <w:vAlign w:val="center"/>
          </w:tcPr>
          <w:p>
            <w:pPr>
              <w:rPr>
                <w:rFonts w:ascii="宋体" w:hAnsi="宋体"/>
                <w:color w:val="auto"/>
                <w:szCs w:val="21"/>
              </w:rPr>
            </w:pPr>
            <w:r>
              <w:rPr>
                <w:rFonts w:hint="eastAsia" w:ascii="宋体" w:hAnsi="宋体"/>
                <w:b/>
                <w:color w:val="auto"/>
                <w:szCs w:val="21"/>
              </w:rPr>
              <w:t>【货物类项目、服务类项目】</w:t>
            </w:r>
            <w:r>
              <w:rPr>
                <w:rFonts w:hint="eastAsia" w:ascii="宋体" w:hAnsi="宋体"/>
                <w:color w:val="auto"/>
                <w:szCs w:val="21"/>
              </w:rPr>
              <w:t>投标供应商为大中型企业（和其他自然人、法人或者其他组织）向一家或多家小微企业分包</w:t>
            </w:r>
            <w:r>
              <w:rPr>
                <w:rFonts w:hint="eastAsia" w:ascii="宋体" w:hAnsi="宋体"/>
                <w:color w:val="auto"/>
                <w:spacing w:val="-2"/>
                <w:szCs w:val="21"/>
              </w:rPr>
              <w:t>，且《分包意向协议》中约定小微企业的合同份额占到合同总金额30%或以上。</w:t>
            </w:r>
          </w:p>
        </w:tc>
        <w:tc>
          <w:tcPr>
            <w:tcW w:w="1275" w:type="dxa"/>
            <w:vAlign w:val="center"/>
          </w:tcPr>
          <w:p>
            <w:pPr>
              <w:rPr>
                <w:rFonts w:ascii="宋体" w:hAnsi="宋体"/>
                <w:color w:val="auto"/>
                <w:szCs w:val="21"/>
              </w:rPr>
            </w:pPr>
            <w:r>
              <w:rPr>
                <w:rFonts w:hint="eastAsia" w:ascii="宋体" w:hAnsi="宋体"/>
                <w:color w:val="auto"/>
                <w:szCs w:val="21"/>
              </w:rPr>
              <w:t>对投标报价给予C2的价格扣除</w:t>
            </w:r>
          </w:p>
        </w:tc>
        <w:tc>
          <w:tcPr>
            <w:tcW w:w="1276" w:type="dxa"/>
            <w:vAlign w:val="center"/>
          </w:tcPr>
          <w:p>
            <w:pPr>
              <w:rPr>
                <w:rFonts w:ascii="宋体" w:hAnsi="宋体"/>
                <w:color w:val="auto"/>
                <w:szCs w:val="21"/>
                <w:lang w:val="en-GB"/>
              </w:rPr>
            </w:pPr>
            <w:r>
              <w:rPr>
                <w:rFonts w:hint="eastAsia" w:ascii="宋体" w:hAnsi="宋体"/>
                <w:color w:val="auto"/>
                <w:szCs w:val="21"/>
              </w:rPr>
              <w:t>C2=2%～3%</w:t>
            </w:r>
          </w:p>
        </w:tc>
        <w:tc>
          <w:tcPr>
            <w:tcW w:w="1701" w:type="dxa"/>
            <w:vAlign w:val="center"/>
          </w:tcPr>
          <w:p>
            <w:pPr>
              <w:rPr>
                <w:rFonts w:ascii="宋体" w:hAnsi="宋体"/>
                <w:color w:val="auto"/>
                <w:szCs w:val="21"/>
                <w:lang w:val="en-GB"/>
              </w:rPr>
            </w:pPr>
            <w:r>
              <w:rPr>
                <w:rFonts w:hint="eastAsia" w:ascii="宋体" w:hAnsi="宋体"/>
                <w:color w:val="auto"/>
                <w:szCs w:val="21"/>
              </w:rPr>
              <w:t>评标价＝核实价×（1-C2）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8788" w:type="dxa"/>
            <w:gridSpan w:val="5"/>
            <w:vAlign w:val="center"/>
          </w:tcPr>
          <w:p>
            <w:pPr>
              <w:tabs>
                <w:tab w:val="left" w:pos="567"/>
              </w:tabs>
              <w:rPr>
                <w:rFonts w:ascii="宋体" w:hAnsi="宋体"/>
                <w:color w:val="auto"/>
                <w:szCs w:val="21"/>
              </w:rPr>
            </w:pPr>
            <w:r>
              <w:rPr>
                <w:rFonts w:hint="eastAsia" w:ascii="宋体" w:hAnsi="宋体"/>
                <w:color w:val="auto"/>
                <w:szCs w:val="21"/>
              </w:rPr>
              <w:t>注：</w:t>
            </w:r>
          </w:p>
          <w:p>
            <w:pPr>
              <w:pStyle w:val="58"/>
              <w:numPr>
                <w:ilvl w:val="0"/>
                <w:numId w:val="61"/>
              </w:numPr>
              <w:tabs>
                <w:tab w:val="left" w:pos="0"/>
                <w:tab w:val="left" w:pos="567"/>
              </w:tabs>
              <w:ind w:left="420" w:hangingChars="200"/>
              <w:rPr>
                <w:rFonts w:ascii="宋体" w:hAnsi="宋体"/>
                <w:color w:val="auto"/>
                <w:szCs w:val="21"/>
              </w:rPr>
            </w:pPr>
            <w:r>
              <w:rPr>
                <w:rFonts w:hint="eastAsia" w:ascii="宋体" w:hAnsi="宋体"/>
                <w:color w:val="auto"/>
                <w:szCs w:val="21"/>
              </w:rPr>
              <w:t>上述第（1）条、第（2）条、第（3）三种价格扣除原则不同时使用。</w:t>
            </w:r>
          </w:p>
          <w:p>
            <w:pPr>
              <w:pStyle w:val="58"/>
              <w:numPr>
                <w:ilvl w:val="0"/>
                <w:numId w:val="61"/>
              </w:numPr>
              <w:tabs>
                <w:tab w:val="left" w:pos="567"/>
              </w:tabs>
              <w:ind w:left="420" w:hangingChars="200"/>
              <w:rPr>
                <w:rFonts w:ascii="宋体" w:hAnsi="宋体"/>
                <w:color w:val="auto"/>
                <w:szCs w:val="21"/>
              </w:rPr>
            </w:pPr>
            <w:r>
              <w:rPr>
                <w:rFonts w:hint="eastAsia" w:ascii="宋体" w:hAnsi="宋体"/>
                <w:color w:val="auto"/>
                <w:szCs w:val="21"/>
              </w:rPr>
              <w:t>上述第（2）条、第（3）条，组成联合体或者接受分包的小微企业与联合体内其他企业、分包企业之间存在直接控股、管理关系的，不享受价格扣除优惠政策。</w:t>
            </w:r>
          </w:p>
          <w:p>
            <w:pPr>
              <w:pStyle w:val="58"/>
              <w:numPr>
                <w:ilvl w:val="0"/>
                <w:numId w:val="61"/>
              </w:numPr>
              <w:tabs>
                <w:tab w:val="left" w:pos="567"/>
              </w:tabs>
              <w:ind w:left="420" w:hangingChars="200"/>
              <w:rPr>
                <w:rFonts w:ascii="宋体" w:hAnsi="宋体"/>
                <w:color w:val="auto"/>
                <w:szCs w:val="21"/>
              </w:rPr>
            </w:pPr>
            <w:r>
              <w:rPr>
                <w:rFonts w:hint="eastAsia" w:ascii="宋体" w:hAnsi="宋体" w:cs="宋体"/>
                <w:color w:val="auto"/>
                <w:szCs w:val="21"/>
                <w:shd w:val="clear" w:color="auto" w:fill="FFFFFF"/>
              </w:rPr>
              <w:t>货物类项目，大中型企业提供的所有采购标的均为小微企业制造且使用该小微企业商号或者注册商标的，可享受价格评审优惠政策。</w:t>
            </w:r>
          </w:p>
          <w:p>
            <w:pPr>
              <w:pStyle w:val="58"/>
              <w:numPr>
                <w:ilvl w:val="0"/>
                <w:numId w:val="61"/>
              </w:numPr>
              <w:tabs>
                <w:tab w:val="left" w:pos="567"/>
              </w:tabs>
              <w:ind w:left="420" w:hangingChars="200"/>
              <w:rPr>
                <w:rFonts w:ascii="宋体" w:hAnsi="宋体"/>
                <w:color w:val="auto"/>
                <w:szCs w:val="21"/>
              </w:rPr>
            </w:pPr>
            <w:r>
              <w:rPr>
                <w:rFonts w:hint="eastAsia" w:ascii="宋体" w:hAnsi="宋体"/>
                <w:color w:val="auto"/>
                <w:szCs w:val="21"/>
              </w:rPr>
              <w:t>参加政府采购活动的中小企业投标时需提供《中小企业声明函》（格式见《投标文件格式》）。否则不享受本办法规定的政策。</w:t>
            </w:r>
          </w:p>
          <w:p>
            <w:pPr>
              <w:pStyle w:val="58"/>
              <w:numPr>
                <w:ilvl w:val="0"/>
                <w:numId w:val="61"/>
              </w:numPr>
              <w:tabs>
                <w:tab w:val="left" w:pos="567"/>
              </w:tabs>
              <w:ind w:left="420" w:hangingChars="200"/>
              <w:rPr>
                <w:rFonts w:ascii="宋体" w:hAnsi="宋体"/>
                <w:color w:val="auto"/>
                <w:szCs w:val="21"/>
              </w:rPr>
            </w:pPr>
            <w:r>
              <w:rPr>
                <w:rFonts w:hint="eastAsia" w:ascii="宋体" w:hAnsi="宋体"/>
                <w:color w:val="auto"/>
                <w:szCs w:val="21"/>
              </w:rPr>
              <w:t>监狱企业、残疾人福利性单位视同小型、微型企业。</w:t>
            </w:r>
            <w:r>
              <w:rPr>
                <w:rFonts w:hint="eastAsia" w:ascii="Calibri" w:hAnsi="Calibri"/>
                <w:color w:val="auto"/>
                <w:spacing w:val="-4"/>
              </w:rPr>
              <w:t>残疾人</w:t>
            </w:r>
            <w:r>
              <w:rPr>
                <w:rFonts w:hint="eastAsia" w:ascii="Calibri" w:hAnsi="Calibri"/>
                <w:color w:val="auto"/>
                <w:spacing w:val="-3"/>
              </w:rPr>
              <w:t>福利性单位以《残疾人福利性单位声明函》（格式见《投标文件格式》）为判定标准，监狱企</w:t>
            </w:r>
            <w:r>
              <w:rPr>
                <w:rFonts w:ascii="Calibri" w:hAnsi="Calibri"/>
                <w:color w:val="auto"/>
                <w:spacing w:val="-43"/>
              </w:rPr>
              <w:t xml:space="preserve"> </w:t>
            </w:r>
            <w:r>
              <w:rPr>
                <w:rFonts w:hint="eastAsia" w:ascii="Calibri" w:hAnsi="Calibri"/>
                <w:color w:val="auto"/>
                <w:spacing w:val="-3"/>
              </w:rPr>
              <w:t>业须提供由省级以上监狱管理局、戒毒管理局（含新疆生产建设兵团）出具的属于监狱</w:t>
            </w:r>
            <w:r>
              <w:rPr>
                <w:rFonts w:ascii="Calibri" w:hAnsi="Calibri"/>
                <w:color w:val="auto"/>
                <w:spacing w:val="-53"/>
              </w:rPr>
              <w:t xml:space="preserve"> </w:t>
            </w:r>
            <w:r>
              <w:rPr>
                <w:rFonts w:hint="eastAsia" w:ascii="Calibri" w:hAnsi="Calibri"/>
                <w:color w:val="auto"/>
              </w:rPr>
              <w:t>企业的证明文件，否则不予认定。</w:t>
            </w:r>
          </w:p>
          <w:p>
            <w:pPr>
              <w:pStyle w:val="58"/>
              <w:numPr>
                <w:ilvl w:val="0"/>
                <w:numId w:val="61"/>
              </w:numPr>
              <w:tabs>
                <w:tab w:val="left" w:pos="567"/>
              </w:tabs>
              <w:ind w:left="420" w:hangingChars="200"/>
              <w:rPr>
                <w:rFonts w:ascii="宋体" w:hAnsi="宋体"/>
                <w:color w:val="auto"/>
                <w:szCs w:val="21"/>
              </w:rPr>
            </w:pPr>
            <w:r>
              <w:rPr>
                <w:rFonts w:hint="eastAsia" w:ascii="宋体" w:hAnsi="宋体"/>
                <w:color w:val="auto"/>
                <w:szCs w:val="21"/>
              </w:rPr>
              <w:t>以联合体形式参加投标的，投标供应商还需要提供《联合协议》（格式见《投标文件格式》）。</w:t>
            </w:r>
          </w:p>
          <w:p>
            <w:pPr>
              <w:pStyle w:val="58"/>
              <w:numPr>
                <w:ilvl w:val="0"/>
                <w:numId w:val="61"/>
              </w:numPr>
              <w:tabs>
                <w:tab w:val="left" w:pos="567"/>
              </w:tabs>
              <w:ind w:left="420" w:hangingChars="200"/>
              <w:rPr>
                <w:rFonts w:ascii="宋体" w:hAnsi="宋体"/>
                <w:color w:val="auto"/>
                <w:szCs w:val="21"/>
              </w:rPr>
            </w:pPr>
            <w:r>
              <w:rPr>
                <w:rFonts w:hint="eastAsia" w:ascii="宋体" w:hAnsi="宋体"/>
                <w:color w:val="auto"/>
                <w:szCs w:val="21"/>
              </w:rPr>
              <w:t>以合同分包形式参加投标的，投标供应商还需要提供《</w:t>
            </w:r>
            <w:r>
              <w:rPr>
                <w:rFonts w:hint="eastAsia" w:ascii="宋体" w:hAnsi="宋体"/>
                <w:color w:val="auto"/>
                <w:spacing w:val="-2"/>
                <w:szCs w:val="21"/>
              </w:rPr>
              <w:t>分包意向协议</w:t>
            </w:r>
            <w:r>
              <w:rPr>
                <w:rFonts w:hint="eastAsia" w:ascii="宋体" w:hAnsi="宋体"/>
                <w:color w:val="auto"/>
                <w:szCs w:val="21"/>
              </w:rPr>
              <w:t>》（格式见《投标文件格式》）。</w:t>
            </w:r>
          </w:p>
          <w:p>
            <w:pPr>
              <w:pStyle w:val="58"/>
              <w:numPr>
                <w:ilvl w:val="0"/>
                <w:numId w:val="61"/>
              </w:numPr>
              <w:tabs>
                <w:tab w:val="left" w:pos="567"/>
              </w:tabs>
              <w:ind w:left="420" w:hangingChars="200"/>
              <w:rPr>
                <w:rFonts w:ascii="宋体" w:hAnsi="宋体"/>
                <w:color w:val="auto"/>
                <w:szCs w:val="21"/>
              </w:rPr>
            </w:pPr>
            <w:r>
              <w:rPr>
                <w:rFonts w:hint="eastAsia" w:ascii="宋体" w:hAnsi="宋体"/>
                <w:color w:val="auto"/>
                <w:szCs w:val="21"/>
              </w:rPr>
              <w:t>《办法》第九条中关于联合体和分包的规定中的“小微企业”应当满足《办法》第四条的相关规定，“小微企业的合同份额”应当为小微企业制造的货物（货物类项目）【/承建的工程（工程类项目）或者承接的服务（服务类项目）】的合同份额。</w:t>
            </w:r>
          </w:p>
        </w:tc>
      </w:tr>
    </w:tbl>
    <w:p>
      <w:pPr>
        <w:pStyle w:val="10"/>
        <w:kinsoku w:val="0"/>
        <w:overflowPunct w:val="0"/>
        <w:ind w:left="480" w:hanging="480" w:hangingChars="200"/>
        <w:rPr>
          <w:rFonts w:ascii="宋体" w:hAnsi="宋体"/>
          <w:color w:val="auto"/>
          <w:sz w:val="24"/>
          <w:szCs w:val="24"/>
        </w:rPr>
      </w:pPr>
    </w:p>
    <w:p>
      <w:pPr>
        <w:pStyle w:val="10"/>
        <w:kinsoku w:val="0"/>
        <w:overflowPunct w:val="0"/>
        <w:ind w:left="480" w:hanging="480" w:hangingChars="200"/>
        <w:rPr>
          <w:rFonts w:ascii="宋体" w:hAnsi="宋体"/>
          <w:b/>
          <w:color w:val="auto"/>
          <w:sz w:val="24"/>
          <w:szCs w:val="24"/>
        </w:rPr>
      </w:pPr>
      <w:r>
        <w:rPr>
          <w:rFonts w:hint="eastAsia" w:ascii="宋体" w:hAnsi="宋体"/>
          <w:color w:val="auto"/>
          <w:sz w:val="24"/>
          <w:szCs w:val="24"/>
        </w:rPr>
        <w:t>5. 本项目（采购包）采购标的对应的中小企业划分标准所属行业：</w:t>
      </w:r>
      <w:r>
        <w:rPr>
          <w:rFonts w:hint="eastAsia" w:ascii="宋体" w:hAnsi="宋体"/>
          <w:b/>
          <w:color w:val="auto"/>
          <w:sz w:val="24"/>
          <w:szCs w:val="24"/>
        </w:rPr>
        <w:t>见《投标邀请》或《采购需求》或《投标须知前附表》或《评标办法前附表》。</w:t>
      </w:r>
    </w:p>
    <w:p>
      <w:pPr>
        <w:numPr>
          <w:ilvl w:val="0"/>
          <w:numId w:val="62"/>
        </w:numPr>
        <w:tabs>
          <w:tab w:val="left" w:pos="567"/>
        </w:tabs>
        <w:adjustRightInd w:val="0"/>
        <w:snapToGrid w:val="0"/>
        <w:spacing w:line="360" w:lineRule="auto"/>
        <w:rPr>
          <w:b/>
          <w:bCs/>
          <w:color w:val="auto"/>
          <w:sz w:val="24"/>
          <w:szCs w:val="24"/>
          <w:shd w:val="pct10" w:color="auto" w:fill="FFFFFF"/>
        </w:rPr>
      </w:pPr>
      <w:bookmarkStart w:id="340" w:name="_Hlk25913228"/>
      <w:r>
        <w:rPr>
          <w:rFonts w:hint="eastAsia"/>
          <w:b/>
          <w:bCs/>
          <w:color w:val="auto"/>
          <w:sz w:val="24"/>
          <w:szCs w:val="24"/>
        </w:rPr>
        <w:t>节能产品、环境标志产品的评审优惠</w:t>
      </w:r>
      <w:r>
        <w:rPr>
          <w:rFonts w:hint="eastAsia" w:ascii="宋体" w:hAnsi="宋体"/>
          <w:b/>
          <w:color w:val="auto"/>
          <w:sz w:val="24"/>
          <w:szCs w:val="24"/>
        </w:rPr>
        <w:t>【货物类项目、服务类项目】</w:t>
      </w:r>
    </w:p>
    <w:p>
      <w:pPr>
        <w:numPr>
          <w:ilvl w:val="1"/>
          <w:numId w:val="63"/>
        </w:numPr>
        <w:tabs>
          <w:tab w:val="left" w:pos="567"/>
        </w:tabs>
        <w:spacing w:line="360" w:lineRule="auto"/>
        <w:ind w:left="480" w:hanging="480" w:hangingChars="200"/>
        <w:rPr>
          <w:rFonts w:ascii="宋体" w:hAnsi="宋体"/>
          <w:color w:val="auto"/>
          <w:sz w:val="24"/>
          <w:szCs w:val="24"/>
        </w:rPr>
      </w:pPr>
      <w:r>
        <w:rPr>
          <w:rFonts w:hint="eastAsia" w:ascii="宋体" w:hAnsi="宋体"/>
          <w:color w:val="auto"/>
          <w:sz w:val="24"/>
          <w:szCs w:val="24"/>
        </w:rPr>
        <w:t>根据《关于调整优化节能产品、环境标志产品政府采购执行机制的通知》（财库〔2019〕9号）规定，对政府采购节能产品、环境标志产品实施品目清单管理，政府采购品目清单以中国政府采购网（http：//www.ccgp.gov .cn/）上发布的为准。</w:t>
      </w:r>
    </w:p>
    <w:p>
      <w:pPr>
        <w:numPr>
          <w:ilvl w:val="1"/>
          <w:numId w:val="63"/>
        </w:numPr>
        <w:tabs>
          <w:tab w:val="left" w:pos="567"/>
        </w:tabs>
        <w:spacing w:line="360" w:lineRule="auto"/>
        <w:rPr>
          <w:rFonts w:ascii="宋体" w:hAnsi="宋体"/>
          <w:color w:val="auto"/>
          <w:sz w:val="24"/>
          <w:szCs w:val="24"/>
        </w:rPr>
      </w:pPr>
      <w:r>
        <w:rPr>
          <w:rFonts w:hint="eastAsia" w:ascii="宋体" w:hAnsi="宋体"/>
          <w:color w:val="auto"/>
          <w:sz w:val="24"/>
          <w:szCs w:val="24"/>
        </w:rPr>
        <w:t>拟采购产品属于节能产品政府采购品目清单规定必须强制采购的，实行强制采购，不进行评审优惠。</w:t>
      </w:r>
    </w:p>
    <w:p>
      <w:pPr>
        <w:numPr>
          <w:ilvl w:val="1"/>
          <w:numId w:val="63"/>
        </w:numPr>
        <w:tabs>
          <w:tab w:val="left" w:pos="567"/>
        </w:tabs>
        <w:spacing w:line="360" w:lineRule="auto"/>
        <w:rPr>
          <w:rFonts w:ascii="等线" w:hAnsi="等线"/>
          <w:color w:val="auto"/>
          <w:sz w:val="24"/>
          <w:szCs w:val="24"/>
        </w:rPr>
      </w:pPr>
      <w:r>
        <w:rPr>
          <w:rFonts w:hint="eastAsia" w:ascii="宋体" w:hAnsi="宋体"/>
          <w:color w:val="auto"/>
          <w:sz w:val="24"/>
          <w:szCs w:val="24"/>
        </w:rPr>
        <w:t>对报价中属于《节能产品政府采购品目清单》或《环境标志产品政府采购品目清单》范围中政府优先采购产品类别的节能产品或环境标志产品，按照以下方式给予相应的评审优惠，价格扣除比例详见</w:t>
      </w:r>
      <w:r>
        <w:rPr>
          <w:rFonts w:hint="eastAsia" w:ascii="宋体" w:hAnsi="宋体"/>
          <w:b/>
          <w:color w:val="auto"/>
          <w:sz w:val="24"/>
          <w:szCs w:val="24"/>
        </w:rPr>
        <w:t>《评标办法前附表》，如未载明的，为取值范围的最低限。</w:t>
      </w:r>
    </w:p>
    <w:tbl>
      <w:tblPr>
        <w:tblStyle w:val="29"/>
        <w:tblW w:w="8301" w:type="dxa"/>
        <w:tblInd w:w="7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5"/>
        <w:gridCol w:w="2126"/>
        <w:gridCol w:w="1559"/>
        <w:gridCol w:w="3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exact"/>
        </w:trPr>
        <w:tc>
          <w:tcPr>
            <w:tcW w:w="1355" w:type="dxa"/>
            <w:vAlign w:val="center"/>
          </w:tcPr>
          <w:p>
            <w:pPr>
              <w:jc w:val="center"/>
              <w:rPr>
                <w:rFonts w:ascii="宋体" w:hAnsi="宋体"/>
                <w:b/>
                <w:color w:val="auto"/>
                <w:szCs w:val="21"/>
                <w:lang w:val="en-GB"/>
              </w:rPr>
            </w:pPr>
            <w:r>
              <w:rPr>
                <w:rFonts w:hint="eastAsia" w:ascii="宋体" w:hAnsi="宋体"/>
                <w:b/>
                <w:color w:val="auto"/>
                <w:szCs w:val="21"/>
                <w:lang w:val="en-GB"/>
              </w:rPr>
              <w:t>报价产品</w:t>
            </w:r>
          </w:p>
        </w:tc>
        <w:tc>
          <w:tcPr>
            <w:tcW w:w="2126" w:type="dxa"/>
            <w:vAlign w:val="center"/>
          </w:tcPr>
          <w:p>
            <w:pPr>
              <w:jc w:val="center"/>
              <w:rPr>
                <w:rFonts w:ascii="宋体" w:hAnsi="宋体"/>
                <w:b/>
                <w:color w:val="auto"/>
                <w:szCs w:val="21"/>
                <w:lang w:val="en-GB"/>
              </w:rPr>
            </w:pPr>
            <w:r>
              <w:rPr>
                <w:rFonts w:hint="eastAsia" w:ascii="宋体" w:hAnsi="宋体"/>
                <w:b/>
                <w:color w:val="auto"/>
                <w:szCs w:val="21"/>
              </w:rPr>
              <w:t>优惠方式</w:t>
            </w:r>
          </w:p>
        </w:tc>
        <w:tc>
          <w:tcPr>
            <w:tcW w:w="1559" w:type="dxa"/>
            <w:vAlign w:val="center"/>
          </w:tcPr>
          <w:p>
            <w:pPr>
              <w:jc w:val="center"/>
              <w:rPr>
                <w:rFonts w:ascii="宋体" w:hAnsi="宋体"/>
                <w:b/>
                <w:color w:val="auto"/>
                <w:szCs w:val="21"/>
                <w:lang w:val="en-GB"/>
              </w:rPr>
            </w:pPr>
            <w:r>
              <w:rPr>
                <w:rFonts w:hint="eastAsia" w:ascii="宋体" w:hAnsi="宋体"/>
                <w:b/>
                <w:color w:val="auto"/>
                <w:szCs w:val="21"/>
                <w:lang w:val="en-GB"/>
              </w:rPr>
              <w:t>价格扣除比例取值范围</w:t>
            </w:r>
          </w:p>
        </w:tc>
        <w:tc>
          <w:tcPr>
            <w:tcW w:w="3261" w:type="dxa"/>
            <w:vAlign w:val="center"/>
          </w:tcPr>
          <w:p>
            <w:pPr>
              <w:jc w:val="center"/>
              <w:rPr>
                <w:rFonts w:ascii="宋体" w:hAnsi="宋体"/>
                <w:b/>
                <w:color w:val="auto"/>
                <w:szCs w:val="21"/>
                <w:lang w:val="en-GB"/>
              </w:rPr>
            </w:pPr>
            <w:r>
              <w:rPr>
                <w:rFonts w:hint="eastAsia" w:ascii="宋体" w:hAnsi="宋体"/>
                <w:b/>
                <w:color w:val="auto"/>
                <w:szCs w:val="21"/>
                <w:lang w:val="en-GB"/>
              </w:rPr>
              <w:t>计算公式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exact"/>
        </w:trPr>
        <w:tc>
          <w:tcPr>
            <w:tcW w:w="1355" w:type="dxa"/>
            <w:vAlign w:val="center"/>
          </w:tcPr>
          <w:p>
            <w:pPr>
              <w:rPr>
                <w:rFonts w:ascii="宋体" w:hAnsi="宋体"/>
                <w:color w:val="auto"/>
                <w:szCs w:val="21"/>
                <w:lang w:val="en-GB"/>
              </w:rPr>
            </w:pPr>
            <w:r>
              <w:rPr>
                <w:rFonts w:hint="eastAsia" w:ascii="宋体" w:hAnsi="宋体"/>
                <w:color w:val="auto"/>
                <w:szCs w:val="21"/>
                <w:lang w:val="en-GB"/>
              </w:rPr>
              <w:t>节能产品</w:t>
            </w:r>
          </w:p>
        </w:tc>
        <w:tc>
          <w:tcPr>
            <w:tcW w:w="2126" w:type="dxa"/>
            <w:vAlign w:val="center"/>
          </w:tcPr>
          <w:p>
            <w:pPr>
              <w:rPr>
                <w:rFonts w:ascii="宋体" w:hAnsi="宋体"/>
                <w:color w:val="auto"/>
                <w:szCs w:val="21"/>
              </w:rPr>
            </w:pPr>
            <w:r>
              <w:rPr>
                <w:rFonts w:hint="eastAsia" w:ascii="宋体" w:hAnsi="宋体"/>
                <w:color w:val="auto"/>
                <w:szCs w:val="21"/>
              </w:rPr>
              <w:t>对节能产品报价给予C3的价格扣除</w:t>
            </w:r>
          </w:p>
        </w:tc>
        <w:tc>
          <w:tcPr>
            <w:tcW w:w="1559" w:type="dxa"/>
            <w:vAlign w:val="center"/>
          </w:tcPr>
          <w:p>
            <w:pPr>
              <w:rPr>
                <w:rFonts w:ascii="宋体" w:hAnsi="宋体"/>
                <w:color w:val="auto"/>
                <w:szCs w:val="21"/>
                <w:lang w:val="en-GB"/>
              </w:rPr>
            </w:pPr>
            <w:r>
              <w:rPr>
                <w:rFonts w:hint="eastAsia" w:ascii="宋体" w:hAnsi="宋体"/>
                <w:color w:val="auto"/>
                <w:szCs w:val="21"/>
              </w:rPr>
              <w:t>C3=1%～5%</w:t>
            </w:r>
          </w:p>
        </w:tc>
        <w:tc>
          <w:tcPr>
            <w:tcW w:w="3261" w:type="dxa"/>
          </w:tcPr>
          <w:p>
            <w:pPr>
              <w:rPr>
                <w:rFonts w:ascii="宋体" w:hAnsi="宋体"/>
                <w:color w:val="auto"/>
                <w:szCs w:val="21"/>
              </w:rPr>
            </w:pPr>
            <w:r>
              <w:rPr>
                <w:rFonts w:hint="eastAsia" w:ascii="宋体" w:hAnsi="宋体"/>
                <w:color w:val="auto"/>
                <w:szCs w:val="21"/>
              </w:rPr>
              <w:t>评标价＝核实价-节能产品核实价×C3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exact"/>
        </w:trPr>
        <w:tc>
          <w:tcPr>
            <w:tcW w:w="1355" w:type="dxa"/>
            <w:vAlign w:val="center"/>
          </w:tcPr>
          <w:p>
            <w:pPr>
              <w:rPr>
                <w:rFonts w:ascii="宋体" w:hAnsi="宋体"/>
                <w:b/>
                <w:color w:val="auto"/>
                <w:szCs w:val="21"/>
                <w:lang w:val="en-GB"/>
              </w:rPr>
            </w:pPr>
            <w:r>
              <w:rPr>
                <w:rFonts w:hint="eastAsia" w:ascii="宋体" w:hAnsi="宋体"/>
                <w:color w:val="auto"/>
                <w:szCs w:val="21"/>
              </w:rPr>
              <w:t>环境标志产品</w:t>
            </w:r>
          </w:p>
        </w:tc>
        <w:tc>
          <w:tcPr>
            <w:tcW w:w="2126" w:type="dxa"/>
            <w:vAlign w:val="center"/>
          </w:tcPr>
          <w:p>
            <w:pPr>
              <w:rPr>
                <w:rFonts w:ascii="宋体" w:hAnsi="宋体"/>
                <w:color w:val="auto"/>
                <w:szCs w:val="21"/>
              </w:rPr>
            </w:pPr>
            <w:r>
              <w:rPr>
                <w:rFonts w:hint="eastAsia" w:ascii="宋体" w:hAnsi="宋体"/>
                <w:color w:val="auto"/>
                <w:szCs w:val="21"/>
              </w:rPr>
              <w:t>对环境标志产品报价给予C4的价格扣除</w:t>
            </w:r>
          </w:p>
        </w:tc>
        <w:tc>
          <w:tcPr>
            <w:tcW w:w="1559" w:type="dxa"/>
            <w:vAlign w:val="center"/>
          </w:tcPr>
          <w:p>
            <w:pPr>
              <w:rPr>
                <w:rFonts w:ascii="宋体" w:hAnsi="宋体"/>
                <w:color w:val="auto"/>
                <w:szCs w:val="21"/>
                <w:lang w:val="en-GB"/>
              </w:rPr>
            </w:pPr>
            <w:r>
              <w:rPr>
                <w:rFonts w:hint="eastAsia" w:ascii="宋体" w:hAnsi="宋体"/>
                <w:color w:val="auto"/>
                <w:szCs w:val="21"/>
              </w:rPr>
              <w:t>C4=1%～5%</w:t>
            </w:r>
          </w:p>
        </w:tc>
        <w:tc>
          <w:tcPr>
            <w:tcW w:w="3261" w:type="dxa"/>
          </w:tcPr>
          <w:p>
            <w:pPr>
              <w:rPr>
                <w:rFonts w:ascii="宋体" w:hAnsi="宋体"/>
                <w:color w:val="auto"/>
                <w:szCs w:val="21"/>
              </w:rPr>
            </w:pPr>
            <w:r>
              <w:rPr>
                <w:rFonts w:hint="eastAsia" w:ascii="宋体" w:hAnsi="宋体"/>
                <w:color w:val="auto"/>
                <w:szCs w:val="21"/>
              </w:rPr>
              <w:t>评标价＝核实价-环境标志产品核实价×C4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8" w:hRule="exact"/>
        </w:trPr>
        <w:tc>
          <w:tcPr>
            <w:tcW w:w="8301" w:type="dxa"/>
            <w:gridSpan w:val="4"/>
            <w:vAlign w:val="center"/>
          </w:tcPr>
          <w:p>
            <w:pPr>
              <w:tabs>
                <w:tab w:val="left" w:pos="567"/>
              </w:tabs>
              <w:rPr>
                <w:rFonts w:ascii="宋体" w:hAnsi="宋体"/>
                <w:color w:val="auto"/>
                <w:szCs w:val="21"/>
              </w:rPr>
            </w:pPr>
            <w:r>
              <w:rPr>
                <w:rFonts w:hint="eastAsia" w:ascii="宋体" w:hAnsi="宋体"/>
                <w:color w:val="auto"/>
                <w:szCs w:val="21"/>
              </w:rPr>
              <w:t>注：</w:t>
            </w:r>
          </w:p>
          <w:p>
            <w:pPr>
              <w:pStyle w:val="58"/>
              <w:numPr>
                <w:ilvl w:val="0"/>
                <w:numId w:val="64"/>
              </w:numPr>
              <w:tabs>
                <w:tab w:val="left" w:pos="567"/>
              </w:tabs>
              <w:ind w:left="0" w:firstLine="0" w:firstLineChars="0"/>
              <w:rPr>
                <w:rFonts w:ascii="宋体" w:hAnsi="宋体"/>
                <w:color w:val="auto"/>
                <w:szCs w:val="21"/>
              </w:rPr>
            </w:pPr>
            <w:r>
              <w:rPr>
                <w:rFonts w:hint="eastAsia" w:ascii="宋体" w:hAnsi="宋体"/>
                <w:color w:val="auto"/>
                <w:szCs w:val="21"/>
              </w:rPr>
              <w:t>同一种货物同时属于节能产品和环境标志产品的，仅享受一次评审优惠。</w:t>
            </w:r>
          </w:p>
          <w:p>
            <w:pPr>
              <w:pStyle w:val="58"/>
              <w:numPr>
                <w:ilvl w:val="0"/>
                <w:numId w:val="64"/>
              </w:numPr>
              <w:tabs>
                <w:tab w:val="left" w:pos="567"/>
              </w:tabs>
              <w:ind w:left="0" w:firstLine="0" w:firstLineChars="0"/>
              <w:rPr>
                <w:rFonts w:ascii="宋体" w:hAnsi="宋体"/>
                <w:color w:val="auto"/>
                <w:szCs w:val="21"/>
              </w:rPr>
            </w:pPr>
            <w:r>
              <w:rPr>
                <w:rFonts w:hint="eastAsia" w:ascii="宋体" w:hAnsi="宋体"/>
                <w:color w:val="auto"/>
                <w:szCs w:val="21"/>
              </w:rPr>
              <w:t>上述价格扣除的评审优惠不能与技术加分评审优惠同时使用。</w:t>
            </w:r>
          </w:p>
          <w:p>
            <w:pPr>
              <w:pStyle w:val="58"/>
              <w:numPr>
                <w:ilvl w:val="0"/>
                <w:numId w:val="64"/>
              </w:numPr>
              <w:tabs>
                <w:tab w:val="left" w:pos="567"/>
              </w:tabs>
              <w:ind w:left="420" w:hangingChars="200"/>
              <w:rPr>
                <w:rFonts w:ascii="宋体" w:hAnsi="宋体"/>
                <w:color w:val="auto"/>
                <w:szCs w:val="21"/>
              </w:rPr>
            </w:pPr>
            <w:r>
              <w:rPr>
                <w:rFonts w:hint="eastAsia" w:ascii="宋体" w:hAnsi="宋体"/>
                <w:color w:val="auto"/>
                <w:szCs w:val="21"/>
              </w:rPr>
              <w:t>投标供应商须填写所报价节能产品或环境标志产品的情况</w:t>
            </w:r>
            <w:r>
              <w:rPr>
                <w:rFonts w:hint="eastAsia" w:ascii="宋体" w:hAnsi="宋体"/>
                <w:bCs/>
                <w:color w:val="auto"/>
                <w:szCs w:val="21"/>
              </w:rPr>
              <w:t>（格式见《投标文件格式》）</w:t>
            </w:r>
            <w:r>
              <w:rPr>
                <w:rFonts w:hint="eastAsia" w:ascii="宋体" w:hAnsi="宋体"/>
                <w:color w:val="auto"/>
                <w:szCs w:val="21"/>
              </w:rPr>
              <w:t>，并</w:t>
            </w:r>
            <w:r>
              <w:rPr>
                <w:rFonts w:hint="eastAsia" w:ascii="等线" w:hAnsi="等线"/>
                <w:color w:val="auto"/>
                <w:szCs w:val="21"/>
              </w:rPr>
              <w:t>提供国家确定的认证机构出具的、处于有效期之内的节能产品或环境标志产品认证证书资料。</w:t>
            </w:r>
          </w:p>
        </w:tc>
      </w:tr>
      <w:bookmarkEnd w:id="340"/>
    </w:tbl>
    <w:p>
      <w:pPr>
        <w:tabs>
          <w:tab w:val="left" w:pos="567"/>
        </w:tabs>
        <w:ind w:left="567"/>
        <w:rPr>
          <w:rFonts w:ascii="宋体" w:hAnsi="宋体"/>
          <w:color w:val="auto"/>
          <w:sz w:val="24"/>
          <w:szCs w:val="24"/>
        </w:rPr>
      </w:pPr>
    </w:p>
    <w:p>
      <w:pPr>
        <w:numPr>
          <w:ilvl w:val="0"/>
          <w:numId w:val="62"/>
        </w:numPr>
        <w:tabs>
          <w:tab w:val="left" w:pos="567"/>
        </w:tabs>
        <w:adjustRightInd w:val="0"/>
        <w:snapToGrid w:val="0"/>
        <w:spacing w:line="360" w:lineRule="auto"/>
        <w:rPr>
          <w:bCs/>
          <w:color w:val="auto"/>
          <w:sz w:val="24"/>
          <w:shd w:val="pct10" w:color="auto" w:fill="FFFFFF"/>
        </w:rPr>
      </w:pPr>
      <w:r>
        <w:rPr>
          <w:rFonts w:hint="eastAsia"/>
          <w:b/>
          <w:bCs/>
          <w:color w:val="auto"/>
          <w:sz w:val="24"/>
        </w:rPr>
        <w:t>脱贫地区农副产品价格扣除</w:t>
      </w:r>
      <w:r>
        <w:rPr>
          <w:rFonts w:hint="eastAsia" w:ascii="宋体" w:hAnsi="宋体"/>
          <w:b/>
          <w:color w:val="auto"/>
          <w:sz w:val="24"/>
          <w:szCs w:val="24"/>
        </w:rPr>
        <w:t>【采购标的包含食材的货物类项目】</w:t>
      </w:r>
    </w:p>
    <w:p>
      <w:pPr>
        <w:numPr>
          <w:ilvl w:val="1"/>
          <w:numId w:val="65"/>
        </w:numPr>
        <w:tabs>
          <w:tab w:val="left" w:pos="567"/>
        </w:tabs>
        <w:spacing w:line="360" w:lineRule="auto"/>
        <w:rPr>
          <w:rFonts w:ascii="宋体" w:hAnsi="宋体"/>
          <w:color w:val="auto"/>
          <w:sz w:val="24"/>
        </w:rPr>
      </w:pPr>
      <w:r>
        <w:rPr>
          <w:rFonts w:hint="eastAsia" w:ascii="宋体" w:hAnsi="宋体"/>
          <w:color w:val="auto"/>
          <w:sz w:val="24"/>
        </w:rPr>
        <w:t>根据《关于运用政府采购政策支持乡村产业振兴的通知》（财库〔2021〕19 号）和《关于深入开展政府采购脱贫地区农副产品工作推进乡村产业振兴的实施意见》的通知（财库〔2021〕20 号），脱贫地区农副产品是指在832个脱贫县域内注册的企业、农民专业合作社、家庭农场等出产的农副产品，投标（响应）供应商通过脱贫地区农副产品网络销售平台（原贫困地区农副产品网络销售平台，</w:t>
      </w:r>
      <w:r>
        <w:rPr>
          <w:rFonts w:ascii="宋体" w:hAnsi="宋体"/>
          <w:color w:val="auto"/>
          <w:sz w:val="24"/>
        </w:rPr>
        <w:t>简称“832平台”</w:t>
      </w:r>
      <w:r>
        <w:rPr>
          <w:rFonts w:hint="eastAsia" w:ascii="宋体" w:hAnsi="宋体"/>
          <w:color w:val="auto"/>
          <w:sz w:val="24"/>
        </w:rPr>
        <w:t>）提供脱贫地区农副产品，对所报价农副产品的价格给予</w:t>
      </w:r>
      <w:r>
        <w:rPr>
          <w:rFonts w:hint="eastAsia" w:ascii="宋体" w:hAnsi="宋体"/>
          <w:b/>
          <w:color w:val="auto"/>
          <w:szCs w:val="21"/>
          <w:u w:val="single"/>
        </w:rPr>
        <w:t>C5=</w:t>
      </w:r>
      <w:r>
        <w:rPr>
          <w:rFonts w:ascii="宋体" w:hAnsi="宋体"/>
          <w:b/>
          <w:color w:val="auto"/>
          <w:sz w:val="24"/>
          <w:u w:val="single"/>
        </w:rPr>
        <w:t xml:space="preserve"> </w:t>
      </w:r>
      <w:r>
        <w:rPr>
          <w:rFonts w:hint="eastAsia" w:ascii="宋体" w:hAnsi="宋体"/>
          <w:b/>
          <w:color w:val="auto"/>
          <w:sz w:val="24"/>
          <w:u w:val="single"/>
        </w:rPr>
        <w:t>1</w:t>
      </w:r>
      <w:r>
        <w:rPr>
          <w:rFonts w:ascii="宋体" w:hAnsi="宋体"/>
          <w:b/>
          <w:color w:val="auto"/>
          <w:sz w:val="24"/>
          <w:u w:val="single"/>
        </w:rPr>
        <w:t xml:space="preserve"> %</w:t>
      </w:r>
      <w:r>
        <w:rPr>
          <w:rFonts w:hint="eastAsia" w:ascii="宋体" w:hAnsi="宋体"/>
          <w:color w:val="auto"/>
          <w:sz w:val="24"/>
        </w:rPr>
        <w:t>的价格扣除。</w:t>
      </w:r>
      <w:r>
        <w:rPr>
          <w:rFonts w:hint="eastAsia" w:ascii="宋体" w:hAnsi="宋体"/>
          <w:b/>
          <w:color w:val="auto"/>
          <w:sz w:val="24"/>
        </w:rPr>
        <w:t>（按预算规定已经预留食材采购份额的项目不进行价格扣除优惠）。</w:t>
      </w:r>
    </w:p>
    <w:p>
      <w:pPr>
        <w:numPr>
          <w:ilvl w:val="1"/>
          <w:numId w:val="65"/>
        </w:numPr>
        <w:tabs>
          <w:tab w:val="left" w:pos="567"/>
        </w:tabs>
        <w:spacing w:line="360" w:lineRule="auto"/>
        <w:rPr>
          <w:rFonts w:ascii="宋体" w:hAnsi="宋体"/>
          <w:color w:val="auto"/>
          <w:sz w:val="24"/>
          <w:szCs w:val="24"/>
        </w:rPr>
      </w:pPr>
      <w:r>
        <w:rPr>
          <w:rFonts w:hint="eastAsia" w:ascii="宋体" w:hAnsi="宋体"/>
          <w:color w:val="auto"/>
          <w:sz w:val="24"/>
        </w:rPr>
        <w:t>投标（响应）供应商须按照采购文件要求填写所报价</w:t>
      </w:r>
      <w:r>
        <w:rPr>
          <w:rFonts w:hint="eastAsia"/>
          <w:bCs/>
          <w:color w:val="auto"/>
          <w:sz w:val="24"/>
        </w:rPr>
        <w:t>农副产品</w:t>
      </w:r>
      <w:r>
        <w:rPr>
          <w:rFonts w:hint="eastAsia" w:ascii="宋体" w:hAnsi="宋体"/>
          <w:color w:val="auto"/>
          <w:sz w:val="24"/>
        </w:rPr>
        <w:t>的情况</w:t>
      </w:r>
      <w:r>
        <w:rPr>
          <w:rFonts w:hint="eastAsia" w:ascii="宋体" w:hAnsi="宋体"/>
          <w:bCs/>
          <w:color w:val="auto"/>
          <w:sz w:val="24"/>
          <w:szCs w:val="24"/>
        </w:rPr>
        <w:t>（格式见《投标（响应）文件格式》）</w:t>
      </w:r>
      <w:r>
        <w:rPr>
          <w:rFonts w:hint="eastAsia" w:ascii="宋体" w:hAnsi="宋体"/>
          <w:color w:val="auto"/>
          <w:sz w:val="24"/>
        </w:rPr>
        <w:t>并加盖投标（响应）供应商单位公章。</w:t>
      </w:r>
    </w:p>
    <w:p>
      <w:pPr>
        <w:tabs>
          <w:tab w:val="left" w:pos="567"/>
        </w:tabs>
        <w:spacing w:line="360" w:lineRule="auto"/>
        <w:ind w:left="567"/>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r>
        <w:rPr>
          <w:rFonts w:ascii="宋体" w:hAnsi="宋体"/>
          <w:color w:val="auto"/>
          <w:sz w:val="24"/>
          <w:szCs w:val="24"/>
        </w:rPr>
        <w:br w:type="page"/>
      </w: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pStyle w:val="3"/>
        <w:numPr>
          <w:ilvl w:val="0"/>
          <w:numId w:val="3"/>
        </w:numPr>
        <w:spacing w:before="0" w:after="0" w:line="360" w:lineRule="auto"/>
        <w:ind w:left="0" w:firstLine="0"/>
        <w:jc w:val="center"/>
        <w:rPr>
          <w:rFonts w:ascii="宋体" w:hAnsi="宋体"/>
          <w:color w:val="auto"/>
          <w:kern w:val="0"/>
          <w:sz w:val="36"/>
          <w:szCs w:val="36"/>
        </w:rPr>
      </w:pPr>
      <w:bookmarkStart w:id="341" w:name="_Toc22806173"/>
      <w:r>
        <w:rPr>
          <w:rFonts w:hint="eastAsia" w:ascii="宋体" w:hAnsi="宋体"/>
          <w:color w:val="auto"/>
          <w:kern w:val="0"/>
          <w:sz w:val="36"/>
          <w:szCs w:val="36"/>
        </w:rPr>
        <w:t xml:space="preserve">  </w:t>
      </w:r>
      <w:bookmarkStart w:id="342" w:name="_Toc25899"/>
      <w:r>
        <w:rPr>
          <w:rFonts w:hint="eastAsia" w:ascii="宋体" w:hAnsi="宋体"/>
          <w:color w:val="auto"/>
          <w:kern w:val="0"/>
          <w:sz w:val="36"/>
          <w:szCs w:val="36"/>
        </w:rPr>
        <w:t>拟签订的合同文本</w:t>
      </w:r>
      <w:bookmarkEnd w:id="341"/>
      <w:bookmarkEnd w:id="342"/>
    </w:p>
    <w:p>
      <w:pPr>
        <w:spacing w:line="360" w:lineRule="auto"/>
        <w:jc w:val="center"/>
        <w:rPr>
          <w:rFonts w:ascii="宋体" w:hAnsi="宋体"/>
          <w:color w:val="auto"/>
          <w:sz w:val="24"/>
          <w:szCs w:val="24"/>
        </w:rPr>
      </w:pPr>
      <w:r>
        <w:rPr>
          <w:rFonts w:hint="eastAsia" w:ascii="宋体" w:hAnsi="宋体"/>
          <w:color w:val="auto"/>
          <w:sz w:val="24"/>
          <w:szCs w:val="24"/>
        </w:rPr>
        <w:t>（注：合同格式为合同的参考文本，除实质性内容外，合同签订双方可根据项目的具体要求进行修订。若本项目（采购包）属于专门面向中小企业采购，则本合同为中小企业预留合同</w:t>
      </w:r>
      <w:r>
        <w:rPr>
          <w:rFonts w:hint="eastAsia" w:ascii="宋体" w:hAnsi="宋体"/>
          <w:color w:val="auto"/>
          <w:sz w:val="24"/>
          <w:szCs w:val="24"/>
        </w:rPr>
        <w:tab/>
      </w:r>
      <w:r>
        <w:rPr>
          <w:rFonts w:hint="eastAsia" w:ascii="宋体" w:hAnsi="宋体"/>
          <w:color w:val="auto"/>
          <w:sz w:val="24"/>
          <w:szCs w:val="24"/>
        </w:rPr>
        <w:t>）</w:t>
      </w:r>
      <w:r>
        <w:rPr>
          <w:rFonts w:ascii="宋体" w:hAnsi="宋体"/>
          <w:color w:val="auto"/>
          <w:sz w:val="24"/>
          <w:szCs w:val="24"/>
        </w:rPr>
        <w:br w:type="page"/>
      </w:r>
    </w:p>
    <w:p>
      <w:pPr>
        <w:pStyle w:val="74"/>
        <w:rPr>
          <w:rFonts w:ascii="宋体" w:hAnsi="宋体"/>
          <w:color w:val="auto"/>
          <w:sz w:val="24"/>
          <w:szCs w:val="24"/>
        </w:rPr>
      </w:pPr>
    </w:p>
    <w:p>
      <w:pPr>
        <w:pStyle w:val="74"/>
        <w:rPr>
          <w:rFonts w:ascii="宋体" w:hAnsi="宋体"/>
          <w:color w:val="auto"/>
          <w:sz w:val="24"/>
          <w:szCs w:val="24"/>
        </w:rPr>
      </w:pPr>
    </w:p>
    <w:p>
      <w:pPr>
        <w:pStyle w:val="74"/>
        <w:rPr>
          <w:rFonts w:ascii="宋体" w:hAnsi="宋体"/>
          <w:color w:val="auto"/>
          <w:sz w:val="24"/>
          <w:szCs w:val="24"/>
        </w:rPr>
      </w:pPr>
    </w:p>
    <w:p>
      <w:pPr>
        <w:spacing w:line="360" w:lineRule="auto"/>
        <w:jc w:val="center"/>
        <w:rPr>
          <w:color w:val="auto"/>
          <w:sz w:val="72"/>
          <w:szCs w:val="72"/>
        </w:rPr>
      </w:pPr>
    </w:p>
    <w:p>
      <w:pPr>
        <w:pStyle w:val="74"/>
        <w:rPr>
          <w:color w:val="auto"/>
          <w:sz w:val="72"/>
          <w:szCs w:val="72"/>
        </w:rPr>
      </w:pPr>
    </w:p>
    <w:p>
      <w:pPr>
        <w:spacing w:line="360" w:lineRule="auto"/>
        <w:jc w:val="center"/>
        <w:rPr>
          <w:color w:val="auto"/>
          <w:sz w:val="72"/>
          <w:szCs w:val="72"/>
        </w:rPr>
      </w:pPr>
    </w:p>
    <w:p>
      <w:pPr>
        <w:spacing w:line="360" w:lineRule="auto"/>
        <w:jc w:val="center"/>
        <w:rPr>
          <w:color w:val="auto"/>
          <w:sz w:val="72"/>
          <w:szCs w:val="72"/>
        </w:rPr>
      </w:pPr>
    </w:p>
    <w:p>
      <w:pPr>
        <w:spacing w:line="360" w:lineRule="auto"/>
        <w:jc w:val="center"/>
        <w:rPr>
          <w:color w:val="auto"/>
          <w:sz w:val="72"/>
          <w:szCs w:val="72"/>
        </w:rPr>
      </w:pPr>
      <w:r>
        <w:rPr>
          <w:rFonts w:hint="eastAsia"/>
          <w:color w:val="auto"/>
          <w:sz w:val="72"/>
          <w:szCs w:val="72"/>
        </w:rPr>
        <w:t>合同书</w:t>
      </w:r>
    </w:p>
    <w:p>
      <w:pPr>
        <w:spacing w:line="360" w:lineRule="auto"/>
        <w:jc w:val="center"/>
        <w:rPr>
          <w:color w:val="auto"/>
          <w:sz w:val="72"/>
          <w:szCs w:val="72"/>
        </w:rPr>
      </w:pPr>
    </w:p>
    <w:p>
      <w:pPr>
        <w:spacing w:line="400" w:lineRule="exact"/>
        <w:jc w:val="center"/>
        <w:rPr>
          <w:color w:val="auto"/>
          <w:sz w:val="72"/>
          <w:szCs w:val="72"/>
        </w:rPr>
      </w:pPr>
    </w:p>
    <w:p>
      <w:pPr>
        <w:spacing w:line="400" w:lineRule="exact"/>
        <w:jc w:val="center"/>
        <w:rPr>
          <w:color w:val="auto"/>
          <w:sz w:val="72"/>
          <w:szCs w:val="72"/>
        </w:rPr>
      </w:pPr>
    </w:p>
    <w:p>
      <w:pPr>
        <w:spacing w:line="400" w:lineRule="exact"/>
        <w:jc w:val="center"/>
        <w:rPr>
          <w:color w:val="auto"/>
          <w:sz w:val="72"/>
          <w:szCs w:val="72"/>
        </w:rPr>
      </w:pPr>
    </w:p>
    <w:p>
      <w:pPr>
        <w:pStyle w:val="74"/>
        <w:rPr>
          <w:color w:val="auto"/>
          <w:sz w:val="72"/>
          <w:szCs w:val="72"/>
        </w:rPr>
      </w:pPr>
    </w:p>
    <w:p>
      <w:pPr>
        <w:pStyle w:val="74"/>
        <w:rPr>
          <w:color w:val="auto"/>
          <w:sz w:val="72"/>
          <w:szCs w:val="72"/>
        </w:rPr>
      </w:pPr>
    </w:p>
    <w:p>
      <w:pPr>
        <w:spacing w:line="400" w:lineRule="exact"/>
        <w:jc w:val="center"/>
        <w:rPr>
          <w:color w:val="auto"/>
          <w:sz w:val="72"/>
          <w:szCs w:val="72"/>
        </w:rPr>
      </w:pPr>
    </w:p>
    <w:p>
      <w:pPr>
        <w:spacing w:line="400" w:lineRule="exact"/>
        <w:jc w:val="center"/>
        <w:rPr>
          <w:color w:val="auto"/>
          <w:sz w:val="72"/>
          <w:szCs w:val="72"/>
        </w:rPr>
      </w:pPr>
    </w:p>
    <w:p>
      <w:pPr>
        <w:spacing w:line="400" w:lineRule="exact"/>
        <w:rPr>
          <w:color w:val="auto"/>
          <w:sz w:val="72"/>
          <w:szCs w:val="72"/>
        </w:rPr>
      </w:pPr>
    </w:p>
    <w:p>
      <w:pPr>
        <w:spacing w:line="360" w:lineRule="auto"/>
        <w:ind w:left="3080" w:leftChars="800" w:hanging="1400" w:hangingChars="500"/>
        <w:rPr>
          <w:color w:val="auto"/>
          <w:sz w:val="28"/>
          <w:szCs w:val="28"/>
        </w:rPr>
      </w:pPr>
      <w:r>
        <w:rPr>
          <w:rFonts w:hint="eastAsia"/>
          <w:color w:val="auto"/>
          <w:sz w:val="28"/>
          <w:szCs w:val="28"/>
        </w:rPr>
        <w:t>项目名称：</w:t>
      </w:r>
    </w:p>
    <w:p>
      <w:pPr>
        <w:spacing w:line="360" w:lineRule="auto"/>
        <w:ind w:firstLine="1680" w:firstLineChars="600"/>
        <w:rPr>
          <w:color w:val="auto"/>
          <w:sz w:val="28"/>
          <w:szCs w:val="28"/>
          <w:u w:val="single"/>
        </w:rPr>
      </w:pPr>
      <w:r>
        <w:rPr>
          <w:rFonts w:hint="eastAsia"/>
          <w:color w:val="auto"/>
          <w:sz w:val="28"/>
          <w:szCs w:val="28"/>
        </w:rPr>
        <w:t>合同编号：</w:t>
      </w:r>
    </w:p>
    <w:p>
      <w:pPr>
        <w:spacing w:line="360" w:lineRule="auto"/>
        <w:ind w:firstLine="1680" w:firstLineChars="600"/>
        <w:rPr>
          <w:color w:val="auto"/>
          <w:sz w:val="28"/>
          <w:szCs w:val="28"/>
          <w:u w:val="single"/>
        </w:rPr>
      </w:pPr>
      <w:r>
        <w:rPr>
          <w:rFonts w:hint="eastAsia"/>
          <w:color w:val="auto"/>
          <w:sz w:val="28"/>
          <w:szCs w:val="28"/>
        </w:rPr>
        <w:t>签约地点：</w:t>
      </w:r>
      <w:r>
        <w:rPr>
          <w:color w:val="auto"/>
          <w:sz w:val="28"/>
          <w:szCs w:val="28"/>
          <w:u w:val="single"/>
        </w:rPr>
        <w:t xml:space="preserve"> </w:t>
      </w:r>
    </w:p>
    <w:p>
      <w:pPr>
        <w:spacing w:line="360" w:lineRule="auto"/>
        <w:ind w:firstLine="1680" w:firstLineChars="600"/>
        <w:rPr>
          <w:color w:val="auto"/>
          <w:sz w:val="28"/>
          <w:szCs w:val="28"/>
        </w:rPr>
      </w:pPr>
      <w:r>
        <w:rPr>
          <w:rFonts w:hint="eastAsia"/>
          <w:color w:val="auto"/>
          <w:sz w:val="28"/>
          <w:szCs w:val="28"/>
        </w:rPr>
        <w:t>签订日期：</w:t>
      </w:r>
      <w:r>
        <w:rPr>
          <w:color w:val="auto"/>
          <w:sz w:val="28"/>
          <w:szCs w:val="28"/>
        </w:rPr>
        <w:t xml:space="preserve">  </w:t>
      </w:r>
      <w:r>
        <w:rPr>
          <w:rFonts w:hint="eastAsia"/>
          <w:color w:val="auto"/>
          <w:sz w:val="28"/>
          <w:szCs w:val="28"/>
        </w:rPr>
        <w:t>年</w:t>
      </w:r>
      <w:r>
        <w:rPr>
          <w:color w:val="auto"/>
          <w:sz w:val="28"/>
          <w:szCs w:val="28"/>
        </w:rPr>
        <w:t xml:space="preserve">   </w:t>
      </w:r>
      <w:r>
        <w:rPr>
          <w:rFonts w:hint="eastAsia"/>
          <w:color w:val="auto"/>
          <w:sz w:val="28"/>
          <w:szCs w:val="28"/>
        </w:rPr>
        <w:t>月</w:t>
      </w:r>
      <w:r>
        <w:rPr>
          <w:color w:val="auto"/>
          <w:sz w:val="28"/>
          <w:szCs w:val="28"/>
        </w:rPr>
        <w:t xml:space="preserve">   </w:t>
      </w:r>
      <w:r>
        <w:rPr>
          <w:rFonts w:hint="eastAsia"/>
          <w:color w:val="auto"/>
          <w:sz w:val="28"/>
          <w:szCs w:val="28"/>
        </w:rPr>
        <w:t>日</w:t>
      </w:r>
    </w:p>
    <w:p>
      <w:pPr>
        <w:pStyle w:val="78"/>
        <w:numPr>
          <w:ilvl w:val="0"/>
          <w:numId w:val="66"/>
        </w:numPr>
        <w:spacing w:line="400" w:lineRule="exact"/>
        <w:ind w:firstLineChars="0"/>
        <w:rPr>
          <w:rFonts w:hint="default" w:ascii="Arial" w:hAnsi="Arial" w:cs="Arial"/>
          <w:color w:val="auto"/>
          <w:szCs w:val="21"/>
        </w:rPr>
      </w:pPr>
      <w:r>
        <w:rPr>
          <w:rFonts w:ascii="Arial" w:hAnsi="Arial" w:cs="Arial"/>
          <w:color w:val="auto"/>
          <w:szCs w:val="21"/>
        </w:rPr>
        <w:br w:type="page"/>
      </w:r>
      <w:r>
        <w:rPr>
          <w:rFonts w:ascii="Arial" w:hAnsi="Arial" w:cs="Arial"/>
          <w:color w:val="auto"/>
          <w:szCs w:val="21"/>
        </w:rPr>
        <w:t>需方：</w:t>
      </w:r>
    </w:p>
    <w:p>
      <w:pPr>
        <w:pStyle w:val="78"/>
        <w:numPr>
          <w:ilvl w:val="0"/>
          <w:numId w:val="66"/>
        </w:numPr>
        <w:spacing w:line="400" w:lineRule="exact"/>
        <w:ind w:firstLineChars="0"/>
        <w:rPr>
          <w:rFonts w:hint="default" w:ascii="Arial" w:hAnsi="Arial" w:cs="Arial"/>
          <w:color w:val="auto"/>
          <w:szCs w:val="21"/>
        </w:rPr>
      </w:pPr>
      <w:r>
        <w:rPr>
          <w:rFonts w:ascii="Arial" w:hAnsi="Arial" w:cs="Arial"/>
          <w:color w:val="auto"/>
          <w:szCs w:val="21"/>
        </w:rPr>
        <w:t>供方：</w:t>
      </w:r>
    </w:p>
    <w:p>
      <w:pPr>
        <w:spacing w:line="400" w:lineRule="exact"/>
        <w:rPr>
          <w:rFonts w:ascii="Arial" w:hAnsi="Arial" w:cs="Arial"/>
          <w:color w:val="auto"/>
          <w:szCs w:val="21"/>
        </w:rPr>
      </w:pPr>
    </w:p>
    <w:p>
      <w:pPr>
        <w:adjustRightInd w:val="0"/>
        <w:spacing w:line="400" w:lineRule="exact"/>
        <w:ind w:firstLine="525" w:firstLineChars="250"/>
        <w:rPr>
          <w:color w:val="auto"/>
          <w:szCs w:val="21"/>
        </w:rPr>
      </w:pPr>
      <w:r>
        <w:rPr>
          <w:rFonts w:hint="eastAsia" w:ascii="Arial" w:hAnsi="Arial" w:cs="Arial"/>
          <w:color w:val="auto"/>
          <w:szCs w:val="21"/>
        </w:rPr>
        <w:t>本合同根据（招标编号</w:t>
      </w:r>
      <w:r>
        <w:rPr>
          <w:rFonts w:hint="eastAsia" w:ascii="Arial" w:hAnsi="Arial" w:cs="Arial"/>
          <w:color w:val="auto"/>
          <w:szCs w:val="21"/>
          <w:u w:val="single"/>
        </w:rPr>
        <w:t>：</w:t>
      </w:r>
      <w:r>
        <w:rPr>
          <w:rFonts w:hint="eastAsia" w:ascii="Arial" w:hAnsi="Arial" w:cs="Arial"/>
          <w:color w:val="auto"/>
          <w:szCs w:val="21"/>
        </w:rPr>
        <w:t>）招标文件和该项招标的中标通知书于年月日</w:t>
      </w:r>
      <w:r>
        <w:rPr>
          <w:rFonts w:hint="eastAsia"/>
          <w:color w:val="auto"/>
          <w:szCs w:val="21"/>
          <w:u w:val="single"/>
        </w:rPr>
        <w:t>工业和信息化部电子第五研究所</w:t>
      </w:r>
      <w:r>
        <w:rPr>
          <w:rFonts w:hint="eastAsia"/>
          <w:color w:val="auto"/>
          <w:szCs w:val="21"/>
        </w:rPr>
        <w:t>（以下简称需方）与(以下简称供方）就供方向需方提供的供货和服务，经供需双方协商一致，签订本合同，共同遵守如下条款：</w:t>
      </w:r>
    </w:p>
    <w:p>
      <w:pPr>
        <w:spacing w:before="156" w:beforeLines="50" w:after="156" w:afterLines="50" w:line="400" w:lineRule="exact"/>
        <w:rPr>
          <w:color w:val="auto"/>
          <w:sz w:val="24"/>
        </w:rPr>
      </w:pPr>
      <w:r>
        <w:rPr>
          <w:rFonts w:hint="eastAsia"/>
          <w:color w:val="auto"/>
          <w:sz w:val="24"/>
        </w:rPr>
        <w:t>一、总则</w:t>
      </w:r>
    </w:p>
    <w:p>
      <w:pPr>
        <w:spacing w:line="400" w:lineRule="exact"/>
        <w:rPr>
          <w:color w:val="auto"/>
          <w:szCs w:val="21"/>
        </w:rPr>
      </w:pPr>
      <w:r>
        <w:rPr>
          <w:color w:val="auto"/>
          <w:szCs w:val="21"/>
        </w:rPr>
        <w:t>1.</w:t>
      </w:r>
      <w:r>
        <w:rPr>
          <w:rFonts w:hint="eastAsia"/>
          <w:color w:val="auto"/>
          <w:szCs w:val="21"/>
        </w:rPr>
        <w:t>本合同供需双方必须遵守国家颁布的合同法，并各自履行应负的全部责任。</w:t>
      </w:r>
    </w:p>
    <w:p>
      <w:pPr>
        <w:spacing w:line="400" w:lineRule="exact"/>
        <w:rPr>
          <w:color w:val="auto"/>
          <w:szCs w:val="21"/>
        </w:rPr>
      </w:pPr>
      <w:r>
        <w:rPr>
          <w:color w:val="auto"/>
          <w:szCs w:val="21"/>
        </w:rPr>
        <w:t>2.</w:t>
      </w:r>
      <w:r>
        <w:rPr>
          <w:rFonts w:hint="eastAsia"/>
          <w:color w:val="auto"/>
          <w:szCs w:val="21"/>
        </w:rPr>
        <w:t>下列文件均为本合同不可分割部分：</w:t>
      </w:r>
    </w:p>
    <w:p>
      <w:pPr>
        <w:tabs>
          <w:tab w:val="left" w:pos="720"/>
        </w:tabs>
        <w:spacing w:line="400" w:lineRule="exact"/>
        <w:rPr>
          <w:rFonts w:ascii="Arial" w:hAnsi="Arial" w:cs="Arial"/>
          <w:color w:val="auto"/>
          <w:szCs w:val="21"/>
        </w:rPr>
      </w:pPr>
      <w:r>
        <w:rPr>
          <w:color w:val="auto"/>
          <w:szCs w:val="21"/>
        </w:rPr>
        <w:t>2.1</w:t>
      </w:r>
      <w:r>
        <w:rPr>
          <w:rFonts w:hint="eastAsia"/>
          <w:color w:val="auto"/>
          <w:szCs w:val="21"/>
        </w:rPr>
        <w:t>.</w:t>
      </w:r>
      <w:r>
        <w:rPr>
          <w:rFonts w:hint="eastAsia" w:ascii="Arial" w:hAnsi="Arial" w:cs="Arial"/>
          <w:color w:val="auto"/>
          <w:szCs w:val="21"/>
        </w:rPr>
        <w:t>中标通知书；</w:t>
      </w:r>
    </w:p>
    <w:p>
      <w:pPr>
        <w:tabs>
          <w:tab w:val="left" w:pos="720"/>
        </w:tabs>
        <w:spacing w:line="400" w:lineRule="exact"/>
        <w:rPr>
          <w:rFonts w:ascii="Arial" w:hAnsi="Arial" w:cs="Arial"/>
          <w:color w:val="auto"/>
          <w:szCs w:val="21"/>
        </w:rPr>
      </w:pPr>
      <w:r>
        <w:rPr>
          <w:color w:val="auto"/>
          <w:szCs w:val="21"/>
        </w:rPr>
        <w:t>2.</w:t>
      </w:r>
      <w:r>
        <w:rPr>
          <w:rFonts w:hint="eastAsia"/>
          <w:color w:val="auto"/>
          <w:szCs w:val="21"/>
        </w:rPr>
        <w:t>2.</w:t>
      </w:r>
      <w:r>
        <w:rPr>
          <w:rFonts w:hint="eastAsia" w:ascii="Arial" w:hAnsi="Arial" w:cs="Arial"/>
          <w:color w:val="auto"/>
          <w:szCs w:val="21"/>
        </w:rPr>
        <w:t>双方签订的有关书面补充协议或文件；</w:t>
      </w:r>
    </w:p>
    <w:p>
      <w:pPr>
        <w:spacing w:line="400" w:lineRule="exact"/>
        <w:rPr>
          <w:rFonts w:ascii="Arial" w:hAnsi="Arial" w:cs="Arial"/>
          <w:color w:val="auto"/>
          <w:szCs w:val="21"/>
        </w:rPr>
      </w:pPr>
      <w:r>
        <w:rPr>
          <w:color w:val="auto"/>
          <w:szCs w:val="21"/>
        </w:rPr>
        <w:t>2.</w:t>
      </w:r>
      <w:r>
        <w:rPr>
          <w:rFonts w:hint="eastAsia"/>
          <w:color w:val="auto"/>
          <w:szCs w:val="21"/>
        </w:rPr>
        <w:t>3.</w:t>
      </w:r>
      <w:r>
        <w:rPr>
          <w:rFonts w:hint="eastAsia" w:ascii="Arial" w:hAnsi="Arial" w:cs="Arial"/>
          <w:color w:val="auto"/>
          <w:szCs w:val="21"/>
        </w:rPr>
        <w:t>招标文件；</w:t>
      </w:r>
    </w:p>
    <w:p>
      <w:pPr>
        <w:spacing w:line="400" w:lineRule="exact"/>
        <w:rPr>
          <w:color w:val="auto"/>
          <w:szCs w:val="21"/>
        </w:rPr>
      </w:pPr>
      <w:r>
        <w:rPr>
          <w:color w:val="auto"/>
          <w:szCs w:val="21"/>
        </w:rPr>
        <w:t>2.</w:t>
      </w:r>
      <w:r>
        <w:rPr>
          <w:rFonts w:hint="eastAsia"/>
          <w:color w:val="auto"/>
          <w:szCs w:val="21"/>
        </w:rPr>
        <w:t>4.供方中标的投标文件。</w:t>
      </w:r>
    </w:p>
    <w:p>
      <w:pPr>
        <w:spacing w:line="400" w:lineRule="exact"/>
        <w:ind w:left="567" w:hanging="567"/>
        <w:rPr>
          <w:rFonts w:ascii="Arial" w:hAnsi="Arial" w:cs="Arial"/>
          <w:color w:val="auto"/>
          <w:szCs w:val="21"/>
        </w:rPr>
      </w:pPr>
      <w:r>
        <w:rPr>
          <w:color w:val="auto"/>
          <w:szCs w:val="21"/>
        </w:rPr>
        <w:t>3.</w:t>
      </w:r>
      <w:r>
        <w:rPr>
          <w:rFonts w:hint="eastAsia" w:ascii="Arial" w:hAnsi="Arial" w:cs="Arial"/>
          <w:color w:val="auto"/>
          <w:szCs w:val="21"/>
        </w:rPr>
        <w:t>供方保证全部按照合同条款的规定和交货期向需方提供合格的设备和服务。</w:t>
      </w:r>
    </w:p>
    <w:p>
      <w:pPr>
        <w:spacing w:line="400" w:lineRule="exact"/>
        <w:ind w:left="567" w:hanging="567"/>
        <w:rPr>
          <w:color w:val="auto"/>
          <w:szCs w:val="21"/>
        </w:rPr>
      </w:pPr>
      <w:r>
        <w:rPr>
          <w:color w:val="auto"/>
          <w:szCs w:val="21"/>
        </w:rPr>
        <w:t>4.</w:t>
      </w:r>
      <w:r>
        <w:rPr>
          <w:rFonts w:hint="eastAsia"/>
          <w:color w:val="auto"/>
          <w:szCs w:val="21"/>
        </w:rPr>
        <w:t>需方保证按照合同条款规定的时间和方式付给供方到期应付的货款。</w:t>
      </w:r>
    </w:p>
    <w:p>
      <w:pPr>
        <w:spacing w:line="400" w:lineRule="exact"/>
        <w:rPr>
          <w:color w:val="auto"/>
          <w:sz w:val="24"/>
        </w:rPr>
      </w:pPr>
      <w:r>
        <w:rPr>
          <w:rFonts w:hint="eastAsia"/>
          <w:color w:val="auto"/>
          <w:sz w:val="24"/>
        </w:rPr>
        <w:t>二、合同标的</w:t>
      </w:r>
    </w:p>
    <w:p>
      <w:pPr>
        <w:pStyle w:val="78"/>
        <w:numPr>
          <w:ilvl w:val="0"/>
          <w:numId w:val="67"/>
        </w:numPr>
        <w:spacing w:line="400" w:lineRule="exact"/>
        <w:ind w:firstLineChars="0"/>
        <w:rPr>
          <w:rFonts w:hint="default"/>
          <w:color w:val="auto"/>
          <w:szCs w:val="21"/>
          <w:u w:val="single"/>
        </w:rPr>
      </w:pPr>
      <w:r>
        <w:rPr>
          <w:color w:val="auto"/>
          <w:szCs w:val="21"/>
        </w:rPr>
        <w:t>本合同标的为，包括设计、货物供货、安装、调试、培训、验收、技术服务（包括技术资料、图纸的提供）、质保期保障等全部内容。</w:t>
      </w:r>
    </w:p>
    <w:p>
      <w:pPr>
        <w:pStyle w:val="78"/>
        <w:numPr>
          <w:ilvl w:val="0"/>
          <w:numId w:val="67"/>
        </w:numPr>
        <w:spacing w:line="400" w:lineRule="exact"/>
        <w:ind w:firstLineChars="0"/>
        <w:rPr>
          <w:rFonts w:hint="default"/>
          <w:color w:val="auto"/>
          <w:szCs w:val="21"/>
        </w:rPr>
      </w:pPr>
      <w:r>
        <w:rPr>
          <w:color w:val="auto"/>
          <w:szCs w:val="21"/>
        </w:rPr>
        <w:t>供货货物名称、型号、规格、数量。</w:t>
      </w:r>
    </w:p>
    <w:tbl>
      <w:tblPr>
        <w:tblStyle w:val="29"/>
        <w:tblW w:w="93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2001"/>
        <w:gridCol w:w="1512"/>
        <w:gridCol w:w="1223"/>
        <w:gridCol w:w="720"/>
        <w:gridCol w:w="720"/>
        <w:gridCol w:w="900"/>
        <w:gridCol w:w="1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48" w:type="dxa"/>
            <w:vAlign w:val="center"/>
          </w:tcPr>
          <w:p>
            <w:pPr>
              <w:spacing w:line="400" w:lineRule="exact"/>
              <w:jc w:val="center"/>
              <w:rPr>
                <w:rFonts w:ascii="Calibri" w:hAnsi="Calibri"/>
                <w:color w:val="auto"/>
                <w:szCs w:val="21"/>
              </w:rPr>
            </w:pPr>
            <w:r>
              <w:rPr>
                <w:rFonts w:hint="eastAsia" w:ascii="Calibri" w:hAnsi="Calibri"/>
                <w:color w:val="auto"/>
                <w:szCs w:val="21"/>
              </w:rPr>
              <w:t>序号</w:t>
            </w:r>
          </w:p>
        </w:tc>
        <w:tc>
          <w:tcPr>
            <w:tcW w:w="2001" w:type="dxa"/>
            <w:vAlign w:val="center"/>
          </w:tcPr>
          <w:p>
            <w:pPr>
              <w:spacing w:line="400" w:lineRule="exact"/>
              <w:jc w:val="center"/>
              <w:rPr>
                <w:rFonts w:ascii="Calibri" w:hAnsi="Calibri"/>
                <w:color w:val="auto"/>
                <w:szCs w:val="21"/>
              </w:rPr>
            </w:pPr>
            <w:r>
              <w:rPr>
                <w:rFonts w:hint="eastAsia" w:ascii="Calibri" w:hAnsi="Calibri"/>
                <w:color w:val="auto"/>
                <w:szCs w:val="21"/>
              </w:rPr>
              <w:t>名称</w:t>
            </w:r>
          </w:p>
        </w:tc>
        <w:tc>
          <w:tcPr>
            <w:tcW w:w="1512" w:type="dxa"/>
            <w:vAlign w:val="center"/>
          </w:tcPr>
          <w:p>
            <w:pPr>
              <w:spacing w:line="400" w:lineRule="exact"/>
              <w:jc w:val="center"/>
              <w:rPr>
                <w:rFonts w:ascii="Calibri" w:hAnsi="Calibri"/>
                <w:color w:val="auto"/>
                <w:szCs w:val="21"/>
              </w:rPr>
            </w:pPr>
            <w:r>
              <w:rPr>
                <w:rFonts w:hint="eastAsia" w:ascii="Calibri" w:hAnsi="Calibri"/>
                <w:color w:val="auto"/>
                <w:szCs w:val="21"/>
              </w:rPr>
              <w:t>型号规格</w:t>
            </w:r>
          </w:p>
        </w:tc>
        <w:tc>
          <w:tcPr>
            <w:tcW w:w="1223" w:type="dxa"/>
            <w:vAlign w:val="center"/>
          </w:tcPr>
          <w:p>
            <w:pPr>
              <w:spacing w:line="400" w:lineRule="exact"/>
              <w:jc w:val="center"/>
              <w:rPr>
                <w:rFonts w:ascii="Calibri" w:hAnsi="Calibri"/>
                <w:color w:val="auto"/>
                <w:szCs w:val="21"/>
              </w:rPr>
            </w:pPr>
            <w:r>
              <w:rPr>
                <w:rFonts w:hint="eastAsia" w:ascii="Calibri" w:hAnsi="Calibri"/>
                <w:color w:val="auto"/>
                <w:szCs w:val="21"/>
              </w:rPr>
              <w:t>制造商</w:t>
            </w:r>
          </w:p>
        </w:tc>
        <w:tc>
          <w:tcPr>
            <w:tcW w:w="720" w:type="dxa"/>
            <w:vAlign w:val="center"/>
          </w:tcPr>
          <w:p>
            <w:pPr>
              <w:spacing w:line="400" w:lineRule="exact"/>
              <w:jc w:val="center"/>
              <w:rPr>
                <w:rFonts w:ascii="Calibri" w:hAnsi="Calibri"/>
                <w:color w:val="auto"/>
                <w:szCs w:val="21"/>
              </w:rPr>
            </w:pPr>
            <w:r>
              <w:rPr>
                <w:rFonts w:hint="eastAsia" w:ascii="Calibri" w:hAnsi="Calibri"/>
                <w:color w:val="auto"/>
                <w:szCs w:val="21"/>
              </w:rPr>
              <w:t>单位</w:t>
            </w:r>
          </w:p>
        </w:tc>
        <w:tc>
          <w:tcPr>
            <w:tcW w:w="720" w:type="dxa"/>
            <w:vAlign w:val="center"/>
          </w:tcPr>
          <w:p>
            <w:pPr>
              <w:spacing w:line="400" w:lineRule="exact"/>
              <w:jc w:val="center"/>
              <w:rPr>
                <w:rFonts w:ascii="Calibri" w:hAnsi="Calibri"/>
                <w:color w:val="auto"/>
                <w:szCs w:val="21"/>
              </w:rPr>
            </w:pPr>
            <w:r>
              <w:rPr>
                <w:rFonts w:hint="eastAsia" w:ascii="Calibri" w:hAnsi="Calibri"/>
                <w:color w:val="auto"/>
                <w:szCs w:val="21"/>
              </w:rPr>
              <w:t>数量</w:t>
            </w:r>
          </w:p>
        </w:tc>
        <w:tc>
          <w:tcPr>
            <w:tcW w:w="900" w:type="dxa"/>
            <w:vAlign w:val="center"/>
          </w:tcPr>
          <w:p>
            <w:pPr>
              <w:spacing w:line="400" w:lineRule="exact"/>
              <w:jc w:val="center"/>
              <w:rPr>
                <w:rFonts w:ascii="Calibri" w:hAnsi="Calibri"/>
                <w:color w:val="auto"/>
                <w:szCs w:val="21"/>
              </w:rPr>
            </w:pPr>
            <w:r>
              <w:rPr>
                <w:rFonts w:hint="eastAsia" w:ascii="Calibri" w:hAnsi="Calibri"/>
                <w:color w:val="auto"/>
                <w:szCs w:val="21"/>
              </w:rPr>
              <w:t>交货期（天）</w:t>
            </w:r>
          </w:p>
        </w:tc>
        <w:tc>
          <w:tcPr>
            <w:tcW w:w="1579" w:type="dxa"/>
            <w:vAlign w:val="center"/>
          </w:tcPr>
          <w:p>
            <w:pPr>
              <w:spacing w:line="400" w:lineRule="exact"/>
              <w:jc w:val="center"/>
              <w:rPr>
                <w:rFonts w:ascii="Calibri" w:hAnsi="Calibri"/>
                <w:color w:val="auto"/>
                <w:szCs w:val="21"/>
              </w:rPr>
            </w:pPr>
            <w:r>
              <w:rPr>
                <w:rFonts w:hint="eastAsia" w:ascii="Calibri" w:hAnsi="Calibri"/>
                <w:color w:val="auto"/>
                <w:szCs w:val="21"/>
              </w:rPr>
              <w:t>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spacing w:line="400" w:lineRule="exact"/>
              <w:jc w:val="center"/>
              <w:rPr>
                <w:rFonts w:ascii="Calibri" w:hAnsi="Calibri"/>
                <w:color w:val="auto"/>
                <w:szCs w:val="21"/>
              </w:rPr>
            </w:pPr>
          </w:p>
        </w:tc>
        <w:tc>
          <w:tcPr>
            <w:tcW w:w="2001" w:type="dxa"/>
            <w:vAlign w:val="center"/>
          </w:tcPr>
          <w:p>
            <w:pPr>
              <w:spacing w:line="400" w:lineRule="exact"/>
              <w:jc w:val="center"/>
              <w:rPr>
                <w:rFonts w:ascii="Calibri" w:hAnsi="Calibri"/>
                <w:color w:val="auto"/>
                <w:szCs w:val="21"/>
              </w:rPr>
            </w:pPr>
          </w:p>
        </w:tc>
        <w:tc>
          <w:tcPr>
            <w:tcW w:w="1512" w:type="dxa"/>
            <w:vAlign w:val="center"/>
          </w:tcPr>
          <w:p>
            <w:pPr>
              <w:spacing w:line="400" w:lineRule="exact"/>
              <w:jc w:val="center"/>
              <w:rPr>
                <w:rFonts w:ascii="Calibri" w:hAnsi="Calibri"/>
                <w:color w:val="auto"/>
                <w:szCs w:val="21"/>
              </w:rPr>
            </w:pPr>
          </w:p>
        </w:tc>
        <w:tc>
          <w:tcPr>
            <w:tcW w:w="1223" w:type="dxa"/>
            <w:vAlign w:val="center"/>
          </w:tcPr>
          <w:p>
            <w:pPr>
              <w:spacing w:line="400" w:lineRule="exact"/>
              <w:jc w:val="center"/>
              <w:rPr>
                <w:rFonts w:ascii="Calibri" w:hAnsi="Calibri"/>
                <w:color w:val="auto"/>
                <w:szCs w:val="21"/>
              </w:rPr>
            </w:pPr>
          </w:p>
          <w:p>
            <w:pPr>
              <w:spacing w:line="400" w:lineRule="exact"/>
              <w:jc w:val="center"/>
              <w:rPr>
                <w:rFonts w:ascii="Calibri" w:hAnsi="Calibri"/>
                <w:color w:val="auto"/>
                <w:szCs w:val="21"/>
              </w:rPr>
            </w:pPr>
          </w:p>
        </w:tc>
        <w:tc>
          <w:tcPr>
            <w:tcW w:w="720" w:type="dxa"/>
            <w:vAlign w:val="center"/>
          </w:tcPr>
          <w:p>
            <w:pPr>
              <w:spacing w:line="400" w:lineRule="exact"/>
              <w:jc w:val="center"/>
              <w:rPr>
                <w:rFonts w:ascii="Calibri" w:hAnsi="Calibri"/>
                <w:color w:val="auto"/>
                <w:szCs w:val="21"/>
              </w:rPr>
            </w:pPr>
          </w:p>
        </w:tc>
        <w:tc>
          <w:tcPr>
            <w:tcW w:w="720" w:type="dxa"/>
            <w:vAlign w:val="center"/>
          </w:tcPr>
          <w:p>
            <w:pPr>
              <w:spacing w:line="400" w:lineRule="exact"/>
              <w:jc w:val="center"/>
              <w:rPr>
                <w:rFonts w:ascii="Calibri" w:hAnsi="Calibri"/>
                <w:color w:val="auto"/>
                <w:szCs w:val="21"/>
              </w:rPr>
            </w:pPr>
          </w:p>
        </w:tc>
        <w:tc>
          <w:tcPr>
            <w:tcW w:w="900" w:type="dxa"/>
            <w:vAlign w:val="center"/>
          </w:tcPr>
          <w:p>
            <w:pPr>
              <w:spacing w:line="400" w:lineRule="exact"/>
              <w:jc w:val="center"/>
              <w:rPr>
                <w:rFonts w:ascii="Calibri" w:hAnsi="Calibri"/>
                <w:color w:val="auto"/>
                <w:szCs w:val="21"/>
              </w:rPr>
            </w:pPr>
            <w:r>
              <w:rPr>
                <w:rFonts w:hint="eastAsia" w:ascii="Calibri" w:hAnsi="Calibri"/>
                <w:color w:val="auto"/>
                <w:szCs w:val="21"/>
              </w:rPr>
              <w:t>合同签订后xx天</w:t>
            </w:r>
          </w:p>
        </w:tc>
        <w:tc>
          <w:tcPr>
            <w:tcW w:w="1579" w:type="dxa"/>
            <w:vAlign w:val="center"/>
          </w:tcPr>
          <w:p>
            <w:pPr>
              <w:spacing w:line="400" w:lineRule="exact"/>
              <w:jc w:val="center"/>
              <w:rPr>
                <w:rFonts w:ascii="Calibri" w:hAnsi="Calibri"/>
                <w:color w:val="auto"/>
                <w:szCs w:val="21"/>
              </w:rPr>
            </w:pPr>
          </w:p>
        </w:tc>
      </w:tr>
    </w:tbl>
    <w:p>
      <w:pPr>
        <w:spacing w:line="400" w:lineRule="exact"/>
        <w:ind w:firstLine="308" w:firstLineChars="147"/>
        <w:rPr>
          <w:color w:val="auto"/>
          <w:szCs w:val="21"/>
        </w:rPr>
      </w:pPr>
      <w:r>
        <w:rPr>
          <w:rFonts w:hint="eastAsia"/>
          <w:color w:val="auto"/>
          <w:szCs w:val="21"/>
        </w:rPr>
        <w:t>具体的供货范围、技术规格及技术图纸详见合同附件</w:t>
      </w:r>
      <w:r>
        <w:rPr>
          <w:rFonts w:hint="eastAsia"/>
          <w:color w:val="auto"/>
          <w:szCs w:val="21"/>
          <w:u w:val="single"/>
        </w:rPr>
        <w:t>双方签订的技术协议书</w:t>
      </w:r>
      <w:r>
        <w:rPr>
          <w:rFonts w:hint="eastAsia"/>
          <w:color w:val="auto"/>
          <w:szCs w:val="21"/>
        </w:rPr>
        <w:t>。</w:t>
      </w:r>
    </w:p>
    <w:p>
      <w:pPr>
        <w:spacing w:line="400" w:lineRule="exact"/>
        <w:ind w:firstLine="308" w:firstLineChars="147"/>
        <w:rPr>
          <w:color w:val="auto"/>
          <w:szCs w:val="21"/>
        </w:rPr>
      </w:pPr>
    </w:p>
    <w:p>
      <w:pPr>
        <w:pStyle w:val="78"/>
        <w:numPr>
          <w:ilvl w:val="0"/>
          <w:numId w:val="67"/>
        </w:numPr>
        <w:spacing w:line="400" w:lineRule="exact"/>
        <w:ind w:firstLineChars="0"/>
        <w:rPr>
          <w:rFonts w:hint="default"/>
          <w:color w:val="auto"/>
          <w:szCs w:val="21"/>
        </w:rPr>
      </w:pPr>
      <w:r>
        <w:rPr>
          <w:color w:val="auto"/>
          <w:szCs w:val="21"/>
        </w:rPr>
        <w:t>供方应对本合同项下其承担的全部工作实施有效管理，以确保实施进度符合合同的要求。</w:t>
      </w:r>
    </w:p>
    <w:p>
      <w:pPr>
        <w:pStyle w:val="78"/>
        <w:numPr>
          <w:ilvl w:val="0"/>
          <w:numId w:val="67"/>
        </w:numPr>
        <w:spacing w:line="400" w:lineRule="exact"/>
        <w:ind w:firstLineChars="0"/>
        <w:rPr>
          <w:rFonts w:hint="default" w:ascii="Arial" w:hAnsi="Arial" w:cs="Arial"/>
          <w:color w:val="auto"/>
          <w:szCs w:val="21"/>
        </w:rPr>
      </w:pPr>
      <w:r>
        <w:rPr>
          <w:color w:val="auto"/>
          <w:szCs w:val="21"/>
        </w:rPr>
        <w:t>货物</w:t>
      </w:r>
      <w:r>
        <w:rPr>
          <w:rFonts w:ascii="Arial" w:hAnsi="Arial" w:cs="Arial"/>
          <w:color w:val="auto"/>
          <w:szCs w:val="21"/>
        </w:rPr>
        <w:t>交付至需方指定安装地点时间为</w:t>
      </w:r>
      <w:r>
        <w:rPr>
          <w:color w:val="auto"/>
          <w:szCs w:val="21"/>
          <w:u w:val="single"/>
        </w:rPr>
        <w:t xml:space="preserve">       年   月   日</w:t>
      </w:r>
      <w:r>
        <w:rPr>
          <w:color w:val="auto"/>
          <w:szCs w:val="21"/>
        </w:rPr>
        <w:t>。</w:t>
      </w:r>
    </w:p>
    <w:p>
      <w:pPr>
        <w:spacing w:before="156" w:beforeLines="50" w:after="156" w:afterLines="50" w:line="400" w:lineRule="exact"/>
        <w:ind w:left="720" w:hanging="720" w:hangingChars="300"/>
        <w:rPr>
          <w:color w:val="auto"/>
          <w:sz w:val="24"/>
        </w:rPr>
      </w:pPr>
      <w:r>
        <w:rPr>
          <w:rFonts w:hint="eastAsia"/>
          <w:color w:val="auto"/>
          <w:sz w:val="24"/>
        </w:rPr>
        <w:t>三、价格</w:t>
      </w:r>
    </w:p>
    <w:p>
      <w:pPr>
        <w:pStyle w:val="78"/>
        <w:numPr>
          <w:ilvl w:val="0"/>
          <w:numId w:val="68"/>
        </w:numPr>
        <w:spacing w:before="156" w:beforeLines="50" w:after="156" w:afterLines="50" w:line="400" w:lineRule="exact"/>
        <w:ind w:firstLineChars="0"/>
        <w:rPr>
          <w:rFonts w:hint="default"/>
          <w:color w:val="auto"/>
          <w:szCs w:val="21"/>
        </w:rPr>
      </w:pPr>
      <w:r>
        <w:rPr>
          <w:color w:val="auto"/>
          <w:szCs w:val="21"/>
        </w:rPr>
        <w:t>合同总价（含税）：</w:t>
      </w:r>
      <w:r>
        <w:rPr>
          <w:color w:val="auto"/>
          <w:szCs w:val="21"/>
          <w:u w:val="single"/>
        </w:rPr>
        <w:t>人民币（大写）                       。</w:t>
      </w:r>
    </w:p>
    <w:p>
      <w:pPr>
        <w:pStyle w:val="78"/>
        <w:numPr>
          <w:ilvl w:val="0"/>
          <w:numId w:val="68"/>
        </w:numPr>
        <w:spacing w:before="156" w:beforeLines="50" w:after="156" w:afterLines="50" w:line="400" w:lineRule="exact"/>
        <w:ind w:firstLineChars="0"/>
        <w:rPr>
          <w:rFonts w:hint="default"/>
          <w:color w:val="auto"/>
          <w:szCs w:val="21"/>
        </w:rPr>
      </w:pPr>
      <w:r>
        <w:rPr>
          <w:color w:val="auto"/>
          <w:szCs w:val="21"/>
        </w:rPr>
        <w:t>合同总价包括了货物的设计、制造、包装、仓储、运输、卸货放置、保险以及供方进行的安装、调试、试运行、验收、培训、技术服务（包括技术资料、图纸的提供）、质保期保障服务等的全部含税费用。</w:t>
      </w:r>
    </w:p>
    <w:p>
      <w:pPr>
        <w:pStyle w:val="78"/>
        <w:numPr>
          <w:ilvl w:val="0"/>
          <w:numId w:val="68"/>
        </w:numPr>
        <w:spacing w:before="156" w:beforeLines="50" w:after="156" w:afterLines="50" w:line="400" w:lineRule="exact"/>
        <w:ind w:firstLineChars="0"/>
        <w:rPr>
          <w:rFonts w:hint="default"/>
          <w:color w:val="auto"/>
          <w:szCs w:val="21"/>
        </w:rPr>
      </w:pPr>
      <w:r>
        <w:rPr>
          <w:color w:val="auto"/>
          <w:szCs w:val="21"/>
        </w:rPr>
        <w:t>合同总价中包括用户需求书中列明所需的备品备件。</w:t>
      </w:r>
    </w:p>
    <w:p>
      <w:pPr>
        <w:pStyle w:val="78"/>
        <w:numPr>
          <w:ilvl w:val="0"/>
          <w:numId w:val="68"/>
        </w:numPr>
        <w:spacing w:before="156" w:beforeLines="50" w:after="156" w:afterLines="50" w:line="400" w:lineRule="exact"/>
        <w:ind w:firstLineChars="0"/>
        <w:rPr>
          <w:rFonts w:hint="default"/>
          <w:color w:val="auto"/>
          <w:szCs w:val="21"/>
        </w:rPr>
      </w:pPr>
      <w:r>
        <w:rPr>
          <w:color w:val="auto"/>
          <w:szCs w:val="21"/>
        </w:rPr>
        <w:t>本合同价格为固定不变价，供方事后不得以物料、人工等涨价为由要求需方增加支付费用，否则每提出一次，视为供方违约，需方有权拒绝支付，并要求供方支合同总价的5%的违约金。</w:t>
      </w:r>
    </w:p>
    <w:p>
      <w:pPr>
        <w:pStyle w:val="78"/>
        <w:numPr>
          <w:ilvl w:val="0"/>
          <w:numId w:val="68"/>
        </w:numPr>
        <w:spacing w:before="156" w:beforeLines="50" w:after="156" w:afterLines="50" w:line="400" w:lineRule="exact"/>
        <w:ind w:firstLineChars="0"/>
        <w:rPr>
          <w:rFonts w:hint="default"/>
          <w:color w:val="auto"/>
          <w:szCs w:val="21"/>
        </w:rPr>
      </w:pPr>
      <w:r>
        <w:rPr>
          <w:color w:val="auto"/>
          <w:szCs w:val="21"/>
        </w:rPr>
        <w:t>如果单价和数量的乘积与总价不一致时，即实际计算结果超过本合同总价的仍按总价支付，低于合同总价的按实际计算结果支付。</w:t>
      </w:r>
    </w:p>
    <w:p>
      <w:pPr>
        <w:spacing w:before="156" w:beforeLines="50" w:after="156" w:afterLines="50" w:line="400" w:lineRule="exact"/>
        <w:rPr>
          <w:color w:val="auto"/>
          <w:sz w:val="24"/>
        </w:rPr>
      </w:pPr>
      <w:r>
        <w:rPr>
          <w:rFonts w:hint="eastAsia"/>
          <w:color w:val="auto"/>
          <w:sz w:val="24"/>
        </w:rPr>
        <w:t>四、货物产地及标准</w:t>
      </w:r>
    </w:p>
    <w:p>
      <w:pPr>
        <w:pStyle w:val="78"/>
        <w:numPr>
          <w:ilvl w:val="0"/>
          <w:numId w:val="69"/>
        </w:numPr>
        <w:spacing w:before="156" w:beforeLines="50" w:after="156" w:afterLines="50" w:line="400" w:lineRule="exact"/>
        <w:ind w:firstLineChars="0"/>
        <w:rPr>
          <w:rFonts w:hint="default"/>
          <w:color w:val="auto"/>
          <w:szCs w:val="21"/>
        </w:rPr>
      </w:pPr>
      <w:r>
        <w:rPr>
          <w:color w:val="auto"/>
          <w:szCs w:val="21"/>
        </w:rPr>
        <w:t>货物及其零配件、辅件、备品等均为全新的（原装）、未使用过产品。</w:t>
      </w:r>
    </w:p>
    <w:p>
      <w:pPr>
        <w:pStyle w:val="78"/>
        <w:numPr>
          <w:ilvl w:val="0"/>
          <w:numId w:val="69"/>
        </w:numPr>
        <w:spacing w:before="156" w:beforeLines="50" w:after="156" w:afterLines="50" w:line="400" w:lineRule="exact"/>
        <w:ind w:firstLineChars="0"/>
        <w:rPr>
          <w:rFonts w:hint="default"/>
          <w:color w:val="auto"/>
          <w:szCs w:val="21"/>
        </w:rPr>
      </w:pPr>
      <w:r>
        <w:rPr>
          <w:color w:val="auto"/>
          <w:szCs w:val="21"/>
        </w:rPr>
        <w:t>标准。</w:t>
      </w:r>
    </w:p>
    <w:p>
      <w:pPr>
        <w:spacing w:before="156" w:beforeLines="50" w:after="156" w:afterLines="50" w:line="400" w:lineRule="exact"/>
        <w:ind w:left="210" w:leftChars="100" w:firstLine="420" w:firstLineChars="200"/>
        <w:rPr>
          <w:color w:val="auto"/>
          <w:szCs w:val="21"/>
        </w:rPr>
      </w:pPr>
      <w:r>
        <w:rPr>
          <w:rFonts w:hint="eastAsia"/>
          <w:color w:val="auto"/>
          <w:szCs w:val="21"/>
        </w:rPr>
        <w:t>本合同所指的货物及服务应符合合同附件的技术规格所述的标准：如果没有提及适用标准，则应符合中华人民共和国国家标准或行业标准；如果中华人民共和国没有相关标准的，则采用货物来源国适用的官方标准。这些标准必须是有关机构发布的最新版本的标准。同时，上述货物和服务必须具有合法的来源途径，质量和技术全部合格并无任何瑕疵、缺陷和安全隐患，也不侵犯任何第三方的专利、商标、版权等其他知识产权和合法权益，确保需方不会因为购买、使用供方产品而遭受任何损失、处罚或追索。否则，需方有权要求供方予以更换并给予补偿，如更换后仍不能解决前述问题或供方拒绝更换和补偿的，需方有权解除本合同要求退货，供方应当全部退还已收需方的合同款项。</w:t>
      </w:r>
    </w:p>
    <w:p>
      <w:pPr>
        <w:spacing w:before="156" w:beforeLines="50" w:after="156" w:afterLines="50" w:line="400" w:lineRule="exact"/>
        <w:rPr>
          <w:color w:val="auto"/>
          <w:sz w:val="24"/>
        </w:rPr>
      </w:pPr>
      <w:r>
        <w:rPr>
          <w:rFonts w:hint="eastAsia"/>
          <w:color w:val="auto"/>
          <w:sz w:val="24"/>
        </w:rPr>
        <w:t>五、到货、安装的时间、地点</w:t>
      </w:r>
    </w:p>
    <w:p>
      <w:pPr>
        <w:pStyle w:val="78"/>
        <w:numPr>
          <w:ilvl w:val="0"/>
          <w:numId w:val="70"/>
        </w:numPr>
        <w:spacing w:before="156" w:beforeLines="50" w:after="156" w:afterLines="50" w:line="400" w:lineRule="exact"/>
        <w:ind w:firstLineChars="0"/>
        <w:rPr>
          <w:rFonts w:hint="default"/>
          <w:color w:val="auto"/>
          <w:szCs w:val="21"/>
          <w:u w:val="single"/>
        </w:rPr>
      </w:pPr>
      <w:r>
        <w:rPr>
          <w:color w:val="auto"/>
          <w:szCs w:val="21"/>
        </w:rPr>
        <w:t>到货及安装地点：</w:t>
      </w:r>
      <w:r>
        <w:rPr>
          <w:b/>
          <w:color w:val="auto"/>
          <w:szCs w:val="21"/>
          <w:u w:val="single"/>
        </w:rPr>
        <w:t>签订合同后</w:t>
      </w:r>
      <w:r>
        <w:rPr>
          <w:rFonts w:hint="default"/>
          <w:b/>
          <w:color w:val="auto"/>
          <w:szCs w:val="21"/>
          <w:u w:val="single"/>
        </w:rPr>
        <w:t>40</w:t>
      </w:r>
      <w:r>
        <w:rPr>
          <w:b/>
          <w:color w:val="auto"/>
          <w:szCs w:val="21"/>
          <w:u w:val="single"/>
        </w:rPr>
        <w:t>天内到货，地点为：</w:t>
      </w:r>
      <w:r>
        <w:rPr>
          <w:rFonts w:cs="宋体"/>
          <w:b/>
          <w:color w:val="auto"/>
          <w:u w:val="single"/>
        </w:rPr>
        <w:t>广州市增城区朱村街朱村大道西</w:t>
      </w:r>
      <w:r>
        <w:rPr>
          <w:rFonts w:hint="default" w:cs="宋体"/>
          <w:b/>
          <w:color w:val="auto"/>
          <w:u w:val="single"/>
        </w:rPr>
        <w:t>78</w:t>
      </w:r>
      <w:r>
        <w:rPr>
          <w:rFonts w:cs="宋体"/>
          <w:b/>
          <w:color w:val="auto"/>
          <w:u w:val="single"/>
        </w:rPr>
        <w:t>号</w:t>
      </w:r>
      <w:r>
        <w:rPr>
          <w:rFonts w:hint="default" w:cs="宋体"/>
          <w:b/>
          <w:color w:val="auto"/>
          <w:u w:val="single"/>
        </w:rPr>
        <w:t>9</w:t>
      </w:r>
      <w:r>
        <w:rPr>
          <w:rFonts w:cs="宋体"/>
          <w:b/>
          <w:color w:val="auto"/>
          <w:u w:val="single"/>
        </w:rPr>
        <w:t>号楼</w:t>
      </w:r>
      <w:r>
        <w:rPr>
          <w:rFonts w:hint="default" w:cs="宋体"/>
          <w:b/>
          <w:color w:val="auto"/>
          <w:u w:val="single"/>
        </w:rPr>
        <w:t>702</w:t>
      </w:r>
      <w:r>
        <w:rPr>
          <w:rFonts w:cs="宋体"/>
          <w:b/>
          <w:color w:val="auto"/>
          <w:u w:val="single"/>
        </w:rPr>
        <w:t>房。</w:t>
      </w:r>
    </w:p>
    <w:p>
      <w:pPr>
        <w:pStyle w:val="78"/>
        <w:numPr>
          <w:ilvl w:val="0"/>
          <w:numId w:val="70"/>
        </w:numPr>
        <w:spacing w:before="156" w:beforeLines="50" w:after="156" w:afterLines="50" w:line="400" w:lineRule="exact"/>
        <w:ind w:firstLineChars="0"/>
        <w:rPr>
          <w:rFonts w:hint="default"/>
          <w:color w:val="auto"/>
          <w:szCs w:val="21"/>
        </w:rPr>
      </w:pPr>
      <w:r>
        <w:rPr>
          <w:color w:val="auto"/>
          <w:szCs w:val="21"/>
        </w:rPr>
        <w:t>合同生效，需方按合同规定履行付款等义务后，供方应按本合同要求的交付使用时间将货物运至上款指定到货地点卸货、安装，并按规定将到货时间提前通报需方。</w:t>
      </w:r>
    </w:p>
    <w:p>
      <w:pPr>
        <w:spacing w:before="156" w:beforeLines="50" w:after="156" w:afterLines="50" w:line="400" w:lineRule="exact"/>
        <w:rPr>
          <w:color w:val="auto"/>
          <w:sz w:val="24"/>
          <w:szCs w:val="21"/>
        </w:rPr>
      </w:pPr>
      <w:r>
        <w:rPr>
          <w:rFonts w:hint="eastAsia"/>
          <w:color w:val="auto"/>
          <w:sz w:val="24"/>
          <w:szCs w:val="21"/>
        </w:rPr>
        <w:t>六、保密</w:t>
      </w:r>
    </w:p>
    <w:p>
      <w:pPr>
        <w:pStyle w:val="78"/>
        <w:numPr>
          <w:ilvl w:val="0"/>
          <w:numId w:val="71"/>
        </w:numPr>
        <w:spacing w:before="156" w:beforeLines="50" w:after="156" w:afterLines="50" w:line="400" w:lineRule="exact"/>
        <w:ind w:firstLineChars="0"/>
        <w:rPr>
          <w:rFonts w:hint="default"/>
          <w:color w:val="auto"/>
          <w:szCs w:val="21"/>
        </w:rPr>
      </w:pPr>
      <w:r>
        <w:rPr>
          <w:color w:val="auto"/>
          <w:szCs w:val="21"/>
        </w:rPr>
        <w:t>未经需方事先书面同意，供方不得将由需方为本合同提供的条文、规格、计划、图纸、模型、样品或资料提供给与本合同无关的任何第三方，不得将其用于履行本合同之外的其它用途。即使向与履行本合同有关的人员提供，也应注意保密并限于履行合同所必需的范围。</w:t>
      </w:r>
    </w:p>
    <w:p>
      <w:pPr>
        <w:pStyle w:val="78"/>
        <w:numPr>
          <w:ilvl w:val="0"/>
          <w:numId w:val="71"/>
        </w:numPr>
        <w:spacing w:before="156" w:beforeLines="50" w:after="156" w:afterLines="50" w:line="400" w:lineRule="exact"/>
        <w:ind w:firstLineChars="0"/>
        <w:rPr>
          <w:rFonts w:hint="default"/>
          <w:color w:val="auto"/>
          <w:szCs w:val="21"/>
        </w:rPr>
      </w:pPr>
      <w:r>
        <w:rPr>
          <w:color w:val="auto"/>
          <w:szCs w:val="21"/>
        </w:rPr>
        <w:t>除了合同本身之外，上款所列举的任何物件均是需方的财产。如果需方有要求，供方在完成合同后应将这些物件及全部复制件还给需方。</w:t>
      </w:r>
    </w:p>
    <w:p>
      <w:pPr>
        <w:spacing w:before="156" w:beforeLines="50" w:after="156" w:afterLines="50" w:line="400" w:lineRule="exact"/>
        <w:rPr>
          <w:color w:val="auto"/>
          <w:sz w:val="24"/>
        </w:rPr>
      </w:pPr>
      <w:r>
        <w:rPr>
          <w:rFonts w:hint="eastAsia"/>
          <w:color w:val="auto"/>
          <w:sz w:val="24"/>
        </w:rPr>
        <w:t>七、技术文件</w:t>
      </w:r>
    </w:p>
    <w:p>
      <w:pPr>
        <w:pStyle w:val="78"/>
        <w:numPr>
          <w:ilvl w:val="0"/>
          <w:numId w:val="72"/>
        </w:numPr>
        <w:spacing w:before="156" w:beforeLines="50" w:after="156" w:afterLines="50" w:line="400" w:lineRule="exact"/>
        <w:ind w:firstLineChars="0"/>
        <w:rPr>
          <w:rFonts w:hint="default"/>
          <w:color w:val="auto"/>
          <w:szCs w:val="21"/>
        </w:rPr>
      </w:pPr>
      <w:r>
        <w:rPr>
          <w:color w:val="auto"/>
          <w:szCs w:val="21"/>
        </w:rPr>
        <w:t>供方应在供货同时向需方提供所有有关本合同执行的技术文件。如果项目必需但又未作规定的要供方才能提供的技术文件，供方也应及时向需方提供。技术文件可以使手册、图纸或其他形式的文件资料。</w:t>
      </w:r>
    </w:p>
    <w:p>
      <w:pPr>
        <w:pStyle w:val="78"/>
        <w:numPr>
          <w:ilvl w:val="0"/>
          <w:numId w:val="72"/>
        </w:numPr>
        <w:spacing w:before="156" w:beforeLines="50" w:after="156" w:afterLines="50" w:line="400" w:lineRule="exact"/>
        <w:ind w:firstLineChars="0"/>
        <w:rPr>
          <w:rFonts w:hint="default"/>
          <w:color w:val="auto"/>
          <w:szCs w:val="21"/>
        </w:rPr>
      </w:pPr>
      <w:r>
        <w:rPr>
          <w:color w:val="auto"/>
          <w:szCs w:val="21"/>
        </w:rPr>
        <w:t>上述技术文件应包含保证需方能够正确进行安装、操作、检查、维修、维护、测试、调试、验收和运作的需要的所有内容。</w:t>
      </w:r>
    </w:p>
    <w:p>
      <w:pPr>
        <w:pStyle w:val="78"/>
        <w:numPr>
          <w:ilvl w:val="0"/>
          <w:numId w:val="72"/>
        </w:numPr>
        <w:spacing w:before="156" w:beforeLines="50" w:after="156" w:afterLines="50" w:line="400" w:lineRule="exact"/>
        <w:ind w:firstLineChars="0"/>
        <w:rPr>
          <w:rFonts w:hint="default"/>
          <w:color w:val="auto"/>
          <w:szCs w:val="21"/>
        </w:rPr>
      </w:pPr>
      <w:r>
        <w:rPr>
          <w:color w:val="auto"/>
          <w:szCs w:val="21"/>
        </w:rPr>
        <w:t>需方完全按照技术文件的指导进行的任何安装、操作、检查、维修、维护、测试、调试、验收所引起的系统和/或货物或其部件的损坏由供方承担责任。</w:t>
      </w:r>
    </w:p>
    <w:p>
      <w:pPr>
        <w:pStyle w:val="78"/>
        <w:numPr>
          <w:ilvl w:val="0"/>
          <w:numId w:val="72"/>
        </w:numPr>
        <w:spacing w:before="156" w:beforeLines="50" w:after="156" w:afterLines="50" w:line="400" w:lineRule="exact"/>
        <w:ind w:firstLineChars="0"/>
        <w:rPr>
          <w:rFonts w:hint="default"/>
          <w:color w:val="auto"/>
          <w:szCs w:val="21"/>
        </w:rPr>
      </w:pPr>
      <w:r>
        <w:rPr>
          <w:color w:val="auto"/>
          <w:szCs w:val="21"/>
        </w:rPr>
        <w:t>供方应按照需方的要求提供上述技术文件一式两套给需方。</w:t>
      </w:r>
    </w:p>
    <w:p>
      <w:pPr>
        <w:pStyle w:val="78"/>
        <w:numPr>
          <w:ilvl w:val="0"/>
          <w:numId w:val="72"/>
        </w:numPr>
        <w:spacing w:before="156" w:beforeLines="50" w:after="156" w:afterLines="50" w:line="400" w:lineRule="exact"/>
        <w:ind w:firstLineChars="0"/>
        <w:rPr>
          <w:rFonts w:hint="default"/>
          <w:color w:val="auto"/>
          <w:szCs w:val="21"/>
        </w:rPr>
      </w:pPr>
      <w:r>
        <w:rPr>
          <w:color w:val="auto"/>
          <w:szCs w:val="21"/>
        </w:rPr>
        <w:t>所有供方提供的技术文件的全部费用已包含在合同货物价格中。</w:t>
      </w:r>
    </w:p>
    <w:p>
      <w:pPr>
        <w:pStyle w:val="78"/>
        <w:numPr>
          <w:ilvl w:val="0"/>
          <w:numId w:val="72"/>
        </w:numPr>
        <w:spacing w:before="156" w:beforeLines="50" w:after="156" w:afterLines="50" w:line="400" w:lineRule="exact"/>
        <w:ind w:firstLineChars="0"/>
        <w:rPr>
          <w:rFonts w:hint="default"/>
          <w:color w:val="auto"/>
          <w:szCs w:val="21"/>
        </w:rPr>
      </w:pPr>
      <w:r>
        <w:rPr>
          <w:color w:val="auto"/>
          <w:szCs w:val="21"/>
        </w:rPr>
        <w:t>所有未列明交付时间的供方应提供的技术文件，必须单独包装伴随货物按货物交付时间交付给需方。</w:t>
      </w:r>
    </w:p>
    <w:p>
      <w:pPr>
        <w:pStyle w:val="78"/>
        <w:numPr>
          <w:ilvl w:val="0"/>
          <w:numId w:val="72"/>
        </w:numPr>
        <w:spacing w:before="156" w:beforeLines="50" w:after="156" w:afterLines="50" w:line="400" w:lineRule="exact"/>
        <w:ind w:firstLineChars="0"/>
        <w:rPr>
          <w:rFonts w:hint="default"/>
          <w:color w:val="auto"/>
          <w:szCs w:val="21"/>
        </w:rPr>
      </w:pPr>
      <w:r>
        <w:rPr>
          <w:color w:val="auto"/>
          <w:szCs w:val="21"/>
        </w:rPr>
        <w:t>到货后需方如发现供方未提供有关文件，可以推迟付款，直至供方补齐有关文件。</w:t>
      </w:r>
    </w:p>
    <w:p>
      <w:pPr>
        <w:spacing w:before="156" w:beforeLines="50" w:after="156" w:afterLines="50" w:line="400" w:lineRule="exact"/>
        <w:rPr>
          <w:color w:val="auto"/>
          <w:sz w:val="24"/>
        </w:rPr>
      </w:pPr>
      <w:r>
        <w:rPr>
          <w:rFonts w:hint="eastAsia"/>
          <w:color w:val="auto"/>
          <w:sz w:val="24"/>
        </w:rPr>
        <w:t>八、知识产权</w:t>
      </w:r>
    </w:p>
    <w:p>
      <w:pPr>
        <w:pStyle w:val="78"/>
        <w:numPr>
          <w:ilvl w:val="0"/>
          <w:numId w:val="73"/>
        </w:numPr>
        <w:spacing w:before="156" w:beforeLines="50" w:after="156" w:afterLines="50" w:line="400" w:lineRule="exact"/>
        <w:ind w:firstLineChars="0"/>
        <w:rPr>
          <w:rFonts w:hint="default"/>
          <w:color w:val="auto"/>
          <w:szCs w:val="21"/>
        </w:rPr>
      </w:pPr>
      <w:r>
        <w:rPr>
          <w:color w:val="auto"/>
          <w:szCs w:val="21"/>
        </w:rPr>
        <w:t>供方应保证，需方在中华人民共和国只用该货物或货物的任何一部分时，免受第三方提出的侵犯其专利权、商标权、计算机软件著作权或其他知识产权的起诉、追索。如发生此类纠纷，由供方承担一切责任和损失，包括但不限于律师费、诉讼费等相关维权费用。</w:t>
      </w:r>
    </w:p>
    <w:p>
      <w:pPr>
        <w:pStyle w:val="78"/>
        <w:numPr>
          <w:ilvl w:val="0"/>
          <w:numId w:val="73"/>
        </w:numPr>
        <w:spacing w:before="156" w:beforeLines="50" w:after="156" w:afterLines="50" w:line="400" w:lineRule="exact"/>
        <w:ind w:firstLineChars="0"/>
        <w:rPr>
          <w:rFonts w:hint="default"/>
          <w:color w:val="auto"/>
          <w:szCs w:val="21"/>
        </w:rPr>
      </w:pPr>
      <w:r>
        <w:rPr>
          <w:color w:val="auto"/>
          <w:szCs w:val="21"/>
        </w:rPr>
        <w:t>供方为执行本合同而提供的技术资料、软件的使用权归需方所有，如供方是根据需方的要求而单独开发的技术、软件等作品，以及需方在本合同项下产品的基础上后续开发的产品，其知识产权归需方所有。</w:t>
      </w:r>
    </w:p>
    <w:p>
      <w:pPr>
        <w:spacing w:before="156" w:beforeLines="50" w:after="156" w:afterLines="50" w:line="400" w:lineRule="exact"/>
        <w:rPr>
          <w:color w:val="auto"/>
          <w:sz w:val="24"/>
        </w:rPr>
      </w:pPr>
      <w:r>
        <w:rPr>
          <w:rFonts w:hint="eastAsia"/>
          <w:color w:val="auto"/>
          <w:sz w:val="24"/>
        </w:rPr>
        <w:t>九、包装、装卸和运输</w:t>
      </w:r>
    </w:p>
    <w:p>
      <w:pPr>
        <w:pStyle w:val="78"/>
        <w:numPr>
          <w:ilvl w:val="0"/>
          <w:numId w:val="74"/>
        </w:numPr>
        <w:spacing w:before="156" w:beforeLines="50" w:after="156" w:afterLines="50" w:line="400" w:lineRule="exact"/>
        <w:ind w:firstLineChars="0"/>
        <w:rPr>
          <w:rFonts w:hint="default"/>
          <w:color w:val="auto"/>
          <w:szCs w:val="21"/>
        </w:rPr>
      </w:pPr>
      <w:r>
        <w:rPr>
          <w:color w:val="auto"/>
          <w:szCs w:val="21"/>
        </w:rPr>
        <w:t>包装必须与运输方式相适应，包装方式的确定及包装费用均由供方负责；由于不适当的包装而造成货物的运输过程中有任何损坏、丢失由供方负责。</w:t>
      </w:r>
    </w:p>
    <w:p>
      <w:pPr>
        <w:pStyle w:val="78"/>
        <w:numPr>
          <w:ilvl w:val="0"/>
          <w:numId w:val="74"/>
        </w:numPr>
        <w:spacing w:before="156" w:beforeLines="50" w:after="156" w:afterLines="50" w:line="400" w:lineRule="exact"/>
        <w:ind w:firstLineChars="0"/>
        <w:rPr>
          <w:rFonts w:hint="default"/>
          <w:color w:val="auto"/>
          <w:szCs w:val="21"/>
        </w:rPr>
      </w:pPr>
      <w:r>
        <w:rPr>
          <w:color w:val="auto"/>
          <w:szCs w:val="21"/>
        </w:rPr>
        <w:t>包装应足以承受整个过程中的运输、转运、装卸、储存等，充分考虑到运输途中的各种情况（如暴露于恶劣气候等）和广州地区的气候特点，以及露天存放的需要。</w:t>
      </w:r>
    </w:p>
    <w:p>
      <w:pPr>
        <w:pStyle w:val="78"/>
        <w:numPr>
          <w:ilvl w:val="0"/>
          <w:numId w:val="74"/>
        </w:numPr>
        <w:spacing w:before="156" w:beforeLines="50" w:after="156" w:afterLines="50" w:line="400" w:lineRule="exact"/>
        <w:ind w:firstLineChars="0"/>
        <w:rPr>
          <w:rFonts w:hint="default"/>
          <w:color w:val="auto"/>
          <w:szCs w:val="21"/>
        </w:rPr>
      </w:pPr>
      <w:r>
        <w:rPr>
          <w:color w:val="auto"/>
          <w:szCs w:val="21"/>
        </w:rPr>
        <w:t>专用工具及备品备件应分别包装，并在包装箱外加以注明其用处。</w:t>
      </w:r>
    </w:p>
    <w:p>
      <w:pPr>
        <w:pStyle w:val="78"/>
        <w:numPr>
          <w:ilvl w:val="0"/>
          <w:numId w:val="74"/>
        </w:numPr>
        <w:spacing w:before="156" w:beforeLines="50" w:after="156" w:afterLines="50" w:line="400" w:lineRule="exact"/>
        <w:ind w:firstLineChars="0"/>
        <w:rPr>
          <w:rFonts w:hint="default"/>
          <w:color w:val="auto"/>
          <w:szCs w:val="21"/>
        </w:rPr>
      </w:pPr>
      <w:r>
        <w:rPr>
          <w:color w:val="auto"/>
          <w:szCs w:val="21"/>
        </w:rPr>
        <w:t>每一包装箱两个侧面用不褪色的油漆和明显易见的中文字样做出标记。</w:t>
      </w:r>
    </w:p>
    <w:p>
      <w:pPr>
        <w:spacing w:before="156" w:beforeLines="50" w:after="156" w:afterLines="50" w:line="400" w:lineRule="exact"/>
        <w:ind w:left="420"/>
        <w:rPr>
          <w:color w:val="auto"/>
          <w:szCs w:val="21"/>
        </w:rPr>
      </w:pPr>
      <w:r>
        <w:rPr>
          <w:rFonts w:hint="eastAsia"/>
          <w:color w:val="auto"/>
          <w:szCs w:val="21"/>
        </w:rPr>
        <w:t>标记内容包括：箱（件）号、装运标志（唛头）、毛重（kg）、尺码（长x宽x高，用mm表示）、净重（kg）、到货地址、收货人名称、货物名称、合同编号以及“勿近潮湿”、“小心轻放”、“此边向上”等。</w:t>
      </w:r>
    </w:p>
    <w:p>
      <w:pPr>
        <w:pStyle w:val="78"/>
        <w:numPr>
          <w:ilvl w:val="0"/>
          <w:numId w:val="74"/>
        </w:numPr>
        <w:spacing w:before="156" w:beforeLines="50" w:after="156" w:afterLines="50" w:line="400" w:lineRule="exact"/>
        <w:ind w:firstLineChars="0"/>
        <w:rPr>
          <w:rFonts w:hint="default"/>
          <w:color w:val="auto"/>
          <w:szCs w:val="21"/>
        </w:rPr>
      </w:pPr>
      <w:r>
        <w:rPr>
          <w:color w:val="auto"/>
          <w:szCs w:val="21"/>
        </w:rPr>
        <w:t>包装费、运费、卸货费用均已包含在合同价内。</w:t>
      </w:r>
    </w:p>
    <w:p>
      <w:pPr>
        <w:spacing w:before="156" w:beforeLines="50" w:after="156" w:afterLines="50" w:line="400" w:lineRule="exact"/>
        <w:rPr>
          <w:color w:val="auto"/>
          <w:sz w:val="24"/>
        </w:rPr>
      </w:pPr>
      <w:r>
        <w:rPr>
          <w:rFonts w:hint="eastAsia"/>
          <w:color w:val="auto"/>
          <w:sz w:val="24"/>
        </w:rPr>
        <w:t>十、装运单证</w:t>
      </w:r>
    </w:p>
    <w:p>
      <w:pPr>
        <w:spacing w:before="156" w:beforeLines="50" w:after="156" w:afterLines="50" w:line="400" w:lineRule="exact"/>
        <w:ind w:left="315" w:leftChars="150" w:firstLine="315" w:firstLineChars="150"/>
        <w:rPr>
          <w:color w:val="auto"/>
          <w:szCs w:val="21"/>
        </w:rPr>
      </w:pPr>
      <w:r>
        <w:rPr>
          <w:rFonts w:hint="eastAsia"/>
          <w:color w:val="auto"/>
          <w:szCs w:val="21"/>
        </w:rPr>
        <w:t>采用铁路运输、船运或空运的以下单证原件在到货同时交给需方，其单证副本（或复印件）则应在到货前三天交给需方。</w:t>
      </w:r>
    </w:p>
    <w:p>
      <w:pPr>
        <w:pStyle w:val="78"/>
        <w:numPr>
          <w:ilvl w:val="0"/>
          <w:numId w:val="75"/>
        </w:numPr>
        <w:spacing w:before="156" w:beforeLines="50" w:after="156" w:afterLines="50" w:line="400" w:lineRule="exact"/>
        <w:ind w:firstLineChars="0"/>
        <w:rPr>
          <w:rFonts w:hint="default"/>
          <w:color w:val="auto"/>
          <w:szCs w:val="21"/>
        </w:rPr>
      </w:pPr>
      <w:r>
        <w:rPr>
          <w:color w:val="auto"/>
          <w:szCs w:val="21"/>
        </w:rPr>
        <w:t>装箱单一式三份，注明合同号、装运标志、货物内容、每件包装尺码及重量。</w:t>
      </w:r>
    </w:p>
    <w:p>
      <w:pPr>
        <w:pStyle w:val="78"/>
        <w:numPr>
          <w:ilvl w:val="0"/>
          <w:numId w:val="75"/>
        </w:numPr>
        <w:spacing w:before="156" w:beforeLines="50" w:after="156" w:afterLines="50" w:line="400" w:lineRule="exact"/>
        <w:ind w:firstLineChars="0"/>
        <w:rPr>
          <w:rFonts w:hint="default"/>
          <w:color w:val="auto"/>
          <w:szCs w:val="21"/>
        </w:rPr>
      </w:pPr>
      <w:r>
        <w:rPr>
          <w:color w:val="auto"/>
          <w:szCs w:val="21"/>
        </w:rPr>
        <w:t>制造厂出具的出厂质量及数量检验证明书各一式一份。</w:t>
      </w:r>
    </w:p>
    <w:p>
      <w:pPr>
        <w:spacing w:before="156" w:beforeLines="50" w:after="156" w:afterLines="50" w:line="400" w:lineRule="exact"/>
        <w:rPr>
          <w:color w:val="auto"/>
          <w:sz w:val="24"/>
        </w:rPr>
      </w:pPr>
      <w:r>
        <w:rPr>
          <w:rFonts w:hint="eastAsia"/>
          <w:color w:val="auto"/>
          <w:sz w:val="24"/>
        </w:rPr>
        <w:t>十一、付款</w:t>
      </w:r>
    </w:p>
    <w:p>
      <w:pPr>
        <w:pStyle w:val="78"/>
        <w:numPr>
          <w:ilvl w:val="0"/>
          <w:numId w:val="0"/>
        </w:numPr>
        <w:spacing w:before="156" w:beforeLines="50" w:after="156" w:afterLines="50" w:line="400" w:lineRule="exact"/>
        <w:ind w:firstLineChars="200"/>
        <w:rPr>
          <w:rFonts w:hint="eastAsia" w:ascii="Calibri" w:hAnsi="Calibri" w:cs="Times New Roman"/>
          <w:color w:val="auto"/>
          <w:sz w:val="21"/>
          <w:szCs w:val="21"/>
        </w:rPr>
      </w:pPr>
      <w:r>
        <w:rPr>
          <w:rFonts w:hint="eastAsia" w:ascii="Calibri" w:hAnsi="Calibri" w:cs="Times New Roman"/>
          <w:color w:val="auto"/>
          <w:sz w:val="21"/>
          <w:szCs w:val="21"/>
          <w:lang w:eastAsia="zh-CN"/>
        </w:rPr>
        <w:t>1</w:t>
      </w:r>
      <w:r>
        <w:rPr>
          <w:rFonts w:hint="eastAsia" w:ascii="Calibri" w:hAnsi="Calibri" w:cs="Times New Roman"/>
          <w:color w:val="auto"/>
          <w:sz w:val="21"/>
          <w:szCs w:val="21"/>
        </w:rPr>
        <w:t>、中标人</w:t>
      </w:r>
      <w:r>
        <w:rPr>
          <w:rFonts w:hint="eastAsia" w:ascii="Calibri" w:hAnsi="Calibri" w:cs="Times New Roman"/>
          <w:color w:val="auto"/>
          <w:sz w:val="21"/>
          <w:szCs w:val="21"/>
          <w:lang w:val="en-US" w:eastAsia="zh-CN"/>
        </w:rPr>
        <w:t>须</w:t>
      </w:r>
      <w:r>
        <w:rPr>
          <w:rFonts w:hint="eastAsia" w:ascii="Calibri" w:hAnsi="Calibri" w:cs="Times New Roman"/>
          <w:color w:val="auto"/>
          <w:sz w:val="21"/>
          <w:szCs w:val="21"/>
        </w:rPr>
        <w:t>在</w:t>
      </w:r>
      <w:r>
        <w:rPr>
          <w:rFonts w:hint="eastAsia" w:ascii="Calibri" w:hAnsi="Calibri" w:cs="Times New Roman"/>
          <w:color w:val="auto"/>
          <w:sz w:val="21"/>
          <w:szCs w:val="21"/>
          <w:lang w:val="en-US" w:eastAsia="zh-CN"/>
        </w:rPr>
        <w:t>合同签订后10</w:t>
      </w:r>
      <w:r>
        <w:rPr>
          <w:rFonts w:hint="eastAsia" w:ascii="Calibri" w:hAnsi="Calibri" w:cs="Times New Roman"/>
          <w:color w:val="auto"/>
          <w:sz w:val="21"/>
          <w:szCs w:val="21"/>
        </w:rPr>
        <w:t>日内</w:t>
      </w:r>
      <w:r>
        <w:rPr>
          <w:rFonts w:hint="eastAsia" w:ascii="Calibri" w:hAnsi="Calibri" w:cs="Times New Roman"/>
          <w:color w:val="auto"/>
          <w:sz w:val="21"/>
          <w:szCs w:val="21"/>
          <w:lang w:eastAsia="zh-CN"/>
        </w:rPr>
        <w:t>，</w:t>
      </w:r>
      <w:r>
        <w:rPr>
          <w:rFonts w:hint="eastAsia" w:ascii="Calibri" w:hAnsi="Calibri" w:cs="Times New Roman"/>
          <w:color w:val="auto"/>
          <w:sz w:val="21"/>
          <w:szCs w:val="21"/>
          <w:lang w:val="en-US" w:eastAsia="zh-CN"/>
        </w:rPr>
        <w:t>向采购人提交合同总价</w:t>
      </w:r>
      <w:r>
        <w:rPr>
          <w:rFonts w:hint="eastAsia" w:ascii="Calibri" w:hAnsi="Calibri" w:cs="Times New Roman"/>
          <w:color w:val="auto"/>
          <w:sz w:val="21"/>
          <w:szCs w:val="21"/>
        </w:rPr>
        <w:t>10%的履约</w:t>
      </w:r>
      <w:r>
        <w:rPr>
          <w:rFonts w:hint="eastAsia" w:ascii="Calibri" w:hAnsi="Calibri" w:cs="Times New Roman"/>
          <w:color w:val="auto"/>
          <w:sz w:val="21"/>
          <w:szCs w:val="21"/>
          <w:lang w:val="en-US" w:eastAsia="zh-CN"/>
        </w:rPr>
        <w:t>保函原件，如中标人未能按时提交履约保函原件的，采购人有权解除合同</w:t>
      </w:r>
      <w:r>
        <w:rPr>
          <w:rFonts w:hint="eastAsia" w:ascii="Calibri" w:hAnsi="Calibri" w:cs="Times New Roman"/>
          <w:color w:val="auto"/>
          <w:sz w:val="21"/>
          <w:szCs w:val="21"/>
        </w:rPr>
        <w:t>。</w:t>
      </w:r>
    </w:p>
    <w:p>
      <w:pPr>
        <w:pStyle w:val="78"/>
        <w:numPr>
          <w:ilvl w:val="0"/>
          <w:numId w:val="0"/>
        </w:numPr>
        <w:spacing w:before="156" w:beforeLines="50" w:after="156" w:afterLines="50" w:line="400" w:lineRule="exact"/>
        <w:ind w:firstLineChars="200"/>
        <w:rPr>
          <w:rFonts w:hint="eastAsia" w:ascii="Calibri" w:hAnsi="Calibri" w:eastAsia="宋体" w:cs="Times New Roman"/>
          <w:color w:val="auto"/>
          <w:sz w:val="21"/>
          <w:szCs w:val="21"/>
          <w:lang w:eastAsia="zh-CN"/>
        </w:rPr>
      </w:pPr>
      <w:r>
        <w:rPr>
          <w:rFonts w:hint="eastAsia" w:ascii="Calibri" w:hAnsi="Calibri" w:cs="Times New Roman"/>
          <w:color w:val="auto"/>
          <w:sz w:val="21"/>
          <w:szCs w:val="21"/>
          <w:lang w:eastAsia="zh-CN"/>
        </w:rPr>
        <w:t>2</w:t>
      </w:r>
      <w:r>
        <w:rPr>
          <w:rFonts w:hint="eastAsia" w:ascii="Calibri" w:hAnsi="Calibri" w:cs="Times New Roman"/>
          <w:color w:val="auto"/>
          <w:sz w:val="21"/>
          <w:szCs w:val="21"/>
        </w:rPr>
        <w:t>、</w:t>
      </w:r>
      <w:r>
        <w:rPr>
          <w:rFonts w:hint="eastAsia" w:ascii="Calibri" w:hAnsi="Calibri" w:cs="Times New Roman"/>
          <w:color w:val="auto"/>
          <w:sz w:val="21"/>
          <w:szCs w:val="21"/>
          <w:lang w:val="en-US" w:eastAsia="zh-CN"/>
        </w:rPr>
        <w:t>中标人</w:t>
      </w:r>
      <w:r>
        <w:rPr>
          <w:rFonts w:hint="eastAsia" w:ascii="Calibri" w:hAnsi="Calibri" w:cs="Times New Roman"/>
          <w:color w:val="auto"/>
          <w:sz w:val="21"/>
          <w:szCs w:val="21"/>
        </w:rPr>
        <w:t>将货物送达</w:t>
      </w:r>
      <w:r>
        <w:rPr>
          <w:rFonts w:hint="eastAsia" w:ascii="Calibri" w:hAnsi="Calibri" w:cs="Times New Roman"/>
          <w:color w:val="auto"/>
          <w:sz w:val="21"/>
          <w:szCs w:val="21"/>
          <w:lang w:val="en-US" w:eastAsia="zh-CN"/>
        </w:rPr>
        <w:t>采购人</w:t>
      </w:r>
      <w:r>
        <w:rPr>
          <w:rFonts w:hint="eastAsia" w:ascii="Calibri" w:hAnsi="Calibri" w:cs="Times New Roman"/>
          <w:color w:val="auto"/>
          <w:sz w:val="21"/>
          <w:szCs w:val="21"/>
        </w:rPr>
        <w:t>指定地点，</w:t>
      </w:r>
      <w:r>
        <w:rPr>
          <w:rFonts w:hint="eastAsia" w:ascii="Calibri" w:hAnsi="Calibri" w:cs="Times New Roman"/>
          <w:color w:val="auto"/>
          <w:sz w:val="21"/>
          <w:szCs w:val="21"/>
          <w:lang w:val="en-US" w:eastAsia="zh-CN"/>
        </w:rPr>
        <w:t>在</w:t>
      </w:r>
      <w:r>
        <w:rPr>
          <w:rFonts w:hint="eastAsia" w:ascii="Calibri" w:hAnsi="Calibri" w:cs="Times New Roman"/>
          <w:color w:val="auto"/>
          <w:sz w:val="21"/>
          <w:szCs w:val="21"/>
        </w:rPr>
        <w:t>通过</w:t>
      </w:r>
      <w:r>
        <w:rPr>
          <w:rFonts w:hint="eastAsia" w:ascii="Calibri" w:hAnsi="Calibri" w:cs="Times New Roman"/>
          <w:color w:val="auto"/>
          <w:sz w:val="21"/>
          <w:szCs w:val="21"/>
          <w:lang w:val="en-US" w:eastAsia="zh-CN"/>
        </w:rPr>
        <w:t>采购人</w:t>
      </w:r>
      <w:r>
        <w:rPr>
          <w:rFonts w:hint="eastAsia" w:ascii="Calibri" w:hAnsi="Calibri" w:cs="Times New Roman"/>
          <w:color w:val="auto"/>
          <w:sz w:val="21"/>
          <w:szCs w:val="21"/>
        </w:rPr>
        <w:t>组织的验收合格并经计量部门计量合格后，</w:t>
      </w:r>
      <w:r>
        <w:rPr>
          <w:rFonts w:hint="eastAsia" w:ascii="Calibri" w:hAnsi="Calibri" w:cs="Times New Roman"/>
          <w:color w:val="auto"/>
          <w:sz w:val="21"/>
          <w:szCs w:val="21"/>
          <w:lang w:val="en-US" w:eastAsia="zh-CN"/>
        </w:rPr>
        <w:t>中标人</w:t>
      </w:r>
      <w:r>
        <w:rPr>
          <w:rFonts w:hint="eastAsia" w:ascii="Calibri" w:hAnsi="Calibri" w:cs="Times New Roman"/>
          <w:color w:val="auto"/>
          <w:sz w:val="21"/>
          <w:szCs w:val="21"/>
        </w:rPr>
        <w:t>开具增值税专用发票，</w:t>
      </w:r>
      <w:r>
        <w:rPr>
          <w:rFonts w:hint="eastAsia" w:ascii="Calibri" w:hAnsi="Calibri" w:cs="Times New Roman"/>
          <w:color w:val="auto"/>
          <w:sz w:val="21"/>
          <w:szCs w:val="21"/>
          <w:lang w:val="en-US" w:eastAsia="zh-CN"/>
        </w:rPr>
        <w:t>采购人</w:t>
      </w:r>
      <w:r>
        <w:rPr>
          <w:rFonts w:hint="eastAsia" w:ascii="Calibri" w:hAnsi="Calibri" w:cs="Times New Roman"/>
          <w:color w:val="auto"/>
          <w:sz w:val="21"/>
          <w:szCs w:val="21"/>
        </w:rPr>
        <w:t>支付全部货款。</w:t>
      </w:r>
    </w:p>
    <w:p>
      <w:pPr>
        <w:pStyle w:val="78"/>
        <w:numPr>
          <w:ilvl w:val="-1"/>
          <w:numId w:val="0"/>
        </w:numPr>
        <w:spacing w:before="156" w:beforeLines="50" w:after="156" w:afterLines="50" w:line="400" w:lineRule="exact"/>
        <w:ind w:left="0" w:firstLine="420" w:firstLineChars="200"/>
        <w:rPr>
          <w:rFonts w:hint="eastAsia" w:ascii="Calibri" w:hAnsi="Calibri" w:cs="Times New Roman"/>
          <w:color w:val="auto"/>
          <w:sz w:val="21"/>
          <w:szCs w:val="21"/>
          <w:lang w:val="en-US" w:eastAsia="zh-CN"/>
        </w:rPr>
      </w:pPr>
      <w:r>
        <w:rPr>
          <w:rFonts w:hint="eastAsia" w:ascii="Calibri" w:hAnsi="Calibri" w:cs="Times New Roman"/>
          <w:color w:val="auto"/>
          <w:sz w:val="21"/>
          <w:szCs w:val="21"/>
          <w:lang w:val="en-US" w:eastAsia="zh-CN"/>
        </w:rPr>
        <w:t>3、在验收合格</w:t>
      </w:r>
      <w:r>
        <w:rPr>
          <w:rFonts w:hint="eastAsia" w:ascii="Calibri" w:hAnsi="Calibri" w:cs="Times New Roman"/>
          <w:color w:val="auto"/>
          <w:sz w:val="21"/>
          <w:szCs w:val="21"/>
        </w:rPr>
        <w:t>并经计量部门计量合格</w:t>
      </w:r>
      <w:r>
        <w:rPr>
          <w:rFonts w:hint="eastAsia" w:ascii="Calibri" w:hAnsi="Calibri" w:cs="Times New Roman"/>
          <w:color w:val="auto"/>
          <w:sz w:val="21"/>
          <w:szCs w:val="21"/>
          <w:lang w:val="en-US" w:eastAsia="zh-CN"/>
        </w:rPr>
        <w:t>满36个月且没有遗留问题后，采购人向中标人退还履约保函原件。</w:t>
      </w:r>
    </w:p>
    <w:p>
      <w:pPr>
        <w:pStyle w:val="78"/>
        <w:numPr>
          <w:ilvl w:val="-1"/>
          <w:numId w:val="0"/>
        </w:numPr>
        <w:spacing w:before="156" w:beforeLines="50" w:after="156" w:afterLines="50" w:line="400" w:lineRule="exact"/>
        <w:ind w:left="0" w:firstLine="420" w:firstLineChars="200"/>
        <w:rPr>
          <w:rFonts w:hint="default"/>
          <w:color w:val="auto"/>
        </w:rPr>
      </w:pPr>
      <w:r>
        <w:rPr>
          <w:rFonts w:hint="eastAsia"/>
          <w:color w:val="auto"/>
          <w:szCs w:val="21"/>
          <w:lang w:val="en-US" w:eastAsia="zh-CN"/>
        </w:rPr>
        <w:t>4、</w:t>
      </w:r>
      <w:r>
        <w:rPr>
          <w:color w:val="auto"/>
          <w:szCs w:val="21"/>
        </w:rPr>
        <w:t>付款方式：采用银行汇付（含电汇）等形式。</w:t>
      </w:r>
    </w:p>
    <w:p>
      <w:pPr>
        <w:spacing w:before="156" w:beforeLines="50" w:after="156" w:afterLines="50" w:line="400" w:lineRule="exact"/>
        <w:rPr>
          <w:color w:val="auto"/>
          <w:sz w:val="24"/>
        </w:rPr>
      </w:pPr>
      <w:r>
        <w:rPr>
          <w:rFonts w:hint="eastAsia"/>
          <w:color w:val="auto"/>
          <w:sz w:val="24"/>
        </w:rPr>
        <w:t>十二、产权与风险转移</w:t>
      </w:r>
    </w:p>
    <w:p>
      <w:pPr>
        <w:spacing w:before="156" w:beforeLines="50" w:after="156" w:afterLines="50" w:line="400" w:lineRule="exact"/>
        <w:ind w:firstLine="735" w:firstLineChars="350"/>
        <w:rPr>
          <w:color w:val="auto"/>
          <w:szCs w:val="21"/>
        </w:rPr>
      </w:pPr>
      <w:r>
        <w:rPr>
          <w:rFonts w:hint="eastAsia"/>
          <w:color w:val="auto"/>
          <w:szCs w:val="21"/>
        </w:rPr>
        <w:t>合同标的产权与风险转移遵守如下约定：</w:t>
      </w:r>
    </w:p>
    <w:p>
      <w:pPr>
        <w:numPr>
          <w:ilvl w:val="0"/>
          <w:numId w:val="76"/>
        </w:numPr>
        <w:spacing w:before="156" w:beforeLines="50" w:after="156" w:afterLines="50" w:line="400" w:lineRule="exact"/>
        <w:rPr>
          <w:color w:val="auto"/>
          <w:szCs w:val="21"/>
        </w:rPr>
      </w:pPr>
      <w:r>
        <w:rPr>
          <w:rFonts w:hint="eastAsia"/>
          <w:color w:val="auto"/>
          <w:szCs w:val="21"/>
        </w:rPr>
        <w:t>供方交由承运人运输的在途货物，毁损、灭失的风险由供方承担。</w:t>
      </w:r>
    </w:p>
    <w:p>
      <w:pPr>
        <w:numPr>
          <w:ilvl w:val="0"/>
          <w:numId w:val="76"/>
        </w:numPr>
        <w:spacing w:before="156" w:beforeLines="50" w:after="156" w:afterLines="50" w:line="400" w:lineRule="exact"/>
        <w:rPr>
          <w:color w:val="auto"/>
          <w:szCs w:val="21"/>
        </w:rPr>
      </w:pPr>
      <w:r>
        <w:rPr>
          <w:rFonts w:hint="eastAsia"/>
          <w:color w:val="auto"/>
          <w:szCs w:val="21"/>
        </w:rPr>
        <w:t>货物的产权自交付时起转移至给需方，货物的损坏、灭失的风险，在货物通过验收交付使用时起由供方转移至需方。</w:t>
      </w:r>
    </w:p>
    <w:p>
      <w:pPr>
        <w:numPr>
          <w:ilvl w:val="0"/>
          <w:numId w:val="76"/>
        </w:numPr>
        <w:spacing w:before="156" w:beforeLines="50" w:after="156" w:afterLines="50" w:line="400" w:lineRule="exact"/>
        <w:rPr>
          <w:color w:val="auto"/>
          <w:szCs w:val="21"/>
        </w:rPr>
      </w:pPr>
      <w:r>
        <w:rPr>
          <w:rFonts w:hint="eastAsia"/>
          <w:color w:val="auto"/>
          <w:szCs w:val="21"/>
        </w:rPr>
        <w:t>因货物验收不合格需方拒收，或双方已解除合同，货物毁损、灭失的风险由供方承担。</w:t>
      </w:r>
    </w:p>
    <w:p>
      <w:pPr>
        <w:numPr>
          <w:ilvl w:val="0"/>
          <w:numId w:val="76"/>
        </w:numPr>
        <w:spacing w:before="156" w:beforeLines="50" w:after="156" w:afterLines="50" w:line="400" w:lineRule="exact"/>
        <w:rPr>
          <w:color w:val="auto"/>
          <w:szCs w:val="21"/>
        </w:rPr>
      </w:pPr>
      <w:r>
        <w:rPr>
          <w:rFonts w:hint="eastAsia"/>
          <w:color w:val="auto"/>
          <w:szCs w:val="21"/>
        </w:rPr>
        <w:t>产权和风险的转移，不影响因供方履行义务不符合约定，需方要求其承担违约责任的权力。</w:t>
      </w:r>
    </w:p>
    <w:p>
      <w:pPr>
        <w:spacing w:before="156" w:beforeLines="50" w:after="156" w:afterLines="50" w:line="400" w:lineRule="exact"/>
        <w:rPr>
          <w:color w:val="auto"/>
          <w:sz w:val="24"/>
        </w:rPr>
      </w:pPr>
      <w:r>
        <w:rPr>
          <w:rFonts w:hint="eastAsia"/>
          <w:color w:val="auto"/>
          <w:sz w:val="24"/>
        </w:rPr>
        <w:t>十三、保险</w:t>
      </w:r>
    </w:p>
    <w:p>
      <w:pPr>
        <w:spacing w:before="156" w:beforeLines="50" w:after="156" w:afterLines="50" w:line="400" w:lineRule="exact"/>
        <w:ind w:left="359" w:leftChars="171" w:firstLine="420" w:firstLineChars="200"/>
        <w:rPr>
          <w:color w:val="auto"/>
          <w:szCs w:val="21"/>
        </w:rPr>
      </w:pPr>
      <w:r>
        <w:rPr>
          <w:rFonts w:hint="eastAsia"/>
          <w:color w:val="auto"/>
          <w:szCs w:val="21"/>
        </w:rPr>
        <w:t>根据本合同关于产权与风险转移条款规定，供方承担货物到达交货地点并安装、验收合格交付使用之前的所有风险。因此，供方应按货物总价的110%价值为货物投保一切险、为派往需方服务的人员投保人身险、为货物交付前有关本项目活动可能涉及的第三方投保相关险种，保险费用均由供方负责。</w:t>
      </w:r>
    </w:p>
    <w:p>
      <w:pPr>
        <w:spacing w:before="156" w:beforeLines="50" w:after="156" w:afterLines="50" w:line="400" w:lineRule="exact"/>
        <w:rPr>
          <w:color w:val="auto"/>
          <w:sz w:val="24"/>
        </w:rPr>
      </w:pPr>
      <w:r>
        <w:rPr>
          <w:rFonts w:hint="eastAsia"/>
          <w:color w:val="auto"/>
          <w:sz w:val="24"/>
        </w:rPr>
        <w:t>十四、检验与测试及验收</w:t>
      </w:r>
    </w:p>
    <w:p>
      <w:pPr>
        <w:numPr>
          <w:ilvl w:val="0"/>
          <w:numId w:val="77"/>
        </w:numPr>
        <w:spacing w:before="156" w:beforeLines="50" w:after="156" w:afterLines="50" w:line="400" w:lineRule="exact"/>
        <w:rPr>
          <w:color w:val="auto"/>
          <w:szCs w:val="21"/>
        </w:rPr>
      </w:pPr>
      <w:r>
        <w:rPr>
          <w:rFonts w:hint="eastAsia"/>
          <w:color w:val="auto"/>
          <w:szCs w:val="21"/>
        </w:rPr>
        <w:t>需方或其代表有权检验和/或测试货物，以确认货物是否符合合同规格的要求，并且不承担额外的费用。合同条款的技术规格将说明需方要求进行的检验和测试，以及在何处进行这些检验和测试。需方将及时以书面形式把进行的检验和/或需方测试代表的身份通知供方。</w:t>
      </w:r>
    </w:p>
    <w:p>
      <w:pPr>
        <w:numPr>
          <w:ilvl w:val="0"/>
          <w:numId w:val="77"/>
        </w:numPr>
        <w:spacing w:before="156" w:beforeLines="50" w:after="156" w:afterLines="50" w:line="400" w:lineRule="exact"/>
        <w:rPr>
          <w:color w:val="auto"/>
          <w:szCs w:val="21"/>
        </w:rPr>
      </w:pPr>
      <w:r>
        <w:rPr>
          <w:rFonts w:hint="eastAsia"/>
          <w:color w:val="auto"/>
          <w:szCs w:val="21"/>
        </w:rPr>
        <w:t>检验和测试可以在供方或其分包人的驻地、交货地和/或货物的最终目的地进行。如果在供方或其分包人的驻地进行，检测人员应能得全部合理的设施和协助，需方不应承担费用。</w:t>
      </w:r>
    </w:p>
    <w:p>
      <w:pPr>
        <w:numPr>
          <w:ilvl w:val="0"/>
          <w:numId w:val="77"/>
        </w:numPr>
        <w:spacing w:before="156" w:beforeLines="50" w:after="156" w:afterLines="50" w:line="400" w:lineRule="exact"/>
        <w:rPr>
          <w:color w:val="auto"/>
          <w:szCs w:val="21"/>
        </w:rPr>
      </w:pPr>
      <w:r>
        <w:rPr>
          <w:rFonts w:hint="eastAsia"/>
          <w:color w:val="auto"/>
          <w:szCs w:val="21"/>
        </w:rPr>
        <w:t>如果任何被检验或测试的货物不能满足规格的要求，需方可以拒绝接受该货物，供方应更换被拒绝的货物，或者免费进行必要的修改以满足规格的要求。</w:t>
      </w:r>
    </w:p>
    <w:p>
      <w:pPr>
        <w:numPr>
          <w:ilvl w:val="0"/>
          <w:numId w:val="77"/>
        </w:numPr>
        <w:spacing w:before="156" w:beforeLines="50" w:after="156" w:afterLines="50" w:line="400" w:lineRule="exact"/>
        <w:rPr>
          <w:color w:val="auto"/>
          <w:szCs w:val="21"/>
        </w:rPr>
      </w:pPr>
      <w:r>
        <w:rPr>
          <w:rFonts w:hint="eastAsia"/>
          <w:color w:val="auto"/>
          <w:szCs w:val="21"/>
        </w:rPr>
        <w:t>需方在货物到达的目的地后对货物进行检验、测试及必要时拒绝接受货物的权力将不会因为货物在供方或其分包人的驻地已通过了需方或其代表的检验、测试和认可而受到限制或放弃。</w:t>
      </w:r>
    </w:p>
    <w:p>
      <w:pPr>
        <w:numPr>
          <w:ilvl w:val="0"/>
          <w:numId w:val="77"/>
        </w:numPr>
        <w:spacing w:before="156" w:beforeLines="50" w:after="156" w:afterLines="50" w:line="400" w:lineRule="exact"/>
        <w:rPr>
          <w:color w:val="auto"/>
          <w:szCs w:val="21"/>
        </w:rPr>
      </w:pPr>
      <w:r>
        <w:rPr>
          <w:rFonts w:hint="eastAsia"/>
          <w:color w:val="auto"/>
          <w:szCs w:val="21"/>
        </w:rPr>
        <w:t>交货时，供方应将制造商对货物的质量、规格、性能、数量和重量等进行详细而全面检验、并出具证明货物符合合同规定的检验证书提交需方。检验证书是付款的文件依据之一，但不能作为有关质量、规格、性能、数量或重量的最终检验。制造商检验的结果和细节应附在质量检验证书后面。</w:t>
      </w:r>
    </w:p>
    <w:p>
      <w:pPr>
        <w:numPr>
          <w:ilvl w:val="0"/>
          <w:numId w:val="77"/>
        </w:numPr>
        <w:spacing w:before="156" w:beforeLines="50" w:after="156" w:afterLines="50" w:line="400" w:lineRule="exact"/>
        <w:rPr>
          <w:color w:val="auto"/>
          <w:szCs w:val="21"/>
        </w:rPr>
      </w:pPr>
      <w:r>
        <w:rPr>
          <w:rFonts w:hint="eastAsia"/>
          <w:color w:val="auto"/>
          <w:szCs w:val="21"/>
        </w:rPr>
        <w:t>如果货物是进口产品，且属于强制检验商品，供方应附上经中国国家商检部门对货物的质量、规格、数量和重量进行检验并合格的检验证书。</w:t>
      </w:r>
    </w:p>
    <w:p>
      <w:pPr>
        <w:numPr>
          <w:ilvl w:val="0"/>
          <w:numId w:val="77"/>
        </w:numPr>
        <w:spacing w:before="156" w:beforeLines="50" w:after="156" w:afterLines="50" w:line="400" w:lineRule="exact"/>
        <w:rPr>
          <w:color w:val="auto"/>
          <w:szCs w:val="21"/>
        </w:rPr>
      </w:pPr>
      <w:r>
        <w:rPr>
          <w:rFonts w:hint="eastAsia"/>
          <w:color w:val="auto"/>
          <w:szCs w:val="21"/>
        </w:rPr>
        <w:t>本“检验与测试”的有关条款不能免除供方在本合同项下的保证义务或其他义务。</w:t>
      </w:r>
    </w:p>
    <w:p>
      <w:pPr>
        <w:numPr>
          <w:ilvl w:val="0"/>
          <w:numId w:val="77"/>
        </w:numPr>
        <w:spacing w:before="156" w:beforeLines="50" w:after="156" w:afterLines="50" w:line="400" w:lineRule="exact"/>
        <w:rPr>
          <w:color w:val="auto"/>
          <w:szCs w:val="21"/>
        </w:rPr>
      </w:pPr>
      <w:r>
        <w:rPr>
          <w:rFonts w:hint="eastAsia"/>
          <w:color w:val="auto"/>
          <w:szCs w:val="21"/>
        </w:rPr>
        <w:t>供方必须在合同签订后两个月内，派专业的安装调试工程师到用户安装现场对振动、磁场、噪音等影响设备正常使用的参数进行测试，如果有问题，需提出合理的整改意见。到货之前，还需再次派专业的安装调试工程师对整改后的安装现场进行测试，这两次均为上门服务，需方不再支付任何费用。</w:t>
      </w:r>
    </w:p>
    <w:p>
      <w:pPr>
        <w:numPr>
          <w:ilvl w:val="0"/>
          <w:numId w:val="77"/>
        </w:numPr>
        <w:spacing w:before="156" w:beforeLines="50" w:after="156" w:afterLines="50" w:line="400" w:lineRule="exact"/>
        <w:rPr>
          <w:color w:val="auto"/>
          <w:szCs w:val="21"/>
        </w:rPr>
      </w:pPr>
      <w:r>
        <w:rPr>
          <w:rFonts w:hint="eastAsia"/>
          <w:color w:val="auto"/>
          <w:szCs w:val="21"/>
        </w:rPr>
        <w:t>安装调试在设备到货后3个工作日内开始进行，并在7个工作日内完成。</w:t>
      </w:r>
    </w:p>
    <w:p>
      <w:pPr>
        <w:numPr>
          <w:ilvl w:val="0"/>
          <w:numId w:val="77"/>
        </w:numPr>
        <w:spacing w:before="156" w:beforeLines="50" w:after="156" w:afterLines="50" w:line="400" w:lineRule="exact"/>
        <w:rPr>
          <w:color w:val="auto"/>
          <w:szCs w:val="21"/>
        </w:rPr>
      </w:pPr>
      <w:r>
        <w:rPr>
          <w:rFonts w:hint="eastAsia"/>
          <w:color w:val="auto"/>
          <w:szCs w:val="21"/>
        </w:rPr>
        <w:t>所有设备均须由供方送货上门并安装调试。需方不再支付任何费用。</w:t>
      </w:r>
    </w:p>
    <w:p>
      <w:pPr>
        <w:spacing w:before="156" w:beforeLines="50" w:after="156" w:afterLines="50" w:line="400" w:lineRule="exact"/>
        <w:rPr>
          <w:color w:val="auto"/>
          <w:sz w:val="24"/>
        </w:rPr>
      </w:pPr>
      <w:r>
        <w:rPr>
          <w:rFonts w:hint="eastAsia"/>
          <w:color w:val="auto"/>
          <w:sz w:val="24"/>
        </w:rPr>
        <w:t>十五、伴随服务</w:t>
      </w:r>
    </w:p>
    <w:p>
      <w:pPr>
        <w:numPr>
          <w:ilvl w:val="0"/>
          <w:numId w:val="78"/>
        </w:numPr>
        <w:spacing w:before="156" w:beforeLines="50" w:after="156" w:afterLines="50" w:line="400" w:lineRule="exact"/>
        <w:rPr>
          <w:color w:val="auto"/>
          <w:szCs w:val="21"/>
        </w:rPr>
      </w:pPr>
      <w:r>
        <w:rPr>
          <w:rFonts w:hint="eastAsia"/>
          <w:color w:val="auto"/>
          <w:szCs w:val="21"/>
        </w:rPr>
        <w:t>安装、调试与试运行</w:t>
      </w:r>
    </w:p>
    <w:p>
      <w:pPr>
        <w:spacing w:before="156" w:beforeLines="50" w:after="156" w:afterLines="50" w:line="400" w:lineRule="exact"/>
        <w:rPr>
          <w:color w:val="auto"/>
          <w:szCs w:val="21"/>
        </w:rPr>
      </w:pPr>
      <w:r>
        <w:rPr>
          <w:rFonts w:hint="eastAsia"/>
          <w:color w:val="auto"/>
          <w:szCs w:val="21"/>
        </w:rPr>
        <w:t>1.1  供方必须向需方提供合同货物安装所需的材料及技术资料以及组装/维修所需工具。</w:t>
      </w:r>
    </w:p>
    <w:p>
      <w:pPr>
        <w:spacing w:before="156" w:beforeLines="50" w:after="156" w:afterLines="50" w:line="400" w:lineRule="exact"/>
        <w:ind w:left="420" w:hanging="420" w:hangingChars="200"/>
        <w:rPr>
          <w:color w:val="auto"/>
          <w:szCs w:val="21"/>
        </w:rPr>
      </w:pPr>
      <w:r>
        <w:rPr>
          <w:rFonts w:hint="eastAsia"/>
          <w:color w:val="auto"/>
          <w:szCs w:val="21"/>
        </w:rPr>
        <w:t>1.2  供方在接到需方要求开始安装的通知后</w:t>
      </w:r>
      <w:r>
        <w:rPr>
          <w:rFonts w:hint="eastAsia"/>
          <w:color w:val="auto"/>
          <w:szCs w:val="21"/>
          <w:u w:val="single"/>
        </w:rPr>
        <w:t>3</w:t>
      </w:r>
      <w:r>
        <w:rPr>
          <w:rFonts w:hint="eastAsia"/>
          <w:color w:val="auto"/>
          <w:szCs w:val="21"/>
        </w:rPr>
        <w:t>个工作日内必须派合适的人员到现场进行安装和调试。</w:t>
      </w:r>
    </w:p>
    <w:p>
      <w:pPr>
        <w:spacing w:before="156" w:beforeLines="50" w:after="156" w:afterLines="50" w:line="400" w:lineRule="exact"/>
        <w:ind w:left="420" w:hanging="420" w:hangingChars="200"/>
        <w:rPr>
          <w:color w:val="auto"/>
          <w:szCs w:val="21"/>
        </w:rPr>
      </w:pPr>
      <w:r>
        <w:rPr>
          <w:rFonts w:hint="eastAsia"/>
          <w:color w:val="auto"/>
          <w:szCs w:val="21"/>
        </w:rPr>
        <w:t>1.3  供方派出的安装人员应具备相关的专业知识、技术水平、相应资质和能力，熟悉本合同所述货物的规格、技术指标及安装工艺，有足够能力安装、调试本合同的货物并使之达到本合同要求；</w:t>
      </w:r>
    </w:p>
    <w:p>
      <w:pPr>
        <w:spacing w:before="156" w:beforeLines="50" w:after="156" w:afterLines="50" w:line="400" w:lineRule="exact"/>
        <w:ind w:left="420" w:hanging="420" w:hangingChars="200"/>
        <w:rPr>
          <w:color w:val="auto"/>
          <w:szCs w:val="21"/>
        </w:rPr>
      </w:pPr>
      <w:r>
        <w:rPr>
          <w:rFonts w:hint="eastAsia"/>
          <w:color w:val="auto"/>
          <w:szCs w:val="21"/>
        </w:rPr>
        <w:t>1.4  供方已对需方现场进行详细考察，完全了解现场的状况及环境要求，并承诺不因上述原因对需方索赔。</w:t>
      </w:r>
    </w:p>
    <w:p>
      <w:pPr>
        <w:spacing w:before="156" w:beforeLines="50" w:after="156" w:afterLines="50" w:line="400" w:lineRule="exact"/>
        <w:ind w:left="420" w:hanging="420" w:hangingChars="200"/>
        <w:rPr>
          <w:color w:val="auto"/>
          <w:szCs w:val="21"/>
        </w:rPr>
      </w:pPr>
      <w:r>
        <w:rPr>
          <w:rFonts w:hint="eastAsia"/>
          <w:color w:val="auto"/>
          <w:szCs w:val="21"/>
        </w:rPr>
        <w:t>1.5  供方人员实施及监督所提供货物的试运行，并在双方商定的一定期限内对所供货物运行、维护实施监督指导，但监督指导并不能免除供方在质量保证期内所承担的义务。</w:t>
      </w:r>
    </w:p>
    <w:p>
      <w:pPr>
        <w:spacing w:before="156" w:beforeLines="50" w:after="156" w:afterLines="50" w:line="400" w:lineRule="exact"/>
        <w:rPr>
          <w:color w:val="auto"/>
          <w:szCs w:val="21"/>
        </w:rPr>
      </w:pPr>
      <w:r>
        <w:rPr>
          <w:rFonts w:hint="eastAsia"/>
          <w:color w:val="auto"/>
          <w:szCs w:val="21"/>
        </w:rPr>
        <w:t>2.  测试与验收（详见技术规格协议书）</w:t>
      </w:r>
    </w:p>
    <w:p>
      <w:pPr>
        <w:spacing w:before="156" w:beforeLines="50" w:after="156" w:afterLines="50" w:line="400" w:lineRule="exact"/>
        <w:ind w:left="420" w:hanging="420" w:hangingChars="200"/>
        <w:rPr>
          <w:color w:val="auto"/>
          <w:szCs w:val="21"/>
        </w:rPr>
      </w:pPr>
      <w:r>
        <w:rPr>
          <w:rFonts w:hint="eastAsia"/>
          <w:color w:val="auto"/>
          <w:szCs w:val="21"/>
        </w:rPr>
        <w:t>2.1  供方必须在测试与验收前，向需方提供按本合同的技术规格、技术规范的要求进行的测试与验收方案。</w:t>
      </w:r>
    </w:p>
    <w:p>
      <w:pPr>
        <w:spacing w:before="156" w:beforeLines="50" w:after="156" w:afterLines="50" w:line="400" w:lineRule="exact"/>
        <w:ind w:left="420" w:hanging="420" w:hangingChars="200"/>
        <w:rPr>
          <w:color w:val="auto"/>
          <w:szCs w:val="21"/>
        </w:rPr>
      </w:pPr>
      <w:r>
        <w:rPr>
          <w:rFonts w:hint="eastAsia"/>
          <w:color w:val="auto"/>
          <w:szCs w:val="21"/>
        </w:rPr>
        <w:t>2.2  供方提供的货物不符合合同的质量要求，致使货物未达到需方要求的设计性能，需方可拒收货物或解除合同。</w:t>
      </w:r>
    </w:p>
    <w:p>
      <w:pPr>
        <w:spacing w:before="156" w:beforeLines="50" w:after="156" w:afterLines="50" w:line="400" w:lineRule="exact"/>
        <w:ind w:left="420" w:hanging="420" w:hangingChars="200"/>
        <w:rPr>
          <w:color w:val="auto"/>
          <w:szCs w:val="21"/>
        </w:rPr>
      </w:pPr>
      <w:r>
        <w:rPr>
          <w:rFonts w:hint="eastAsia"/>
          <w:color w:val="auto"/>
          <w:szCs w:val="21"/>
        </w:rPr>
        <w:t>2.3  测试及验收工作由供方组织，并经第三方国家</w:t>
      </w:r>
      <w:r>
        <w:rPr>
          <w:color w:val="auto"/>
          <w:szCs w:val="21"/>
        </w:rPr>
        <w:t>二级</w:t>
      </w:r>
      <w:r>
        <w:rPr>
          <w:rFonts w:hint="eastAsia"/>
          <w:color w:val="auto"/>
          <w:szCs w:val="21"/>
        </w:rPr>
        <w:t>计量部门计量合格，验收合格后，买卖双方签署验收合格证书。</w:t>
      </w:r>
    </w:p>
    <w:p>
      <w:pPr>
        <w:spacing w:before="156" w:beforeLines="50" w:after="156" w:afterLines="50" w:line="400" w:lineRule="exact"/>
        <w:ind w:left="420" w:hanging="420" w:hangingChars="200"/>
        <w:rPr>
          <w:color w:val="auto"/>
          <w:szCs w:val="21"/>
        </w:rPr>
      </w:pPr>
      <w:r>
        <w:rPr>
          <w:rFonts w:hint="eastAsia"/>
          <w:color w:val="auto"/>
          <w:szCs w:val="21"/>
        </w:rPr>
        <w:t>2.4  如果供方没有按以上要求，按需方安排的时间进行有关工作，需方有权在相应的付款时间段推迟付款，直至供方完成此时间段的工作。</w:t>
      </w:r>
    </w:p>
    <w:p>
      <w:pPr>
        <w:spacing w:before="156" w:beforeLines="50" w:after="156" w:afterLines="50" w:line="400" w:lineRule="exact"/>
        <w:rPr>
          <w:color w:val="auto"/>
          <w:szCs w:val="21"/>
        </w:rPr>
      </w:pPr>
      <w:r>
        <w:rPr>
          <w:rFonts w:hint="eastAsia"/>
          <w:color w:val="auto"/>
          <w:szCs w:val="21"/>
        </w:rPr>
        <w:t>3.  培训</w:t>
      </w:r>
    </w:p>
    <w:p>
      <w:pPr>
        <w:spacing w:before="156" w:beforeLines="50" w:after="156" w:afterLines="50" w:line="400" w:lineRule="exact"/>
        <w:rPr>
          <w:color w:val="auto"/>
          <w:szCs w:val="21"/>
        </w:rPr>
      </w:pPr>
      <w:r>
        <w:rPr>
          <w:rFonts w:hint="eastAsia"/>
          <w:color w:val="auto"/>
          <w:szCs w:val="21"/>
        </w:rPr>
        <w:t>3.1  供方负责提供现场操作、运行、维护、修理的培训方案及必需的培训资料。</w:t>
      </w:r>
    </w:p>
    <w:p>
      <w:pPr>
        <w:spacing w:before="156" w:beforeLines="50" w:after="156" w:afterLines="50" w:line="400" w:lineRule="exact"/>
        <w:rPr>
          <w:color w:val="auto"/>
          <w:szCs w:val="21"/>
        </w:rPr>
      </w:pPr>
      <w:r>
        <w:rPr>
          <w:rFonts w:hint="eastAsia"/>
          <w:color w:val="auto"/>
          <w:szCs w:val="21"/>
        </w:rPr>
        <w:t>3.2  供方负责对需方受训人员进行操作培训、维修培训。</w:t>
      </w:r>
    </w:p>
    <w:p>
      <w:pPr>
        <w:spacing w:before="156" w:beforeLines="50" w:after="156" w:afterLines="50" w:line="400" w:lineRule="exact"/>
        <w:rPr>
          <w:color w:val="auto"/>
          <w:sz w:val="24"/>
        </w:rPr>
      </w:pPr>
      <w:r>
        <w:rPr>
          <w:rFonts w:hint="eastAsia"/>
          <w:color w:val="auto"/>
          <w:sz w:val="24"/>
        </w:rPr>
        <w:t>十六、合同转让与分包</w:t>
      </w:r>
    </w:p>
    <w:p>
      <w:pPr>
        <w:numPr>
          <w:ilvl w:val="0"/>
          <w:numId w:val="79"/>
        </w:numPr>
        <w:spacing w:before="156" w:beforeLines="50" w:after="156" w:afterLines="50" w:line="400" w:lineRule="exact"/>
        <w:rPr>
          <w:color w:val="auto"/>
          <w:szCs w:val="21"/>
        </w:rPr>
      </w:pPr>
      <w:r>
        <w:rPr>
          <w:rFonts w:hint="eastAsia"/>
          <w:color w:val="auto"/>
          <w:szCs w:val="21"/>
        </w:rPr>
        <w:t>本合同供方在任何情况下都不得全部或部分转让其应履行的合同义务。</w:t>
      </w:r>
    </w:p>
    <w:p>
      <w:pPr>
        <w:numPr>
          <w:ilvl w:val="0"/>
          <w:numId w:val="79"/>
        </w:numPr>
        <w:spacing w:before="156" w:beforeLines="50" w:after="156" w:afterLines="50" w:line="400" w:lineRule="exact"/>
        <w:rPr>
          <w:color w:val="auto"/>
          <w:szCs w:val="21"/>
        </w:rPr>
      </w:pPr>
      <w:r>
        <w:rPr>
          <w:rFonts w:hint="eastAsia"/>
          <w:color w:val="auto"/>
          <w:szCs w:val="21"/>
        </w:rPr>
        <w:t>供方拟将本合同的非主体、非关键性工作交由他人完成（分包，或更换分包人的），应事先征得需方同意，并提交证明拟分包人合格的文件，及供方与分包人签订的分包合同予需方，且分包人不得再分包。</w:t>
      </w:r>
    </w:p>
    <w:p>
      <w:pPr>
        <w:numPr>
          <w:ilvl w:val="0"/>
          <w:numId w:val="79"/>
        </w:numPr>
        <w:spacing w:before="156" w:beforeLines="50" w:after="156" w:afterLines="50" w:line="400" w:lineRule="exact"/>
        <w:rPr>
          <w:color w:val="auto"/>
          <w:szCs w:val="21"/>
        </w:rPr>
      </w:pPr>
      <w:r>
        <w:rPr>
          <w:rFonts w:hint="eastAsia"/>
          <w:color w:val="auto"/>
          <w:szCs w:val="21"/>
        </w:rPr>
        <w:t>供方将本合同分包的，其就分包部分向需方负责，分包人就分包部分承担连带责任。</w:t>
      </w:r>
    </w:p>
    <w:p>
      <w:pPr>
        <w:spacing w:before="156" w:beforeLines="50" w:after="156" w:afterLines="50" w:line="400" w:lineRule="exact"/>
        <w:rPr>
          <w:color w:val="auto"/>
          <w:sz w:val="24"/>
        </w:rPr>
      </w:pPr>
      <w:r>
        <w:rPr>
          <w:rFonts w:hint="eastAsia"/>
          <w:color w:val="auto"/>
          <w:sz w:val="24"/>
        </w:rPr>
        <w:t>十七、质量保证及售后服务</w:t>
      </w:r>
    </w:p>
    <w:p>
      <w:pPr>
        <w:numPr>
          <w:ilvl w:val="0"/>
          <w:numId w:val="80"/>
        </w:numPr>
        <w:spacing w:before="156" w:beforeLines="50" w:after="156" w:afterLines="50" w:line="400" w:lineRule="exact"/>
        <w:rPr>
          <w:color w:val="auto"/>
          <w:szCs w:val="21"/>
        </w:rPr>
      </w:pPr>
      <w:r>
        <w:rPr>
          <w:rFonts w:hint="eastAsia"/>
          <w:color w:val="auto"/>
          <w:szCs w:val="21"/>
        </w:rPr>
        <w:t>质量保证</w:t>
      </w:r>
    </w:p>
    <w:p>
      <w:pPr>
        <w:numPr>
          <w:ilvl w:val="1"/>
          <w:numId w:val="80"/>
        </w:numPr>
        <w:spacing w:before="156" w:beforeLines="50" w:after="156" w:afterLines="50" w:line="400" w:lineRule="exact"/>
        <w:rPr>
          <w:color w:val="auto"/>
          <w:szCs w:val="21"/>
        </w:rPr>
      </w:pPr>
      <w:r>
        <w:rPr>
          <w:rFonts w:hint="eastAsia"/>
          <w:color w:val="auto"/>
          <w:szCs w:val="21"/>
        </w:rPr>
        <w:t>供方应保证合同项下所供货物是全新的、未使用过的，是目前的型号。供方进一步保证，合同项下提供的全部货物没有设计、材料或工艺上的瑕疵、缺陷和隐患，或者没有因供方的行为或疏忽而产生的缺陷，这些缺陷是所供货物在我国现行条件下正常使用可能产生的。</w:t>
      </w:r>
    </w:p>
    <w:p>
      <w:pPr>
        <w:numPr>
          <w:ilvl w:val="1"/>
          <w:numId w:val="80"/>
        </w:numPr>
        <w:spacing w:before="156" w:beforeLines="50" w:after="156" w:afterLines="50" w:line="400" w:lineRule="exact"/>
        <w:rPr>
          <w:rFonts w:ascii="Arial" w:hAnsi="Arial" w:cs="Arial"/>
          <w:color w:val="auto"/>
          <w:szCs w:val="21"/>
        </w:rPr>
      </w:pPr>
      <w:r>
        <w:rPr>
          <w:rFonts w:hint="eastAsia"/>
          <w:color w:val="auto"/>
          <w:szCs w:val="21"/>
        </w:rPr>
        <w:t>保修期：</w:t>
      </w:r>
      <w:r>
        <w:rPr>
          <w:rFonts w:hint="eastAsia"/>
          <w:color w:val="auto"/>
          <w:szCs w:val="21"/>
          <w:u w:val="single"/>
        </w:rPr>
        <w:t xml:space="preserve"> 3 </w:t>
      </w:r>
      <w:r>
        <w:rPr>
          <w:rFonts w:hint="eastAsia"/>
          <w:color w:val="auto"/>
          <w:szCs w:val="21"/>
        </w:rPr>
        <w:t>年，保修</w:t>
      </w:r>
      <w:r>
        <w:rPr>
          <w:rFonts w:hint="eastAsia" w:ascii="Arial" w:hAnsi="Arial" w:cs="Arial"/>
          <w:color w:val="auto"/>
          <w:szCs w:val="21"/>
        </w:rPr>
        <w:t>期内的整机保修服务均须由供方提供，保修期自供需双方代表在设备验收单上签字之日起计算。保修费用计入本合同总价。</w:t>
      </w:r>
    </w:p>
    <w:p>
      <w:pPr>
        <w:numPr>
          <w:ilvl w:val="1"/>
          <w:numId w:val="80"/>
        </w:numPr>
        <w:spacing w:before="156" w:beforeLines="50" w:after="156" w:afterLines="50" w:line="400" w:lineRule="exact"/>
        <w:rPr>
          <w:rFonts w:ascii="Arial" w:hAnsi="Arial" w:cs="Arial"/>
          <w:color w:val="auto"/>
          <w:szCs w:val="21"/>
        </w:rPr>
      </w:pPr>
      <w:r>
        <w:rPr>
          <w:rFonts w:hint="eastAsia" w:ascii="Arial" w:hAnsi="Arial" w:cs="Arial"/>
          <w:color w:val="auto"/>
          <w:szCs w:val="21"/>
        </w:rPr>
        <w:t>需方在质量保证期内发现缺陷应尽快通知供方。供方对质保期内的故障维修响应时间为：电话（</w:t>
      </w:r>
      <w:r>
        <w:rPr>
          <w:rFonts w:ascii="Arial" w:hAnsi="Arial" w:cs="Arial"/>
          <w:color w:val="auto"/>
          <w:szCs w:val="21"/>
        </w:rPr>
        <w:t>8</w:t>
      </w:r>
      <w:r>
        <w:rPr>
          <w:rFonts w:hint="eastAsia" w:ascii="Arial" w:hAnsi="Arial" w:cs="Arial"/>
          <w:color w:val="auto"/>
          <w:szCs w:val="21"/>
        </w:rPr>
        <w:t>：</w:t>
      </w:r>
      <w:r>
        <w:rPr>
          <w:rFonts w:ascii="Arial" w:hAnsi="Arial" w:cs="Arial"/>
          <w:color w:val="auto"/>
          <w:szCs w:val="21"/>
        </w:rPr>
        <w:t>30</w:t>
      </w:r>
      <w:r>
        <w:rPr>
          <w:rFonts w:hint="eastAsia" w:ascii="Arial" w:hAnsi="Arial" w:cs="Arial"/>
          <w:color w:val="auto"/>
          <w:szCs w:val="21"/>
        </w:rPr>
        <w:t>～</w:t>
      </w:r>
      <w:r>
        <w:rPr>
          <w:rFonts w:ascii="Arial" w:hAnsi="Arial" w:cs="Arial"/>
          <w:color w:val="auto"/>
          <w:szCs w:val="21"/>
        </w:rPr>
        <w:t>18:00</w:t>
      </w:r>
      <w:r>
        <w:rPr>
          <w:rFonts w:hint="eastAsia" w:ascii="Arial" w:hAnsi="Arial" w:cs="Arial"/>
          <w:color w:val="auto"/>
          <w:szCs w:val="21"/>
        </w:rPr>
        <w:t>期间）为</w:t>
      </w:r>
      <w:r>
        <w:rPr>
          <w:rFonts w:ascii="Arial" w:hAnsi="Arial" w:cs="Arial"/>
          <w:color w:val="auto"/>
          <w:szCs w:val="21"/>
        </w:rPr>
        <w:t>2</w:t>
      </w:r>
      <w:r>
        <w:rPr>
          <w:rFonts w:hint="eastAsia" w:ascii="Arial" w:hAnsi="Arial" w:cs="Arial"/>
          <w:color w:val="auto"/>
          <w:szCs w:val="21"/>
        </w:rPr>
        <w:t>小时。若在电话中无法解决，周一至周五24小时内到达现场进行维护（不可抗拒原因除外），其余期间为48小时。</w:t>
      </w:r>
    </w:p>
    <w:p>
      <w:pPr>
        <w:numPr>
          <w:ilvl w:val="1"/>
          <w:numId w:val="80"/>
        </w:numPr>
        <w:spacing w:before="156" w:beforeLines="50" w:after="156" w:afterLines="50" w:line="400" w:lineRule="exact"/>
        <w:rPr>
          <w:color w:val="auto"/>
          <w:szCs w:val="21"/>
        </w:rPr>
      </w:pPr>
      <w:r>
        <w:rPr>
          <w:rFonts w:hint="eastAsia" w:ascii="Arial" w:hAnsi="Arial" w:cs="Arial"/>
          <w:color w:val="auto"/>
          <w:szCs w:val="21"/>
        </w:rPr>
        <w:t>质量保证期内</w:t>
      </w:r>
      <w:r>
        <w:rPr>
          <w:rFonts w:hint="eastAsia"/>
          <w:color w:val="auto"/>
          <w:szCs w:val="21"/>
        </w:rPr>
        <w:t>如果设备故障在检修</w:t>
      </w:r>
      <w:r>
        <w:rPr>
          <w:color w:val="auto"/>
          <w:szCs w:val="21"/>
        </w:rPr>
        <w:t xml:space="preserve">120 </w:t>
      </w:r>
      <w:r>
        <w:rPr>
          <w:rFonts w:hint="eastAsia"/>
          <w:color w:val="auto"/>
          <w:szCs w:val="21"/>
        </w:rPr>
        <w:t>小时后仍无法排除，供方应在</w:t>
      </w:r>
      <w:r>
        <w:rPr>
          <w:color w:val="auto"/>
          <w:szCs w:val="21"/>
        </w:rPr>
        <w:t xml:space="preserve"> 72 </w:t>
      </w:r>
      <w:r>
        <w:rPr>
          <w:rFonts w:hint="eastAsia"/>
          <w:color w:val="auto"/>
          <w:szCs w:val="21"/>
        </w:rPr>
        <w:t>小时内提供不低于故障设备规格型号档次的备用设备供需方使用，直至故障设备修复。</w:t>
      </w:r>
    </w:p>
    <w:p>
      <w:pPr>
        <w:numPr>
          <w:ilvl w:val="1"/>
          <w:numId w:val="80"/>
        </w:numPr>
        <w:spacing w:before="156" w:beforeLines="50" w:after="156" w:afterLines="50" w:line="400" w:lineRule="exact"/>
        <w:rPr>
          <w:color w:val="auto"/>
          <w:szCs w:val="21"/>
        </w:rPr>
      </w:pPr>
      <w:r>
        <w:rPr>
          <w:rFonts w:hint="eastAsia"/>
          <w:color w:val="auto"/>
          <w:szCs w:val="21"/>
        </w:rPr>
        <w:t>所有设备保修服务方式均为免费上门保修，即由供方派员到需方设备使用现场维修。由此产生的一切费用均由供方承担。</w:t>
      </w:r>
    </w:p>
    <w:p>
      <w:pPr>
        <w:numPr>
          <w:ilvl w:val="0"/>
          <w:numId w:val="80"/>
        </w:numPr>
        <w:spacing w:before="156" w:beforeLines="50" w:after="156" w:afterLines="50" w:line="400" w:lineRule="exact"/>
        <w:rPr>
          <w:color w:val="auto"/>
          <w:szCs w:val="21"/>
        </w:rPr>
      </w:pPr>
      <w:r>
        <w:rPr>
          <w:rFonts w:hint="eastAsia"/>
          <w:color w:val="auto"/>
          <w:szCs w:val="21"/>
        </w:rPr>
        <w:t>质量保证期后服务</w:t>
      </w:r>
    </w:p>
    <w:p>
      <w:pPr>
        <w:numPr>
          <w:ilvl w:val="1"/>
          <w:numId w:val="81"/>
        </w:numPr>
        <w:spacing w:before="156" w:beforeLines="50" w:after="156" w:afterLines="50" w:line="400" w:lineRule="exact"/>
        <w:rPr>
          <w:color w:val="auto"/>
          <w:szCs w:val="21"/>
        </w:rPr>
      </w:pPr>
      <w:r>
        <w:rPr>
          <w:rFonts w:hint="eastAsia"/>
          <w:color w:val="auto"/>
          <w:szCs w:val="21"/>
        </w:rPr>
        <w:t>质保期满后，若有零部件出现故障，经权威部门鉴定属于寿命异常问题（明显短于</w:t>
      </w:r>
    </w:p>
    <w:p>
      <w:pPr>
        <w:spacing w:before="156" w:beforeLines="50" w:after="156" w:afterLines="50" w:line="400" w:lineRule="exact"/>
        <w:ind w:firstLine="735" w:firstLineChars="350"/>
        <w:rPr>
          <w:color w:val="auto"/>
          <w:szCs w:val="21"/>
        </w:rPr>
      </w:pPr>
      <w:r>
        <w:rPr>
          <w:rFonts w:hint="eastAsia"/>
          <w:color w:val="auto"/>
          <w:szCs w:val="21"/>
        </w:rPr>
        <w:t>该零部件正常寿命）时，则由供方负责免费更换及维修。</w:t>
      </w:r>
    </w:p>
    <w:p>
      <w:pPr>
        <w:numPr>
          <w:ilvl w:val="1"/>
          <w:numId w:val="81"/>
        </w:numPr>
        <w:spacing w:before="156" w:beforeLines="50" w:after="156" w:afterLines="50" w:line="400" w:lineRule="exact"/>
        <w:rPr>
          <w:color w:val="auto"/>
          <w:szCs w:val="21"/>
        </w:rPr>
      </w:pPr>
      <w:r>
        <w:rPr>
          <w:rFonts w:hint="eastAsia"/>
          <w:color w:val="auto"/>
          <w:szCs w:val="21"/>
        </w:rPr>
        <w:t>质保期满后，应需方要求，供方应（参考当时的市场价格）按优惠价格与需方签订</w:t>
      </w:r>
    </w:p>
    <w:p>
      <w:pPr>
        <w:tabs>
          <w:tab w:val="left" w:pos="360"/>
        </w:tabs>
        <w:spacing w:before="156" w:beforeLines="50" w:after="156" w:afterLines="50" w:line="400" w:lineRule="exact"/>
        <w:ind w:firstLine="630" w:firstLineChars="300"/>
        <w:rPr>
          <w:color w:val="auto"/>
          <w:szCs w:val="21"/>
        </w:rPr>
      </w:pPr>
      <w:r>
        <w:rPr>
          <w:rFonts w:hint="eastAsia"/>
          <w:color w:val="auto"/>
          <w:szCs w:val="21"/>
        </w:rPr>
        <w:t>定期维修保养合同及提供需方所需零配件。</w:t>
      </w:r>
    </w:p>
    <w:p>
      <w:pPr>
        <w:numPr>
          <w:ilvl w:val="1"/>
          <w:numId w:val="81"/>
        </w:numPr>
        <w:spacing w:before="156" w:beforeLines="50" w:after="156" w:afterLines="50" w:line="400" w:lineRule="exact"/>
        <w:rPr>
          <w:color w:val="auto"/>
          <w:szCs w:val="21"/>
        </w:rPr>
      </w:pPr>
      <w:r>
        <w:rPr>
          <w:rFonts w:hint="eastAsia"/>
          <w:color w:val="auto"/>
          <w:szCs w:val="21"/>
        </w:rPr>
        <w:t>在备件停止生产的情况下，供方应事先将要停止生产的计划通知需方，使需方有足</w:t>
      </w:r>
    </w:p>
    <w:p>
      <w:pPr>
        <w:spacing w:before="156" w:beforeLines="50" w:after="156" w:afterLines="50" w:line="400" w:lineRule="exact"/>
        <w:ind w:left="735" w:leftChars="350"/>
        <w:rPr>
          <w:color w:val="auto"/>
          <w:szCs w:val="21"/>
        </w:rPr>
      </w:pPr>
      <w:r>
        <w:rPr>
          <w:rFonts w:hint="eastAsia"/>
          <w:color w:val="auto"/>
          <w:szCs w:val="21"/>
        </w:rPr>
        <w:t>够的时间采购所需备件；在备件停止生产后，供方应免费向需方提供备件的图纸、资料。</w:t>
      </w:r>
    </w:p>
    <w:p>
      <w:pPr>
        <w:spacing w:before="156" w:beforeLines="50" w:after="156" w:afterLines="50" w:line="400" w:lineRule="exact"/>
        <w:rPr>
          <w:color w:val="auto"/>
          <w:sz w:val="24"/>
        </w:rPr>
      </w:pPr>
      <w:r>
        <w:rPr>
          <w:rFonts w:hint="eastAsia"/>
          <w:color w:val="auto"/>
          <w:sz w:val="24"/>
        </w:rPr>
        <w:t>十八、索赔</w:t>
      </w:r>
    </w:p>
    <w:p>
      <w:pPr>
        <w:spacing w:before="156" w:beforeLines="50" w:after="156" w:afterLines="50" w:line="400" w:lineRule="exact"/>
        <w:ind w:left="420" w:leftChars="200" w:firstLine="315" w:firstLineChars="150"/>
        <w:rPr>
          <w:color w:val="auto"/>
          <w:szCs w:val="21"/>
        </w:rPr>
      </w:pPr>
      <w:r>
        <w:rPr>
          <w:rFonts w:hint="eastAsia"/>
          <w:color w:val="auto"/>
          <w:szCs w:val="21"/>
        </w:rPr>
        <w:t>供方对所供货物与合同要求不符负有责任，如经检验证实不符或缺陷存在的，包括潜在的缺陷或使用不合适的材料，需方可根据本合同有关质量保证或检验、安装、调试的规定，在质量保证期内及时提出索赔，供方同意需方选择下述一种或多种结合的方法解决索赔事宜：</w:t>
      </w:r>
    </w:p>
    <w:p>
      <w:pPr>
        <w:numPr>
          <w:ilvl w:val="0"/>
          <w:numId w:val="82"/>
        </w:numPr>
        <w:spacing w:before="156" w:beforeLines="50" w:after="156" w:afterLines="50" w:line="400" w:lineRule="exact"/>
        <w:rPr>
          <w:color w:val="auto"/>
          <w:szCs w:val="21"/>
        </w:rPr>
      </w:pPr>
      <w:r>
        <w:rPr>
          <w:rFonts w:hint="eastAsia"/>
          <w:color w:val="auto"/>
          <w:szCs w:val="21"/>
        </w:rPr>
        <w:t>供方同意需方退货，并将货物被拒收前需方已付的所有款项退还需方，供方承担由此发生的一切损失和费用，包括利息、银行手续费、运费、保险费、检验费、仓储费、装卸费以及为保管、维护和退回被拒收货物所发生的其它必要费用。</w:t>
      </w:r>
    </w:p>
    <w:p>
      <w:pPr>
        <w:numPr>
          <w:ilvl w:val="0"/>
          <w:numId w:val="82"/>
        </w:numPr>
        <w:spacing w:before="156" w:beforeLines="50" w:after="156" w:afterLines="50" w:line="400" w:lineRule="exact"/>
        <w:rPr>
          <w:color w:val="auto"/>
          <w:szCs w:val="21"/>
        </w:rPr>
      </w:pPr>
      <w:r>
        <w:rPr>
          <w:rFonts w:hint="eastAsia"/>
          <w:color w:val="auto"/>
          <w:szCs w:val="21"/>
        </w:rPr>
        <w:t>根据货物的疵劣和受损程度以及需方因此遭受损失的金额，经供需双方商定，降低货物成交价格。</w:t>
      </w:r>
    </w:p>
    <w:p>
      <w:pPr>
        <w:numPr>
          <w:ilvl w:val="0"/>
          <w:numId w:val="82"/>
        </w:numPr>
        <w:spacing w:before="156" w:beforeLines="50" w:after="156" w:afterLines="50" w:line="400" w:lineRule="exact"/>
        <w:rPr>
          <w:color w:val="auto"/>
          <w:szCs w:val="21"/>
        </w:rPr>
      </w:pPr>
      <w:r>
        <w:rPr>
          <w:rFonts w:hint="eastAsia"/>
          <w:color w:val="auto"/>
          <w:szCs w:val="21"/>
        </w:rPr>
        <w:t>用符合合同规定的规格、质量和性能要求的新零件、部件和/或设备来更换有缺陷的部分和/或修补缺陷部分，以使货物达到合同规定的规格、质量和性能，供方承担一切费用和风险并负担需方遭受的一切损失。同时供方相应延长被更换货物的质保期。</w:t>
      </w:r>
    </w:p>
    <w:p>
      <w:pPr>
        <w:numPr>
          <w:ilvl w:val="0"/>
          <w:numId w:val="82"/>
        </w:numPr>
        <w:spacing w:before="156" w:beforeLines="50" w:after="156" w:afterLines="50" w:line="400" w:lineRule="exact"/>
        <w:rPr>
          <w:color w:val="auto"/>
          <w:szCs w:val="21"/>
        </w:rPr>
      </w:pPr>
      <w:r>
        <w:rPr>
          <w:rFonts w:hint="eastAsia"/>
          <w:color w:val="auto"/>
          <w:szCs w:val="21"/>
        </w:rPr>
        <w:t>供方收到索赔通知后10天内，未给需方答复的，视为索赔已被供方接受。供方未能在收到索赔通知后10天内，或征得需方同意的延长期限内，按照需方从上列方法中选择的方案解决索赔事宜的，需方将有权从未付货款中扣回索赔金额，同时保留进一步要求索赔的权利。</w:t>
      </w:r>
    </w:p>
    <w:p>
      <w:pPr>
        <w:spacing w:before="156" w:beforeLines="50" w:after="156" w:afterLines="50" w:line="400" w:lineRule="exact"/>
        <w:rPr>
          <w:color w:val="auto"/>
          <w:sz w:val="24"/>
        </w:rPr>
      </w:pPr>
      <w:r>
        <w:rPr>
          <w:rFonts w:hint="eastAsia"/>
          <w:color w:val="auto"/>
          <w:sz w:val="24"/>
        </w:rPr>
        <w:t>十九、不可抗力</w:t>
      </w:r>
    </w:p>
    <w:p>
      <w:pPr>
        <w:numPr>
          <w:ilvl w:val="0"/>
          <w:numId w:val="83"/>
        </w:numPr>
        <w:spacing w:before="156" w:beforeLines="50" w:after="156" w:afterLines="50" w:line="400" w:lineRule="exact"/>
        <w:rPr>
          <w:color w:val="auto"/>
          <w:szCs w:val="21"/>
        </w:rPr>
      </w:pPr>
      <w:r>
        <w:rPr>
          <w:rFonts w:hint="eastAsia"/>
          <w:color w:val="auto"/>
          <w:szCs w:val="21"/>
        </w:rPr>
        <w:t>签约双方的任何一方由于不可抗力事件影响而不能执行合同时，履行合同的期限应予以延长，其延长的期限应相当于事件所影响的时间。不可抗力事件系指供需双方在缔结合同时所不能预见的，并且它的发生及其后果是无法避免和克服的事件，诸如战争、严重水灾、洪水、台风、地震等。</w:t>
      </w:r>
    </w:p>
    <w:p>
      <w:pPr>
        <w:numPr>
          <w:ilvl w:val="0"/>
          <w:numId w:val="83"/>
        </w:numPr>
        <w:spacing w:before="156" w:beforeLines="50" w:after="156" w:afterLines="50" w:line="400" w:lineRule="exact"/>
        <w:rPr>
          <w:color w:val="auto"/>
          <w:szCs w:val="21"/>
        </w:rPr>
      </w:pPr>
      <w:r>
        <w:rPr>
          <w:rFonts w:hint="eastAsia"/>
          <w:color w:val="auto"/>
          <w:szCs w:val="21"/>
        </w:rPr>
        <w:t>受阻一方应在不可抗力事件后，尽快用电报、传真或电传通知对方，并于事件发生后14天内将有关部门出具的证明文件用特快专递或挂号信寄给对方审阅确认。一旦不可抗力事件的影响持续60天以上，双方应通过友好协商在合理的时间内达成进一步履行合同的协议或解除合同。</w:t>
      </w:r>
    </w:p>
    <w:p>
      <w:pPr>
        <w:spacing w:before="156" w:beforeLines="50" w:after="156" w:afterLines="50" w:line="400" w:lineRule="exact"/>
        <w:rPr>
          <w:color w:val="auto"/>
          <w:sz w:val="24"/>
        </w:rPr>
      </w:pPr>
      <w:r>
        <w:rPr>
          <w:rFonts w:hint="eastAsia"/>
          <w:color w:val="auto"/>
          <w:sz w:val="24"/>
        </w:rPr>
        <w:t>二十、逾期交货及逾期付款的赔偿</w:t>
      </w:r>
    </w:p>
    <w:p>
      <w:pPr>
        <w:numPr>
          <w:ilvl w:val="0"/>
          <w:numId w:val="84"/>
        </w:numPr>
        <w:spacing w:before="156" w:beforeLines="50" w:after="156" w:afterLines="50" w:line="400" w:lineRule="exact"/>
        <w:rPr>
          <w:color w:val="auto"/>
        </w:rPr>
      </w:pPr>
      <w:r>
        <w:rPr>
          <w:rFonts w:hint="eastAsia" w:ascii="宋体" w:hAnsi="宋体"/>
          <w:color w:val="auto"/>
          <w:szCs w:val="21"/>
        </w:rPr>
        <w:t>除不可抗力因素外，如果供方不能按照合同规定的时间交货和提供服务，应及时以书面形式将延迟的事实、可能延迟的时间和原因通知需方。需方收到供方通知后，将尽快做出评价，决定是否同意延长交货期及收取误期赔偿费。需方在不影响合同项下的其它补救措施情况下，可从</w:t>
      </w:r>
      <w:r>
        <w:rPr>
          <w:rFonts w:hint="eastAsia" w:ascii="宋体" w:hAnsi="宋体"/>
          <w:color w:val="auto"/>
          <w:szCs w:val="21"/>
          <w:lang w:val="en-US" w:eastAsia="zh-CN"/>
        </w:rPr>
        <w:t>履约保证金</w:t>
      </w:r>
      <w:r>
        <w:rPr>
          <w:rFonts w:hint="eastAsia" w:ascii="宋体" w:hAnsi="宋体"/>
          <w:color w:val="auto"/>
          <w:szCs w:val="21"/>
        </w:rPr>
        <w:t>中扣除误期违约金。违约金按迟交货物交货价的</w:t>
      </w:r>
      <w:r>
        <w:rPr>
          <w:rFonts w:hint="eastAsia" w:ascii="宋体" w:hAnsi="宋体"/>
          <w:color w:val="auto"/>
          <w:szCs w:val="21"/>
          <w:lang w:val="en-US" w:eastAsia="zh-CN"/>
        </w:rPr>
        <w:t>1%</w:t>
      </w:r>
      <w:r>
        <w:rPr>
          <w:rFonts w:hint="eastAsia" w:ascii="宋体" w:hAnsi="宋体"/>
          <w:color w:val="auto"/>
          <w:szCs w:val="21"/>
        </w:rPr>
        <w:t>/天计算，误期期限为</w:t>
      </w:r>
      <w:r>
        <w:rPr>
          <w:rFonts w:hint="eastAsia" w:ascii="宋体" w:hAnsi="宋体"/>
          <w:color w:val="auto"/>
          <w:szCs w:val="21"/>
          <w:lang w:val="en-US" w:eastAsia="zh-CN"/>
        </w:rPr>
        <w:t>1</w:t>
      </w:r>
      <w:r>
        <w:rPr>
          <w:rFonts w:hint="eastAsia" w:ascii="宋体" w:hAnsi="宋体"/>
          <w:color w:val="auto"/>
          <w:szCs w:val="21"/>
        </w:rPr>
        <w:t>0天。一旦达此限期，需方有权解除合同，并要求供方按合同总金额的</w:t>
      </w:r>
      <w:r>
        <w:rPr>
          <w:rFonts w:hint="eastAsia" w:ascii="宋体" w:hAnsi="宋体"/>
          <w:color w:val="auto"/>
          <w:szCs w:val="21"/>
          <w:lang w:val="en-US" w:eastAsia="zh-CN"/>
        </w:rPr>
        <w:t>1</w:t>
      </w:r>
      <w:r>
        <w:rPr>
          <w:rFonts w:hint="eastAsia" w:ascii="宋体" w:hAnsi="宋体"/>
          <w:color w:val="auto"/>
          <w:szCs w:val="21"/>
        </w:rPr>
        <w:t>0%计付违约金。此时如果需方按合同支付了定金的，需方有权要求供方</w:t>
      </w:r>
      <w:r>
        <w:rPr>
          <w:rFonts w:ascii="宋体" w:hAnsi="宋体"/>
          <w:color w:val="auto"/>
          <w:szCs w:val="21"/>
        </w:rPr>
        <w:t>退</w:t>
      </w:r>
      <w:r>
        <w:rPr>
          <w:rFonts w:hint="eastAsia" w:ascii="宋体" w:hAnsi="宋体"/>
          <w:color w:val="auto"/>
          <w:szCs w:val="21"/>
        </w:rPr>
        <w:t>还定金</w:t>
      </w:r>
      <w:r>
        <w:rPr>
          <w:rFonts w:ascii="宋体" w:hAnsi="宋体"/>
          <w:color w:val="auto"/>
          <w:szCs w:val="21"/>
        </w:rPr>
        <w:t>。</w:t>
      </w:r>
      <w:r>
        <w:rPr>
          <w:rFonts w:hint="eastAsia" w:ascii="宋体" w:hAnsi="宋体"/>
          <w:color w:val="auto"/>
          <w:szCs w:val="21"/>
        </w:rPr>
        <w:t>如按上述办法计算的违约金乃不足以补偿因供方违约造成的损失，需方有权进一步向供方提出索赔。</w:t>
      </w:r>
    </w:p>
    <w:p>
      <w:pPr>
        <w:numPr>
          <w:ilvl w:val="0"/>
          <w:numId w:val="84"/>
        </w:numPr>
        <w:spacing w:before="156" w:beforeLines="50" w:after="156" w:afterLines="50" w:line="400" w:lineRule="exact"/>
        <w:rPr>
          <w:rFonts w:ascii="宋体" w:hAnsi="宋体"/>
          <w:color w:val="auto"/>
          <w:szCs w:val="21"/>
        </w:rPr>
      </w:pPr>
      <w:r>
        <w:rPr>
          <w:rFonts w:hint="eastAsia" w:ascii="宋体" w:hAnsi="宋体"/>
          <w:color w:val="auto"/>
          <w:szCs w:val="21"/>
        </w:rPr>
        <w:t>本合同中对于需方付款和供方交付使用有先决条件约定的，按约定执行。</w:t>
      </w:r>
    </w:p>
    <w:p>
      <w:pPr>
        <w:spacing w:before="156" w:beforeLines="50" w:after="156" w:afterLines="50" w:line="400" w:lineRule="exact"/>
        <w:rPr>
          <w:rFonts w:ascii="宋体" w:hAnsi="宋体"/>
          <w:color w:val="auto"/>
          <w:sz w:val="24"/>
        </w:rPr>
      </w:pPr>
      <w:r>
        <w:rPr>
          <w:rFonts w:hint="eastAsia" w:ascii="宋体" w:hAnsi="宋体"/>
          <w:color w:val="auto"/>
          <w:sz w:val="24"/>
        </w:rPr>
        <w:t>二十一、合同变更</w:t>
      </w:r>
    </w:p>
    <w:p>
      <w:pPr>
        <w:numPr>
          <w:ilvl w:val="0"/>
          <w:numId w:val="85"/>
        </w:numPr>
        <w:spacing w:before="156" w:beforeLines="50" w:after="156" w:afterLines="50" w:line="400" w:lineRule="exact"/>
        <w:rPr>
          <w:rFonts w:ascii="宋体" w:hAnsi="宋体"/>
          <w:color w:val="auto"/>
          <w:szCs w:val="21"/>
        </w:rPr>
      </w:pPr>
      <w:r>
        <w:rPr>
          <w:rFonts w:hint="eastAsia" w:ascii="宋体" w:hAnsi="宋体"/>
          <w:color w:val="auto"/>
          <w:szCs w:val="21"/>
        </w:rPr>
        <w:t>需方根据现场实际或施工情况，发现合同原计划或方案不尽合理，确实需变更原合同约定的货物的，应及时通知需方，并提出变更理由、修正方案、及变更清单，经双方协商并签署有关文件作为合同附件后实施。</w:t>
      </w:r>
    </w:p>
    <w:p>
      <w:pPr>
        <w:numPr>
          <w:ilvl w:val="0"/>
          <w:numId w:val="85"/>
        </w:numPr>
        <w:spacing w:before="156" w:beforeLines="50" w:after="156" w:afterLines="50" w:line="400" w:lineRule="exact"/>
        <w:rPr>
          <w:rFonts w:ascii="宋体" w:hAnsi="宋体"/>
          <w:color w:val="auto"/>
          <w:szCs w:val="21"/>
        </w:rPr>
      </w:pPr>
      <w:r>
        <w:rPr>
          <w:rFonts w:hint="eastAsia" w:ascii="宋体" w:hAnsi="宋体"/>
          <w:color w:val="auto"/>
          <w:szCs w:val="21"/>
        </w:rPr>
        <w:t>因需方的原因变更合同货物的，需方应以书面形式通知供方，并经双方协商一致签署有关变更文件。如因此造成供方履行合同义务的价格或时间增减，将对合同价、交货时间进行公平调整。供方据此要求的调整必须在收到需方通知后30天内提出。</w:t>
      </w:r>
    </w:p>
    <w:p>
      <w:pPr>
        <w:numPr>
          <w:ilvl w:val="0"/>
          <w:numId w:val="85"/>
        </w:numPr>
        <w:spacing w:before="156" w:beforeLines="50" w:after="156" w:afterLines="50" w:line="400" w:lineRule="exact"/>
        <w:rPr>
          <w:color w:val="auto"/>
          <w:szCs w:val="21"/>
        </w:rPr>
      </w:pPr>
      <w:r>
        <w:rPr>
          <w:rFonts w:hint="eastAsia" w:ascii="宋体" w:hAnsi="宋体"/>
          <w:color w:val="auto"/>
          <w:szCs w:val="21"/>
        </w:rPr>
        <w:t>无论是按原合同要求，或是根据现场实际情况做出变更提供货物，供方都不能免除其对货物应承担的责任。</w:t>
      </w:r>
    </w:p>
    <w:p>
      <w:pPr>
        <w:spacing w:before="156" w:beforeLines="50" w:after="156" w:afterLines="50" w:line="400" w:lineRule="exact"/>
        <w:rPr>
          <w:rFonts w:ascii="宋体" w:hAnsi="宋体"/>
          <w:color w:val="auto"/>
          <w:sz w:val="24"/>
        </w:rPr>
      </w:pPr>
      <w:r>
        <w:rPr>
          <w:rFonts w:hint="eastAsia" w:ascii="宋体" w:hAnsi="宋体"/>
          <w:color w:val="auto"/>
          <w:sz w:val="24"/>
        </w:rPr>
        <w:t>二十二、合同解除和终止</w:t>
      </w:r>
    </w:p>
    <w:p>
      <w:pPr>
        <w:numPr>
          <w:ilvl w:val="0"/>
          <w:numId w:val="85"/>
        </w:numPr>
        <w:spacing w:before="156" w:beforeLines="50" w:after="156" w:afterLines="50" w:line="400" w:lineRule="exact"/>
        <w:rPr>
          <w:rFonts w:ascii="宋体" w:hAnsi="宋体"/>
          <w:color w:val="auto"/>
          <w:szCs w:val="21"/>
        </w:rPr>
      </w:pPr>
      <w:r>
        <w:rPr>
          <w:rFonts w:hint="eastAsia" w:ascii="宋体" w:hAnsi="宋体"/>
          <w:color w:val="auto"/>
          <w:szCs w:val="21"/>
        </w:rPr>
        <w:t>合同自然终止</w:t>
      </w:r>
    </w:p>
    <w:p>
      <w:pPr>
        <w:spacing w:before="156" w:beforeLines="50" w:after="156" w:afterLines="50" w:line="400" w:lineRule="exact"/>
        <w:ind w:firstLine="360"/>
        <w:rPr>
          <w:rFonts w:ascii="宋体" w:hAnsi="宋体"/>
          <w:color w:val="auto"/>
          <w:szCs w:val="21"/>
        </w:rPr>
      </w:pPr>
      <w:r>
        <w:rPr>
          <w:rFonts w:hint="eastAsia" w:ascii="宋体" w:hAnsi="宋体"/>
          <w:color w:val="auto"/>
          <w:szCs w:val="21"/>
        </w:rPr>
        <w:t>供需双方各自完成合同规定的责任和义务，合同自然终止。</w:t>
      </w:r>
    </w:p>
    <w:p>
      <w:pPr>
        <w:numPr>
          <w:ilvl w:val="0"/>
          <w:numId w:val="85"/>
        </w:numPr>
        <w:spacing w:before="156" w:beforeLines="50" w:after="156" w:afterLines="50" w:line="400" w:lineRule="exact"/>
        <w:rPr>
          <w:rFonts w:ascii="宋体" w:hAnsi="宋体"/>
          <w:color w:val="auto"/>
          <w:szCs w:val="21"/>
        </w:rPr>
      </w:pPr>
      <w:r>
        <w:rPr>
          <w:rFonts w:hint="eastAsia" w:ascii="宋体" w:hAnsi="宋体"/>
          <w:color w:val="auto"/>
          <w:szCs w:val="21"/>
        </w:rPr>
        <w:t>合同因需方便利而解除或终止。</w:t>
      </w:r>
    </w:p>
    <w:p>
      <w:pPr>
        <w:numPr>
          <w:ilvl w:val="1"/>
          <w:numId w:val="85"/>
        </w:numPr>
        <w:spacing w:before="156" w:beforeLines="50" w:after="156" w:afterLines="50" w:line="400" w:lineRule="exact"/>
        <w:rPr>
          <w:rFonts w:ascii="宋体" w:hAnsi="宋体"/>
          <w:color w:val="auto"/>
          <w:szCs w:val="21"/>
        </w:rPr>
      </w:pPr>
      <w:r>
        <w:rPr>
          <w:rFonts w:hint="eastAsia" w:ascii="宋体" w:hAnsi="宋体"/>
          <w:color w:val="auto"/>
          <w:szCs w:val="21"/>
        </w:rPr>
        <w:t>需方可在任何时候出于自身的便利向供方发出书面通知终止或部分终止合同，终止 通知应明确该终止合同是出于需方的便利，并明确合同终止的程度，以及终止的生效日期。</w:t>
      </w:r>
    </w:p>
    <w:p>
      <w:pPr>
        <w:numPr>
          <w:ilvl w:val="1"/>
          <w:numId w:val="85"/>
        </w:numPr>
        <w:spacing w:before="156" w:beforeLines="50" w:after="156" w:afterLines="50" w:line="400" w:lineRule="exact"/>
        <w:rPr>
          <w:color w:val="auto"/>
          <w:szCs w:val="21"/>
        </w:rPr>
      </w:pPr>
      <w:r>
        <w:rPr>
          <w:rFonts w:hint="eastAsia" w:ascii="宋体" w:hAnsi="宋体"/>
          <w:color w:val="auto"/>
          <w:szCs w:val="21"/>
        </w:rPr>
        <w:t>对供方在收到终止通知后30天内已完成并准备装运的货物，需方应按合同价格和 条款予以接受，对于剩下的货物，需方可：</w:t>
      </w:r>
    </w:p>
    <w:p>
      <w:pPr>
        <w:spacing w:before="156" w:beforeLines="50" w:after="156" w:afterLines="50" w:line="400" w:lineRule="exact"/>
        <w:rPr>
          <w:rFonts w:ascii="宋体" w:hAnsi="宋体"/>
          <w:color w:val="auto"/>
          <w:szCs w:val="21"/>
        </w:rPr>
      </w:pPr>
      <w:r>
        <w:rPr>
          <w:rFonts w:hAnsi="宋体"/>
          <w:color w:val="auto"/>
          <w:szCs w:val="21"/>
        </w:rPr>
        <w:t>⑴</w:t>
      </w:r>
      <w:r>
        <w:rPr>
          <w:rFonts w:hint="eastAsia" w:ascii="宋体" w:hAnsi="宋体"/>
          <w:color w:val="auto"/>
          <w:szCs w:val="21"/>
        </w:rPr>
        <w:t xml:space="preserve">     仅对部分货物按照原来合同价格和条款予以接受；或</w:t>
      </w:r>
    </w:p>
    <w:p>
      <w:pPr>
        <w:spacing w:before="156" w:beforeLines="50" w:after="156" w:afterLines="50" w:line="400" w:lineRule="exact"/>
        <w:ind w:left="735" w:hanging="735" w:hangingChars="350"/>
        <w:rPr>
          <w:rFonts w:ascii="宋体" w:hAnsi="宋体"/>
          <w:color w:val="auto"/>
          <w:szCs w:val="21"/>
        </w:rPr>
      </w:pPr>
      <w:r>
        <w:rPr>
          <w:rFonts w:hint="eastAsia" w:ascii="宋体" w:hAnsi="宋体"/>
          <w:color w:val="auto"/>
          <w:szCs w:val="21"/>
        </w:rPr>
        <w:t>⑵     取消对所剩下货物的采购，并按双方商定的金额向供方支付部分完成的货物和服务以及卖以前已采购的材料和部件的费用。</w:t>
      </w:r>
    </w:p>
    <w:p>
      <w:pPr>
        <w:numPr>
          <w:ilvl w:val="0"/>
          <w:numId w:val="85"/>
        </w:numPr>
        <w:spacing w:before="156" w:beforeLines="50" w:after="156" w:afterLines="50" w:line="400" w:lineRule="exact"/>
        <w:rPr>
          <w:rFonts w:ascii="宋体" w:hAnsi="宋体"/>
          <w:color w:val="auto"/>
          <w:szCs w:val="21"/>
        </w:rPr>
      </w:pPr>
      <w:r>
        <w:rPr>
          <w:rFonts w:hint="eastAsia" w:ascii="宋体" w:hAnsi="宋体"/>
          <w:color w:val="auto"/>
          <w:szCs w:val="21"/>
        </w:rPr>
        <w:t>违约违规终止合同</w:t>
      </w:r>
    </w:p>
    <w:p>
      <w:pPr>
        <w:spacing w:before="156" w:beforeLines="50" w:after="156" w:afterLines="50" w:line="400" w:lineRule="exact"/>
        <w:ind w:firstLine="360"/>
        <w:rPr>
          <w:rFonts w:ascii="宋体" w:hAnsi="宋体"/>
          <w:color w:val="auto"/>
          <w:szCs w:val="21"/>
        </w:rPr>
      </w:pPr>
      <w:r>
        <w:rPr>
          <w:rFonts w:hint="eastAsia" w:ascii="宋体" w:hAnsi="宋体"/>
          <w:color w:val="auto"/>
          <w:szCs w:val="21"/>
        </w:rPr>
        <w:t>在需方对供方违约违规而采取的任何补救措施不受影响的情况下，需方可向供方发出书面的违约通知书，提出终止部分或全部合同；</w:t>
      </w:r>
    </w:p>
    <w:p>
      <w:pPr>
        <w:numPr>
          <w:ilvl w:val="1"/>
          <w:numId w:val="85"/>
        </w:numPr>
        <w:spacing w:before="156" w:beforeLines="50" w:after="156" w:afterLines="50" w:line="400" w:lineRule="exact"/>
        <w:rPr>
          <w:rFonts w:ascii="宋体" w:hAnsi="宋体"/>
          <w:color w:val="auto"/>
          <w:szCs w:val="21"/>
        </w:rPr>
      </w:pPr>
      <w:r>
        <w:rPr>
          <w:rFonts w:hint="eastAsia" w:ascii="宋体" w:hAnsi="宋体"/>
          <w:color w:val="auto"/>
          <w:szCs w:val="21"/>
        </w:rPr>
        <w:t>如果供方未能在合同规定的期限内提供货物；</w:t>
      </w:r>
    </w:p>
    <w:p>
      <w:pPr>
        <w:numPr>
          <w:ilvl w:val="1"/>
          <w:numId w:val="85"/>
        </w:numPr>
        <w:spacing w:before="156" w:beforeLines="50" w:after="156" w:afterLines="50" w:line="400" w:lineRule="exact"/>
        <w:rPr>
          <w:color w:val="auto"/>
          <w:szCs w:val="21"/>
        </w:rPr>
      </w:pPr>
      <w:r>
        <w:rPr>
          <w:rFonts w:hint="eastAsia" w:ascii="宋体" w:hAnsi="宋体"/>
          <w:color w:val="auto"/>
          <w:szCs w:val="21"/>
        </w:rPr>
        <w:t>如果供方未能履行合同规定的其它任何义务；</w:t>
      </w:r>
    </w:p>
    <w:p>
      <w:pPr>
        <w:numPr>
          <w:ilvl w:val="1"/>
          <w:numId w:val="85"/>
        </w:numPr>
        <w:spacing w:before="156" w:beforeLines="50" w:after="156" w:afterLines="50" w:line="400" w:lineRule="exact"/>
        <w:rPr>
          <w:color w:val="auto"/>
          <w:szCs w:val="21"/>
        </w:rPr>
      </w:pPr>
      <w:r>
        <w:rPr>
          <w:rFonts w:hint="eastAsia" w:ascii="宋体" w:hAnsi="宋体"/>
          <w:color w:val="auto"/>
          <w:szCs w:val="21"/>
        </w:rPr>
        <w:t>如果需方认为供方在本合同的投标竞争和实施过程中有违反有关政府采购的法律、法规、涉嫌用不正当手段影响需方采购过程，包括谎报或隐瞒事实、损害需方利益、干扰需方、评委、采购代理机构的招标、评标等行为。</w:t>
      </w:r>
    </w:p>
    <w:p>
      <w:pPr>
        <w:spacing w:before="156" w:beforeLines="50" w:after="156" w:afterLines="50" w:line="400" w:lineRule="exact"/>
        <w:ind w:left="735" w:leftChars="350"/>
        <w:rPr>
          <w:rFonts w:ascii="宋体" w:hAnsi="宋体"/>
          <w:color w:val="auto"/>
          <w:szCs w:val="21"/>
        </w:rPr>
      </w:pPr>
      <w:r>
        <w:rPr>
          <w:rFonts w:hint="eastAsia" w:ascii="宋体" w:hAnsi="宋体"/>
          <w:color w:val="auto"/>
          <w:szCs w:val="21"/>
        </w:rPr>
        <w:t>如果需方根据本条的规定，终止了全部或部分合同，需方可以依其认为适当的条件和方法购买与未交货物类似的货物或服务，供方应承担需方应购买类似货物或服务而产生的额外支出。但是，供方应继续执行合同中未终止的部分。</w:t>
      </w:r>
    </w:p>
    <w:p>
      <w:pPr>
        <w:numPr>
          <w:ilvl w:val="0"/>
          <w:numId w:val="85"/>
        </w:numPr>
        <w:spacing w:before="156" w:beforeLines="50" w:after="156" w:afterLines="50" w:line="400" w:lineRule="exact"/>
        <w:rPr>
          <w:rFonts w:ascii="宋体" w:hAnsi="宋体"/>
          <w:color w:val="auto"/>
          <w:szCs w:val="21"/>
        </w:rPr>
      </w:pPr>
      <w:r>
        <w:rPr>
          <w:rFonts w:hint="eastAsia" w:ascii="宋体" w:hAnsi="宋体"/>
          <w:color w:val="auto"/>
          <w:szCs w:val="21"/>
        </w:rPr>
        <w:t>因供方破产而终止合同</w:t>
      </w:r>
    </w:p>
    <w:p>
      <w:pPr>
        <w:spacing w:before="156" w:beforeLines="50" w:after="156" w:afterLines="50" w:line="400" w:lineRule="exact"/>
        <w:ind w:firstLine="360"/>
        <w:rPr>
          <w:rFonts w:ascii="宋体" w:hAnsi="宋体"/>
          <w:color w:val="auto"/>
          <w:szCs w:val="21"/>
        </w:rPr>
      </w:pPr>
      <w:r>
        <w:rPr>
          <w:rFonts w:hint="eastAsia" w:ascii="宋体" w:hAnsi="宋体"/>
          <w:color w:val="auto"/>
          <w:szCs w:val="21"/>
        </w:rPr>
        <w:t>如果供方破产或无清偿能力，需方可在任何时候以书面形式通知供方，提出终止合同而不给供方补偿。该合同的终止将不损害或影响需方已经采取或将要采取的任何行动或补救措施的权力。</w:t>
      </w:r>
    </w:p>
    <w:p>
      <w:pPr>
        <w:spacing w:before="156" w:beforeLines="50" w:after="156" w:afterLines="50" w:line="400" w:lineRule="exact"/>
        <w:rPr>
          <w:rFonts w:ascii="宋体" w:hAnsi="宋体"/>
          <w:color w:val="auto"/>
          <w:sz w:val="24"/>
        </w:rPr>
      </w:pPr>
      <w:r>
        <w:rPr>
          <w:rFonts w:hint="eastAsia" w:ascii="宋体" w:hAnsi="宋体"/>
          <w:color w:val="auto"/>
          <w:sz w:val="24"/>
        </w:rPr>
        <w:t>二十三、争端的解决</w:t>
      </w:r>
    </w:p>
    <w:p>
      <w:pPr>
        <w:numPr>
          <w:ilvl w:val="0"/>
          <w:numId w:val="86"/>
        </w:numPr>
        <w:spacing w:before="156" w:beforeLines="50" w:after="156" w:afterLines="50" w:line="400" w:lineRule="exact"/>
        <w:rPr>
          <w:rFonts w:ascii="宋体" w:hAnsi="宋体"/>
          <w:color w:val="auto"/>
          <w:szCs w:val="21"/>
        </w:rPr>
      </w:pPr>
      <w:r>
        <w:rPr>
          <w:rFonts w:hint="eastAsia" w:ascii="宋体" w:hAnsi="宋体"/>
          <w:color w:val="auto"/>
          <w:szCs w:val="21"/>
        </w:rPr>
        <w:t>凡与本合同有关的一切争议，供需双方应首先通过友好协商解决，如经协商后仍不能达成协议时，任何一方可以向法院提出诉讼。</w:t>
      </w:r>
    </w:p>
    <w:p>
      <w:pPr>
        <w:numPr>
          <w:ilvl w:val="0"/>
          <w:numId w:val="86"/>
        </w:numPr>
        <w:spacing w:before="156" w:beforeLines="50" w:after="156" w:afterLines="50" w:line="400" w:lineRule="exact"/>
        <w:rPr>
          <w:rFonts w:ascii="宋体" w:hAnsi="宋体"/>
          <w:color w:val="auto"/>
          <w:szCs w:val="21"/>
        </w:rPr>
      </w:pPr>
      <w:r>
        <w:rPr>
          <w:rFonts w:hint="eastAsia" w:ascii="宋体" w:hAnsi="宋体"/>
          <w:color w:val="auto"/>
          <w:szCs w:val="21"/>
        </w:rPr>
        <w:t>本合同的诉讼管辖为需方住所地的人民法院。</w:t>
      </w:r>
    </w:p>
    <w:p>
      <w:pPr>
        <w:numPr>
          <w:ilvl w:val="0"/>
          <w:numId w:val="86"/>
        </w:numPr>
        <w:spacing w:before="156" w:beforeLines="50" w:after="156" w:afterLines="50" w:line="400" w:lineRule="exact"/>
        <w:rPr>
          <w:rFonts w:ascii="宋体" w:hAnsi="宋体"/>
          <w:color w:val="auto"/>
          <w:szCs w:val="21"/>
        </w:rPr>
      </w:pPr>
      <w:r>
        <w:rPr>
          <w:rFonts w:hint="eastAsia" w:ascii="宋体" w:hAnsi="宋体"/>
          <w:color w:val="auto"/>
          <w:szCs w:val="21"/>
        </w:rPr>
        <w:t>在法院审理期间，除提交法院审理的事项外，合同其他部分仍应继续履行。</w:t>
      </w:r>
    </w:p>
    <w:p>
      <w:pPr>
        <w:spacing w:before="156" w:beforeLines="50" w:after="156" w:afterLines="50" w:line="400" w:lineRule="exact"/>
        <w:rPr>
          <w:rFonts w:ascii="宋体" w:hAnsi="宋体"/>
          <w:color w:val="auto"/>
          <w:sz w:val="24"/>
        </w:rPr>
      </w:pPr>
      <w:r>
        <w:rPr>
          <w:rFonts w:hint="eastAsia" w:ascii="宋体" w:hAnsi="宋体"/>
          <w:color w:val="auto"/>
          <w:sz w:val="24"/>
        </w:rPr>
        <w:t>二十四、适用法律</w:t>
      </w:r>
    </w:p>
    <w:p>
      <w:pPr>
        <w:numPr>
          <w:ilvl w:val="0"/>
          <w:numId w:val="87"/>
        </w:numPr>
        <w:spacing w:before="156" w:beforeLines="50" w:after="156" w:afterLines="50" w:line="400" w:lineRule="exact"/>
        <w:rPr>
          <w:rFonts w:ascii="宋体" w:hAnsi="宋体"/>
          <w:color w:val="auto"/>
          <w:szCs w:val="21"/>
        </w:rPr>
      </w:pPr>
      <w:r>
        <w:rPr>
          <w:rFonts w:hint="eastAsia" w:ascii="宋体" w:hAnsi="宋体"/>
          <w:color w:val="auto"/>
          <w:szCs w:val="21"/>
        </w:rPr>
        <w:t>本合同按照中华人民共和国的法律进行解释。</w:t>
      </w:r>
    </w:p>
    <w:p>
      <w:pPr>
        <w:spacing w:before="156" w:beforeLines="50" w:after="156" w:afterLines="50" w:line="400" w:lineRule="exact"/>
        <w:rPr>
          <w:rFonts w:ascii="宋体" w:hAnsi="宋体"/>
          <w:color w:val="auto"/>
          <w:sz w:val="24"/>
        </w:rPr>
      </w:pPr>
      <w:r>
        <w:rPr>
          <w:rFonts w:hint="eastAsia" w:ascii="宋体" w:hAnsi="宋体"/>
          <w:color w:val="auto"/>
          <w:sz w:val="24"/>
        </w:rPr>
        <w:t>二十五、税和关税</w:t>
      </w:r>
    </w:p>
    <w:p>
      <w:pPr>
        <w:numPr>
          <w:ilvl w:val="0"/>
          <w:numId w:val="88"/>
        </w:numPr>
        <w:spacing w:before="156" w:beforeLines="50" w:after="156" w:afterLines="50" w:line="400" w:lineRule="exact"/>
        <w:rPr>
          <w:rFonts w:ascii="宋体" w:hAnsi="宋体"/>
          <w:color w:val="auto"/>
          <w:szCs w:val="21"/>
        </w:rPr>
      </w:pPr>
      <w:r>
        <w:rPr>
          <w:rFonts w:hint="eastAsia" w:ascii="宋体" w:hAnsi="宋体"/>
          <w:color w:val="auto"/>
          <w:szCs w:val="21"/>
        </w:rPr>
        <w:t>根据中华人民共和国现行税法的有关规定执行。</w:t>
      </w:r>
    </w:p>
    <w:p>
      <w:pPr>
        <w:spacing w:before="156" w:beforeLines="50" w:after="156" w:afterLines="50" w:line="400" w:lineRule="exact"/>
        <w:rPr>
          <w:rFonts w:ascii="宋体" w:hAnsi="宋体"/>
          <w:color w:val="auto"/>
          <w:sz w:val="24"/>
        </w:rPr>
      </w:pPr>
      <w:r>
        <w:rPr>
          <w:rFonts w:hint="eastAsia" w:ascii="宋体" w:hAnsi="宋体"/>
          <w:color w:val="auto"/>
          <w:sz w:val="24"/>
        </w:rPr>
        <w:t>二十六、合同生效</w:t>
      </w:r>
    </w:p>
    <w:p>
      <w:pPr>
        <w:numPr>
          <w:ilvl w:val="0"/>
          <w:numId w:val="89"/>
        </w:numPr>
        <w:spacing w:before="156" w:beforeLines="50" w:after="156" w:afterLines="50" w:line="400" w:lineRule="exact"/>
        <w:rPr>
          <w:rFonts w:ascii="宋体" w:hAnsi="宋体"/>
          <w:color w:val="auto"/>
          <w:szCs w:val="21"/>
        </w:rPr>
      </w:pPr>
      <w:r>
        <w:rPr>
          <w:rFonts w:hint="eastAsia" w:ascii="宋体" w:hAnsi="宋体"/>
          <w:color w:val="auto"/>
          <w:szCs w:val="21"/>
        </w:rPr>
        <w:t>合同经双方授权代表签字或盖章</w:t>
      </w:r>
      <w:r>
        <w:rPr>
          <w:rFonts w:ascii="宋体" w:hAnsi="宋体"/>
          <w:color w:val="auto"/>
          <w:szCs w:val="21"/>
        </w:rPr>
        <w:t>之</w:t>
      </w:r>
      <w:r>
        <w:rPr>
          <w:rFonts w:hint="eastAsia" w:ascii="宋体" w:hAnsi="宋体"/>
          <w:color w:val="auto"/>
          <w:szCs w:val="21"/>
        </w:rPr>
        <w:t>日起生效，合同签署日期以较迟签注的日期为准。</w:t>
      </w:r>
    </w:p>
    <w:p>
      <w:pPr>
        <w:spacing w:before="156" w:beforeLines="50" w:after="156" w:afterLines="50" w:line="400" w:lineRule="exact"/>
        <w:rPr>
          <w:rFonts w:ascii="宋体" w:hAnsi="宋体"/>
          <w:color w:val="auto"/>
          <w:sz w:val="24"/>
        </w:rPr>
      </w:pPr>
      <w:r>
        <w:rPr>
          <w:rFonts w:hint="eastAsia" w:ascii="宋体" w:hAnsi="宋体"/>
          <w:color w:val="auto"/>
          <w:sz w:val="24"/>
        </w:rPr>
        <w:t>二十七、其他</w:t>
      </w:r>
    </w:p>
    <w:p>
      <w:pPr>
        <w:numPr>
          <w:ilvl w:val="0"/>
          <w:numId w:val="90"/>
        </w:numPr>
        <w:spacing w:before="156" w:beforeLines="50" w:after="156" w:afterLines="50" w:line="400" w:lineRule="exact"/>
        <w:rPr>
          <w:rFonts w:ascii="宋体" w:hAnsi="宋体"/>
          <w:color w:val="auto"/>
          <w:szCs w:val="21"/>
        </w:rPr>
      </w:pPr>
      <w:r>
        <w:rPr>
          <w:rFonts w:hint="eastAsia" w:ascii="宋体" w:hAnsi="宋体"/>
          <w:color w:val="auto"/>
          <w:szCs w:val="21"/>
        </w:rPr>
        <w:t>中标通知书、投标文件、招标文件及本合同之所有附件均为本合同的有效组成部分， 与本合同具有同样法律效力，解释的顺序以文件生成时间在后的为准。</w:t>
      </w:r>
    </w:p>
    <w:p>
      <w:pPr>
        <w:numPr>
          <w:ilvl w:val="0"/>
          <w:numId w:val="90"/>
        </w:numPr>
        <w:spacing w:before="156" w:beforeLines="50" w:after="156" w:afterLines="50" w:line="400" w:lineRule="exact"/>
        <w:rPr>
          <w:rFonts w:ascii="宋体" w:hAnsi="宋体"/>
          <w:color w:val="auto"/>
          <w:szCs w:val="21"/>
        </w:rPr>
      </w:pPr>
      <w:r>
        <w:rPr>
          <w:rFonts w:hint="eastAsia" w:ascii="宋体" w:hAnsi="宋体"/>
          <w:color w:val="auto"/>
          <w:szCs w:val="21"/>
        </w:rPr>
        <w:t>在执行本合同的过程中，所有经供需双方签署确认的文件（包括会议纪要、补充协 议、合同修改书、往来信函等）均为本合同的有效组成部分，其生效日期为双方均签字盖章或确认之日期。</w:t>
      </w:r>
    </w:p>
    <w:p>
      <w:pPr>
        <w:numPr>
          <w:ilvl w:val="0"/>
          <w:numId w:val="90"/>
        </w:numPr>
        <w:spacing w:before="156" w:beforeLines="50" w:after="156" w:afterLines="50" w:line="400" w:lineRule="exact"/>
        <w:rPr>
          <w:rFonts w:ascii="宋体" w:hAnsi="宋体"/>
          <w:color w:val="auto"/>
          <w:szCs w:val="21"/>
        </w:rPr>
      </w:pPr>
      <w:r>
        <w:rPr>
          <w:rFonts w:hint="eastAsia" w:ascii="宋体" w:hAnsi="宋体"/>
          <w:color w:val="auto"/>
          <w:szCs w:val="21"/>
        </w:rPr>
        <w:t>除需方事先以书面形式确认同意外，供方不得部分或全部转让其应履行的合同项下的义务。</w:t>
      </w:r>
    </w:p>
    <w:p>
      <w:pPr>
        <w:numPr>
          <w:ilvl w:val="0"/>
          <w:numId w:val="90"/>
        </w:numPr>
        <w:spacing w:before="156" w:beforeLines="50" w:after="156" w:afterLines="50" w:line="400" w:lineRule="exact"/>
        <w:rPr>
          <w:rFonts w:ascii="宋体" w:hAnsi="宋体"/>
          <w:color w:val="auto"/>
          <w:szCs w:val="21"/>
        </w:rPr>
      </w:pPr>
      <w:r>
        <w:rPr>
          <w:rFonts w:hint="eastAsia" w:ascii="宋体" w:hAnsi="宋体"/>
          <w:color w:val="auto"/>
          <w:szCs w:val="21"/>
        </w:rPr>
        <w:t>本合同一式</w:t>
      </w:r>
      <w:r>
        <w:rPr>
          <w:rFonts w:hint="eastAsia" w:ascii="宋体" w:hAnsi="宋体"/>
          <w:color w:val="auto"/>
          <w:szCs w:val="21"/>
          <w:u w:val="single"/>
        </w:rPr>
        <w:t>四</w:t>
      </w:r>
      <w:r>
        <w:rPr>
          <w:rFonts w:hint="eastAsia" w:ascii="宋体" w:hAnsi="宋体"/>
          <w:color w:val="auto"/>
          <w:szCs w:val="21"/>
        </w:rPr>
        <w:t>份，双方各执</w:t>
      </w:r>
      <w:r>
        <w:rPr>
          <w:rFonts w:hint="eastAsia" w:ascii="宋体" w:hAnsi="宋体"/>
          <w:color w:val="auto"/>
          <w:szCs w:val="21"/>
          <w:u w:val="single"/>
        </w:rPr>
        <w:t>贰</w:t>
      </w:r>
      <w:r>
        <w:rPr>
          <w:rFonts w:hint="eastAsia" w:ascii="宋体" w:hAnsi="宋体"/>
          <w:color w:val="auto"/>
          <w:szCs w:val="21"/>
        </w:rPr>
        <w:t>份。</w:t>
      </w:r>
    </w:p>
    <w:p>
      <w:pPr>
        <w:numPr>
          <w:ilvl w:val="0"/>
          <w:numId w:val="90"/>
        </w:numPr>
        <w:spacing w:before="156" w:beforeLines="50" w:after="156" w:afterLines="50" w:line="400" w:lineRule="exact"/>
        <w:rPr>
          <w:rFonts w:ascii="宋体" w:hAnsi="宋体"/>
          <w:color w:val="auto"/>
          <w:szCs w:val="21"/>
        </w:rPr>
      </w:pPr>
      <w:r>
        <w:rPr>
          <w:rFonts w:hint="eastAsia" w:ascii="宋体" w:hAnsi="宋体"/>
          <w:color w:val="auto"/>
          <w:szCs w:val="21"/>
        </w:rPr>
        <w:t>本合同合计</w:t>
      </w:r>
      <w:r>
        <w:rPr>
          <w:rFonts w:hint="eastAsia" w:ascii="宋体" w:hAnsi="宋体"/>
          <w:color w:val="auto"/>
          <w:szCs w:val="21"/>
          <w:u w:val="single"/>
          <w:lang w:val="en-US" w:eastAsia="zh-CN"/>
        </w:rPr>
        <w:t xml:space="preserve">  </w:t>
      </w:r>
      <w:r>
        <w:rPr>
          <w:rFonts w:hint="eastAsia" w:ascii="宋体" w:hAnsi="宋体"/>
          <w:color w:val="auto"/>
          <w:szCs w:val="21"/>
        </w:rPr>
        <w:t>页A4纸张，缺页之合同为无效合同。</w:t>
      </w:r>
    </w:p>
    <w:p>
      <w:pPr>
        <w:spacing w:before="156" w:beforeLines="50" w:after="156" w:afterLines="50" w:line="400" w:lineRule="exact"/>
        <w:rPr>
          <w:rFonts w:ascii="宋体" w:hAnsi="宋体"/>
          <w:color w:val="auto"/>
          <w:szCs w:val="21"/>
        </w:rPr>
      </w:pPr>
    </w:p>
    <w:p>
      <w:pPr>
        <w:spacing w:before="156" w:beforeLines="50" w:after="156" w:afterLines="50" w:line="400" w:lineRule="exact"/>
        <w:ind w:left="5985" w:hanging="5985" w:hangingChars="2850"/>
        <w:rPr>
          <w:rFonts w:ascii="宋体" w:hAnsi="宋体"/>
          <w:color w:val="auto"/>
          <w:szCs w:val="21"/>
        </w:rPr>
      </w:pPr>
      <w:r>
        <w:rPr>
          <w:rFonts w:hint="eastAsia" w:ascii="宋体" w:hAnsi="宋体"/>
          <w:color w:val="auto"/>
          <w:szCs w:val="21"/>
        </w:rPr>
        <w:t xml:space="preserve">需方（盖章）：工业和信息化部电子第五研究所   供方： </w:t>
      </w:r>
    </w:p>
    <w:p>
      <w:pPr>
        <w:spacing w:before="156" w:beforeLines="50" w:after="156" w:afterLines="50" w:line="400" w:lineRule="exact"/>
        <w:rPr>
          <w:rFonts w:ascii="宋体" w:hAnsi="宋体"/>
          <w:color w:val="auto"/>
          <w:szCs w:val="21"/>
        </w:rPr>
      </w:pPr>
      <w:r>
        <w:rPr>
          <w:rFonts w:hint="eastAsia" w:ascii="宋体" w:hAnsi="宋体"/>
          <w:color w:val="auto"/>
          <w:szCs w:val="21"/>
        </w:rPr>
        <w:t>需方代表（签字）：                           供方代表（签字）：</w:t>
      </w:r>
    </w:p>
    <w:p>
      <w:pPr>
        <w:spacing w:before="156" w:beforeLines="50" w:after="156" w:afterLines="50" w:line="400" w:lineRule="exact"/>
        <w:rPr>
          <w:rFonts w:ascii="宋体" w:hAnsi="宋体"/>
          <w:color w:val="auto"/>
          <w:szCs w:val="21"/>
        </w:rPr>
      </w:pPr>
      <w:r>
        <w:rPr>
          <w:rFonts w:hint="eastAsia" w:ascii="宋体" w:hAnsi="宋体"/>
          <w:color w:val="auto"/>
          <w:szCs w:val="21"/>
        </w:rPr>
        <w:t>地  址：广州市天河区东莞庄110号           地  址：</w:t>
      </w:r>
    </w:p>
    <w:p>
      <w:pPr>
        <w:spacing w:before="156" w:beforeLines="50" w:after="156" w:afterLines="50" w:line="400" w:lineRule="exact"/>
        <w:jc w:val="left"/>
        <w:rPr>
          <w:rFonts w:ascii="宋体" w:hAnsi="宋体"/>
          <w:color w:val="auto"/>
          <w:szCs w:val="21"/>
        </w:rPr>
      </w:pPr>
      <w:r>
        <w:rPr>
          <w:rFonts w:hint="eastAsia" w:ascii="宋体" w:hAnsi="宋体"/>
          <w:color w:val="auto"/>
          <w:szCs w:val="21"/>
        </w:rPr>
        <w:t>邮政编码：510610                           邮政编码：                                    电话：                                     电话：                                 传真：传真</w:t>
      </w:r>
    </w:p>
    <w:p>
      <w:pPr>
        <w:spacing w:line="520" w:lineRule="exact"/>
        <w:ind w:left="718" w:leftChars="342" w:firstLine="420" w:firstLineChars="200"/>
        <w:rPr>
          <w:rFonts w:ascii="宋体"/>
          <w:bCs/>
          <w:color w:val="auto"/>
          <w:sz w:val="30"/>
          <w:szCs w:val="30"/>
        </w:rPr>
      </w:pPr>
      <w:r>
        <w:rPr>
          <w:rFonts w:hint="eastAsia" w:ascii="宋体" w:hAnsi="宋体"/>
          <w:color w:val="auto"/>
          <w:szCs w:val="21"/>
        </w:rPr>
        <w:t xml:space="preserve">                                开户银行：</w:t>
      </w:r>
    </w:p>
    <w:p>
      <w:pPr>
        <w:pStyle w:val="3"/>
        <w:spacing w:before="0" w:after="0" w:line="360" w:lineRule="auto"/>
        <w:rPr>
          <w:rFonts w:ascii="宋体" w:hAnsi="宋体"/>
          <w:color w:val="auto"/>
          <w:kern w:val="0"/>
          <w:sz w:val="36"/>
          <w:szCs w:val="36"/>
        </w:rPr>
      </w:pPr>
      <w:r>
        <w:rPr>
          <w:rFonts w:ascii="宋体" w:hAnsi="宋体"/>
          <w:color w:val="auto"/>
          <w:sz w:val="24"/>
          <w:szCs w:val="24"/>
        </w:rPr>
        <w:br w:type="page"/>
      </w: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pStyle w:val="3"/>
        <w:numPr>
          <w:ilvl w:val="0"/>
          <w:numId w:val="3"/>
        </w:numPr>
        <w:spacing w:before="0" w:after="0" w:line="360" w:lineRule="auto"/>
        <w:ind w:left="0" w:firstLine="0"/>
        <w:jc w:val="center"/>
        <w:rPr>
          <w:rFonts w:ascii="宋体" w:hAnsi="宋体"/>
          <w:color w:val="auto"/>
          <w:kern w:val="0"/>
          <w:sz w:val="36"/>
          <w:szCs w:val="36"/>
        </w:rPr>
      </w:pPr>
      <w:bookmarkStart w:id="343" w:name="_Toc22806188"/>
      <w:r>
        <w:rPr>
          <w:rFonts w:hint="eastAsia" w:ascii="宋体" w:hAnsi="宋体"/>
          <w:color w:val="auto"/>
          <w:kern w:val="0"/>
          <w:sz w:val="36"/>
          <w:szCs w:val="36"/>
        </w:rPr>
        <w:t xml:space="preserve">  </w:t>
      </w:r>
      <w:bookmarkStart w:id="344" w:name="_Toc16400"/>
      <w:r>
        <w:rPr>
          <w:rFonts w:hint="eastAsia" w:ascii="宋体" w:hAnsi="宋体"/>
          <w:color w:val="auto"/>
          <w:kern w:val="0"/>
          <w:sz w:val="36"/>
          <w:szCs w:val="36"/>
        </w:rPr>
        <w:t>投标文件格式</w:t>
      </w:r>
      <w:bookmarkEnd w:id="343"/>
      <w:bookmarkEnd w:id="344"/>
    </w:p>
    <w:p>
      <w:pPr>
        <w:autoSpaceDE w:val="0"/>
        <w:autoSpaceDN w:val="0"/>
        <w:spacing w:line="360" w:lineRule="auto"/>
        <w:jc w:val="center"/>
        <w:rPr>
          <w:rFonts w:ascii="宋体" w:hAnsi="宋体"/>
          <w:color w:val="auto"/>
          <w:sz w:val="24"/>
          <w:szCs w:val="24"/>
        </w:rPr>
      </w:pPr>
    </w:p>
    <w:p>
      <w:pPr>
        <w:pStyle w:val="4"/>
        <w:tabs>
          <w:tab w:val="left" w:pos="0"/>
          <w:tab w:val="left" w:pos="945"/>
        </w:tabs>
        <w:spacing w:before="0" w:after="0" w:line="360" w:lineRule="auto"/>
        <w:jc w:val="center"/>
        <w:rPr>
          <w:rFonts w:ascii="宋体" w:hAnsi="宋体"/>
          <w:color w:val="auto"/>
          <w:sz w:val="28"/>
          <w:szCs w:val="28"/>
        </w:rPr>
      </w:pPr>
      <w:bookmarkStart w:id="345" w:name="_Toc6375"/>
      <w:r>
        <w:rPr>
          <w:rFonts w:hint="eastAsia" w:ascii="宋体" w:hAnsi="宋体"/>
          <w:color w:val="auto"/>
          <w:sz w:val="28"/>
          <w:szCs w:val="28"/>
        </w:rPr>
        <w:t>总说明</w:t>
      </w:r>
      <w:bookmarkEnd w:id="345"/>
    </w:p>
    <w:p>
      <w:pPr>
        <w:autoSpaceDE w:val="0"/>
        <w:autoSpaceDN w:val="0"/>
        <w:spacing w:line="360" w:lineRule="auto"/>
        <w:ind w:firstLine="360" w:firstLineChars="150"/>
        <w:rPr>
          <w:rFonts w:ascii="宋体" w:hAnsi="宋体" w:cs="仿宋_GB2312"/>
          <w:color w:val="auto"/>
          <w:sz w:val="24"/>
          <w:lang w:val="zh-CN"/>
        </w:rPr>
      </w:pPr>
      <w:r>
        <w:rPr>
          <w:rFonts w:hint="eastAsia" w:ascii="宋体" w:hAnsi="宋体"/>
          <w:color w:val="auto"/>
          <w:sz w:val="24"/>
          <w:szCs w:val="24"/>
        </w:rPr>
        <w:t>1.</w:t>
      </w:r>
      <w:bookmarkStart w:id="346" w:name="_Toc42313175"/>
      <w:bookmarkStart w:id="347" w:name="_Toc38947810"/>
      <w:bookmarkStart w:id="348" w:name="_Toc50276167"/>
      <w:bookmarkStart w:id="349" w:name="_Toc38947809"/>
      <w:bookmarkStart w:id="350" w:name="_Toc42394676"/>
      <w:bookmarkStart w:id="351" w:name="_Toc98580295"/>
      <w:bookmarkStart w:id="352" w:name="_Toc41884710"/>
      <w:bookmarkStart w:id="353" w:name="_Toc41884709"/>
      <w:bookmarkStart w:id="354" w:name="_Toc101843134"/>
      <w:bookmarkStart w:id="355" w:name="_Toc98579071"/>
      <w:bookmarkStart w:id="356" w:name="_Toc40762377"/>
      <w:bookmarkStart w:id="357" w:name="_Toc42313176"/>
      <w:bookmarkStart w:id="358" w:name="_Toc175106977"/>
      <w:bookmarkStart w:id="359" w:name="_Toc98579612"/>
      <w:bookmarkStart w:id="360" w:name="_Toc101775134"/>
      <w:bookmarkStart w:id="361" w:name="_Toc175644396"/>
      <w:bookmarkStart w:id="362" w:name="_Toc40762378"/>
      <w:bookmarkStart w:id="363" w:name="_Toc41723939"/>
      <w:bookmarkStart w:id="364" w:name="_Toc50276168"/>
      <w:bookmarkStart w:id="365" w:name="_Toc101771381"/>
      <w:bookmarkStart w:id="366" w:name="_Toc41723940"/>
      <w:bookmarkStart w:id="367" w:name="_Toc42394520"/>
      <w:bookmarkStart w:id="368" w:name="_Toc101951272"/>
      <w:bookmarkStart w:id="369" w:name="_Toc98579013"/>
      <w:bookmarkStart w:id="370" w:name="_Toc42394675"/>
      <w:bookmarkStart w:id="371" w:name="_Toc42394519"/>
      <w:r>
        <w:rPr>
          <w:rFonts w:hint="eastAsia" w:ascii="宋体" w:hAnsi="宋体"/>
          <w:color w:val="auto"/>
          <w:sz w:val="24"/>
          <w:szCs w:val="24"/>
        </w:rPr>
        <w:t>投标文件</w:t>
      </w:r>
      <w:r>
        <w:rPr>
          <w:rFonts w:hint="eastAsia" w:ascii="宋体" w:hAnsi="宋体" w:cs="仿宋_GB2312"/>
          <w:color w:val="auto"/>
          <w:sz w:val="24"/>
          <w:lang w:val="zh-CN"/>
        </w:rPr>
        <w:t>包括但不限于投标文件格式所要求的内容，请按顺序制作编排，并请编制目录和页码，否则有可能影响对投标文件的评审。</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pPr>
        <w:autoSpaceDE w:val="0"/>
        <w:autoSpaceDN w:val="0"/>
        <w:spacing w:line="360" w:lineRule="auto"/>
        <w:ind w:firstLine="360" w:firstLineChars="150"/>
        <w:rPr>
          <w:rFonts w:ascii="宋体" w:hAnsi="宋体" w:cs="仿宋_GB2312"/>
          <w:color w:val="auto"/>
          <w:sz w:val="24"/>
          <w:lang w:val="zh-CN"/>
        </w:rPr>
      </w:pPr>
      <w:r>
        <w:rPr>
          <w:rFonts w:hint="eastAsia" w:ascii="宋体" w:hAnsi="宋体" w:cs="仿宋_GB2312"/>
          <w:color w:val="auto"/>
          <w:sz w:val="24"/>
          <w:lang w:val="zh-CN"/>
        </w:rPr>
        <w:t>2.招标文件提供的注明“如适用”、“如有”、“选用”的格式，投标人认为不需要提供的，可以按《投标人须知》第10.2条的规定及具体格式中要求注明“不适用”或“无此内容”保留相关格式（并按格式盖章和签署）；也可以不注明任何内容仅保留相关格式（可以不盖章不签署）；也可以删除不需要的格式。不提供的格式可仅在目录中提交情况对应的“无”栏目中注明，不需要删除，后续序号不需修改。</w:t>
      </w:r>
    </w:p>
    <w:p>
      <w:pPr>
        <w:autoSpaceDE w:val="0"/>
        <w:autoSpaceDN w:val="0"/>
        <w:spacing w:line="360" w:lineRule="auto"/>
        <w:ind w:firstLine="360" w:firstLineChars="150"/>
        <w:rPr>
          <w:rFonts w:ascii="宋体" w:hAnsi="宋体" w:cs="仿宋_GB2312"/>
          <w:color w:val="auto"/>
          <w:sz w:val="24"/>
          <w:lang w:val="zh-CN" w:bidi="ar"/>
        </w:rPr>
      </w:pPr>
      <w:r>
        <w:rPr>
          <w:rFonts w:hint="eastAsia" w:ascii="宋体" w:hAnsi="宋体" w:cs="仿宋_GB2312"/>
          <w:color w:val="auto"/>
          <w:sz w:val="24"/>
          <w:lang w:val="zh-CN" w:bidi="ar"/>
        </w:rPr>
        <w:t>3.非多采购包的项目，格式中的采购包号全部可以删除。</w:t>
      </w:r>
    </w:p>
    <w:p>
      <w:pPr>
        <w:autoSpaceDE w:val="0"/>
        <w:autoSpaceDN w:val="0"/>
        <w:spacing w:line="360" w:lineRule="auto"/>
        <w:ind w:firstLine="360" w:firstLineChars="150"/>
        <w:rPr>
          <w:rFonts w:ascii="宋体" w:hAnsi="宋体" w:cs="仿宋_GB2312"/>
          <w:color w:val="auto"/>
          <w:sz w:val="24"/>
          <w:lang w:val="zh-CN" w:bidi="ar"/>
        </w:rPr>
      </w:pPr>
      <w:r>
        <w:rPr>
          <w:rFonts w:hint="eastAsia" w:ascii="宋体" w:hAnsi="宋体" w:cs="仿宋_GB2312"/>
          <w:color w:val="auto"/>
          <w:sz w:val="24"/>
          <w:lang w:val="zh-CN" w:bidi="ar"/>
        </w:rPr>
        <w:t>4.相关证明材料在投标文件其他部分内容中已经提供的，可不重复提供，可仅列明所在投标文件中的页码。</w:t>
      </w:r>
    </w:p>
    <w:p>
      <w:pPr>
        <w:autoSpaceDE w:val="0"/>
        <w:autoSpaceDN w:val="0"/>
        <w:spacing w:line="360" w:lineRule="auto"/>
        <w:ind w:firstLine="360" w:firstLineChars="150"/>
        <w:rPr>
          <w:rFonts w:ascii="宋体" w:hAnsi="宋体" w:cs="仿宋_GB2312"/>
          <w:color w:val="auto"/>
          <w:sz w:val="24"/>
          <w:lang w:val="zh-CN"/>
        </w:rPr>
      </w:pPr>
      <w:r>
        <w:rPr>
          <w:rFonts w:hint="eastAsia" w:ascii="宋体" w:hAnsi="宋体" w:cs="仿宋_GB2312"/>
          <w:color w:val="auto"/>
          <w:sz w:val="24"/>
          <w:lang w:val="zh-CN"/>
        </w:rPr>
        <w:t>5.部分格式注明“如有”或“不适用”或“如要求”或“选用”的，请供应商根据自身情况选用。</w:t>
      </w:r>
    </w:p>
    <w:p>
      <w:pPr>
        <w:autoSpaceDE w:val="0"/>
        <w:autoSpaceDN w:val="0"/>
        <w:spacing w:line="360" w:lineRule="auto"/>
        <w:ind w:firstLine="360" w:firstLineChars="150"/>
        <w:rPr>
          <w:rFonts w:ascii="宋体" w:hAnsi="宋体" w:cs="仿宋_GB2312"/>
          <w:color w:val="auto"/>
          <w:sz w:val="24"/>
          <w:lang w:val="zh-CN"/>
        </w:rPr>
      </w:pPr>
      <w:r>
        <w:rPr>
          <w:rFonts w:hint="eastAsia" w:ascii="宋体" w:hAnsi="宋体" w:cs="仿宋_GB2312"/>
          <w:color w:val="auto"/>
          <w:sz w:val="24"/>
          <w:lang w:val="zh-CN"/>
        </w:rPr>
        <w:t>6.如投标人为联合体或分支机构或以合同分包形式投标时，须注意按照招标文件要求提供各方资料及盖章签署。具体详见</w:t>
      </w:r>
      <w:r>
        <w:rPr>
          <w:rFonts w:ascii="宋体" w:hAnsi="宋体" w:cs="仿宋_GB2312"/>
          <w:color w:val="auto"/>
          <w:sz w:val="24"/>
        </w:rPr>
        <w:t xml:space="preserve">《供应商须知》 </w:t>
      </w:r>
      <w:r>
        <w:rPr>
          <w:rFonts w:hint="eastAsia" w:ascii="宋体" w:hAnsi="宋体" w:cs="仿宋_GB2312"/>
          <w:color w:val="auto"/>
          <w:sz w:val="24"/>
          <w:lang w:val="zh-CN"/>
        </w:rPr>
        <w:t>第13.5条、第14.4条、第17.6条及本部分第4.条格式。</w:t>
      </w:r>
    </w:p>
    <w:p>
      <w:pPr>
        <w:autoSpaceDE w:val="0"/>
        <w:autoSpaceDN w:val="0"/>
        <w:spacing w:line="360" w:lineRule="auto"/>
        <w:ind w:firstLine="360" w:firstLineChars="150"/>
        <w:rPr>
          <w:rFonts w:ascii="宋体" w:hAnsi="宋体" w:cs="仿宋_GB2312"/>
          <w:color w:val="auto"/>
          <w:sz w:val="24"/>
          <w:lang w:val="zh-CN"/>
        </w:rPr>
      </w:pPr>
      <w:r>
        <w:rPr>
          <w:rFonts w:hint="eastAsia" w:ascii="宋体" w:hAnsi="宋体" w:cs="仿宋_GB2312"/>
          <w:color w:val="auto"/>
          <w:sz w:val="24"/>
          <w:lang w:val="zh-CN"/>
        </w:rPr>
        <w:t>7.招标文件在投标文件格式中提供的备注内容，仅是对格式的补充说明，投标人编制投标文件时可以删除备注说明内容。</w:t>
      </w:r>
    </w:p>
    <w:p>
      <w:pPr>
        <w:autoSpaceDE w:val="0"/>
        <w:autoSpaceDN w:val="0"/>
        <w:spacing w:line="360" w:lineRule="auto"/>
        <w:jc w:val="center"/>
        <w:rPr>
          <w:rFonts w:ascii="宋体" w:hAnsi="宋体"/>
          <w:color w:val="auto"/>
          <w:sz w:val="24"/>
          <w:szCs w:val="24"/>
        </w:rPr>
      </w:pPr>
    </w:p>
    <w:p>
      <w:pPr>
        <w:autoSpaceDE w:val="0"/>
        <w:autoSpaceDN w:val="0"/>
        <w:spacing w:line="360" w:lineRule="auto"/>
        <w:jc w:val="center"/>
        <w:rPr>
          <w:rFonts w:ascii="宋体" w:hAnsi="宋体"/>
          <w:color w:val="auto"/>
          <w:sz w:val="24"/>
          <w:szCs w:val="24"/>
        </w:rPr>
      </w:pPr>
    </w:p>
    <w:p>
      <w:pPr>
        <w:autoSpaceDE w:val="0"/>
        <w:autoSpaceDN w:val="0"/>
        <w:spacing w:line="360" w:lineRule="auto"/>
        <w:jc w:val="center"/>
        <w:rPr>
          <w:rFonts w:ascii="宋体" w:hAnsi="宋体"/>
          <w:color w:val="auto"/>
          <w:sz w:val="24"/>
          <w:szCs w:val="24"/>
        </w:rPr>
      </w:pPr>
    </w:p>
    <w:p>
      <w:pPr>
        <w:pStyle w:val="4"/>
        <w:numPr>
          <w:ilvl w:val="0"/>
          <w:numId w:val="91"/>
        </w:numPr>
        <w:tabs>
          <w:tab w:val="left" w:pos="0"/>
          <w:tab w:val="left" w:pos="945"/>
        </w:tabs>
        <w:spacing w:before="0" w:after="0" w:line="360" w:lineRule="auto"/>
        <w:ind w:left="0" w:firstLine="0"/>
        <w:rPr>
          <w:rFonts w:ascii="宋体" w:hAnsi="宋体"/>
          <w:color w:val="auto"/>
          <w:sz w:val="28"/>
          <w:szCs w:val="28"/>
        </w:rPr>
      </w:pPr>
      <w:bookmarkStart w:id="372" w:name="_Toc54335470"/>
      <w:bookmarkStart w:id="373" w:name="_Toc22806189"/>
      <w:bookmarkStart w:id="374" w:name="_Toc6395"/>
      <w:r>
        <w:rPr>
          <w:rFonts w:hint="eastAsia" w:ascii="宋体" w:hAnsi="宋体"/>
          <w:color w:val="auto"/>
          <w:sz w:val="28"/>
          <w:szCs w:val="28"/>
        </w:rPr>
        <w:t>封面格式（供参考）</w:t>
      </w:r>
      <w:bookmarkEnd w:id="372"/>
      <w:bookmarkEnd w:id="373"/>
      <w:bookmarkEnd w:id="374"/>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jc w:val="center"/>
        <w:rPr>
          <w:rFonts w:ascii="宋体" w:hAnsi="宋体"/>
          <w:b/>
          <w:color w:val="auto"/>
          <w:sz w:val="44"/>
          <w:szCs w:val="4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jc w:val="center"/>
        <w:rPr>
          <w:rFonts w:ascii="宋体" w:hAnsi="宋体"/>
          <w:b/>
          <w:color w:val="auto"/>
          <w:sz w:val="84"/>
          <w:szCs w:val="84"/>
        </w:rPr>
      </w:pPr>
      <w:r>
        <w:rPr>
          <w:rFonts w:hint="eastAsia" w:ascii="宋体" w:hAnsi="宋体"/>
          <w:b/>
          <w:color w:val="auto"/>
          <w:sz w:val="84"/>
          <w:szCs w:val="84"/>
        </w:rPr>
        <w:t>投标文件</w:t>
      </w:r>
    </w:p>
    <w:p>
      <w:pPr>
        <w:autoSpaceDE w:val="0"/>
        <w:autoSpaceDN w:val="0"/>
        <w:spacing w:line="360" w:lineRule="auto"/>
        <w:jc w:val="center"/>
        <w:rPr>
          <w:rFonts w:ascii="宋体" w:hAnsi="宋体"/>
          <w:b/>
          <w:color w:val="auto"/>
          <w:sz w:val="32"/>
          <w:szCs w:val="32"/>
        </w:rPr>
      </w:pPr>
      <w:r>
        <w:rPr>
          <w:rFonts w:hint="eastAsia" w:ascii="宋体" w:hAnsi="宋体"/>
          <w:b/>
          <w:color w:val="auto"/>
          <w:sz w:val="32"/>
          <w:szCs w:val="32"/>
        </w:rPr>
        <w:t>（正本/副本）</w:t>
      </w: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jc w:val="center"/>
        <w:rPr>
          <w:rFonts w:hint="eastAsia" w:ascii="宋体" w:hAnsi="宋体" w:eastAsia="宋体"/>
          <w:b/>
          <w:color w:val="auto"/>
          <w:sz w:val="28"/>
          <w:szCs w:val="28"/>
          <w:lang w:eastAsia="zh-CN"/>
        </w:rPr>
      </w:pPr>
      <w:r>
        <w:rPr>
          <w:rFonts w:hint="eastAsia" w:ascii="宋体" w:hAnsi="宋体"/>
          <w:b/>
          <w:color w:val="auto"/>
          <w:sz w:val="28"/>
          <w:szCs w:val="28"/>
        </w:rPr>
        <w:t>采购项目名称：</w:t>
      </w:r>
      <w:r>
        <w:rPr>
          <w:rFonts w:hint="eastAsia" w:ascii="宋体" w:hAnsi="宋体"/>
          <w:b/>
          <w:color w:val="auto"/>
          <w:sz w:val="28"/>
          <w:szCs w:val="28"/>
          <w:u w:val="thick"/>
          <w:lang w:eastAsia="zh-CN"/>
        </w:rPr>
        <w:t>工业和信息化部电子第五研究所动力电池配套使用环境试验箱采购项目</w:t>
      </w:r>
    </w:p>
    <w:p>
      <w:pPr>
        <w:autoSpaceDE w:val="0"/>
        <w:autoSpaceDN w:val="0"/>
        <w:spacing w:line="360" w:lineRule="auto"/>
        <w:jc w:val="center"/>
        <w:rPr>
          <w:rFonts w:hint="eastAsia" w:ascii="宋体" w:hAnsi="宋体" w:eastAsia="宋体"/>
          <w:b/>
          <w:color w:val="auto"/>
          <w:sz w:val="28"/>
          <w:szCs w:val="28"/>
          <w:lang w:eastAsia="zh-CN"/>
        </w:rPr>
      </w:pPr>
      <w:r>
        <w:rPr>
          <w:rFonts w:hint="eastAsia" w:ascii="宋体" w:hAnsi="宋体"/>
          <w:b/>
          <w:color w:val="auto"/>
          <w:sz w:val="28"/>
          <w:szCs w:val="28"/>
        </w:rPr>
        <w:t>采购文件编号：</w:t>
      </w:r>
      <w:r>
        <w:rPr>
          <w:rFonts w:hint="eastAsia" w:ascii="宋体" w:hAnsi="宋体"/>
          <w:b/>
          <w:color w:val="auto"/>
          <w:sz w:val="28"/>
          <w:szCs w:val="28"/>
          <w:u w:val="thick"/>
          <w:lang w:eastAsia="zh-CN"/>
        </w:rPr>
        <w:t>0809-2241GZG14036</w:t>
      </w:r>
    </w:p>
    <w:p>
      <w:pPr>
        <w:autoSpaceDE w:val="0"/>
        <w:autoSpaceDN w:val="0"/>
        <w:spacing w:line="360" w:lineRule="auto"/>
        <w:jc w:val="center"/>
        <w:rPr>
          <w:rFonts w:ascii="宋体" w:hAnsi="宋体"/>
          <w:b/>
          <w:color w:val="auto"/>
          <w:sz w:val="28"/>
          <w:szCs w:val="28"/>
        </w:rPr>
      </w:pPr>
      <w:r>
        <w:rPr>
          <w:rFonts w:hint="eastAsia" w:ascii="宋体" w:hAnsi="宋体"/>
          <w:b/>
          <w:color w:val="auto"/>
          <w:sz w:val="28"/>
          <w:szCs w:val="28"/>
        </w:rPr>
        <w:t>采购包号、采购包名称（内容）：（如适用）</w:t>
      </w: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jc w:val="center"/>
        <w:rPr>
          <w:rFonts w:ascii="宋体" w:hAnsi="宋体"/>
          <w:b/>
          <w:color w:val="auto"/>
          <w:sz w:val="28"/>
          <w:szCs w:val="28"/>
        </w:rPr>
      </w:pPr>
      <w:r>
        <w:rPr>
          <w:rFonts w:hint="eastAsia" w:ascii="宋体" w:hAnsi="宋体"/>
          <w:b/>
          <w:color w:val="auto"/>
          <w:sz w:val="28"/>
          <w:szCs w:val="28"/>
        </w:rPr>
        <w:t>投标人名称（加盖公章）：</w:t>
      </w:r>
      <w:r>
        <w:rPr>
          <w:rFonts w:hint="eastAsia" w:ascii="宋体" w:hAnsi="宋体"/>
          <w:b/>
          <w:color w:val="auto"/>
          <w:sz w:val="28"/>
          <w:szCs w:val="28"/>
          <w:u w:val="thick"/>
        </w:rPr>
        <w:t xml:space="preserve">                     </w:t>
      </w:r>
      <w:r>
        <w:rPr>
          <w:rFonts w:hint="eastAsia" w:ascii="宋体" w:hAnsi="宋体"/>
          <w:b/>
          <w:color w:val="auto"/>
          <w:sz w:val="28"/>
          <w:szCs w:val="28"/>
        </w:rPr>
        <w:t>.</w:t>
      </w:r>
    </w:p>
    <w:p>
      <w:pPr>
        <w:autoSpaceDE w:val="0"/>
        <w:autoSpaceDN w:val="0"/>
        <w:spacing w:line="360" w:lineRule="auto"/>
        <w:jc w:val="center"/>
        <w:rPr>
          <w:rFonts w:ascii="宋体" w:hAnsi="宋体"/>
          <w:b/>
          <w:color w:val="auto"/>
          <w:sz w:val="28"/>
          <w:szCs w:val="28"/>
          <w:u w:val="single"/>
        </w:rPr>
      </w:pPr>
      <w:r>
        <w:rPr>
          <w:rFonts w:hint="eastAsia" w:ascii="宋体" w:hAnsi="宋体"/>
          <w:b/>
          <w:color w:val="auto"/>
          <w:sz w:val="28"/>
          <w:szCs w:val="28"/>
        </w:rPr>
        <w:t>授权代表（签字或盖章）：</w:t>
      </w:r>
      <w:r>
        <w:rPr>
          <w:rFonts w:hint="eastAsia" w:ascii="宋体" w:hAnsi="宋体"/>
          <w:b/>
          <w:color w:val="auto"/>
          <w:sz w:val="28"/>
          <w:szCs w:val="28"/>
          <w:u w:val="thick"/>
        </w:rPr>
        <w:t xml:space="preserve">                     </w:t>
      </w:r>
      <w:r>
        <w:rPr>
          <w:rFonts w:hint="eastAsia" w:ascii="宋体" w:hAnsi="宋体"/>
          <w:b/>
          <w:color w:val="auto"/>
          <w:sz w:val="28"/>
          <w:szCs w:val="28"/>
        </w:rPr>
        <w:t>.</w:t>
      </w:r>
    </w:p>
    <w:p>
      <w:pPr>
        <w:autoSpaceDE w:val="0"/>
        <w:autoSpaceDN w:val="0"/>
        <w:spacing w:line="360" w:lineRule="auto"/>
        <w:jc w:val="center"/>
        <w:rPr>
          <w:rFonts w:ascii="宋体" w:hAnsi="宋体"/>
          <w:b/>
          <w:color w:val="auto"/>
          <w:sz w:val="28"/>
          <w:szCs w:val="28"/>
        </w:rPr>
      </w:pPr>
      <w:r>
        <w:rPr>
          <w:rFonts w:hint="eastAsia" w:ascii="宋体" w:hAnsi="宋体"/>
          <w:b/>
          <w:color w:val="auto"/>
          <w:sz w:val="28"/>
          <w:szCs w:val="28"/>
        </w:rPr>
        <w:t>日期：</w:t>
      </w:r>
      <w:r>
        <w:rPr>
          <w:rFonts w:hint="eastAsia" w:ascii="宋体" w:hAnsi="宋体"/>
          <w:b/>
          <w:color w:val="auto"/>
          <w:sz w:val="28"/>
          <w:szCs w:val="28"/>
          <w:u w:val="thick"/>
        </w:rPr>
        <w:t xml:space="preserve">                </w:t>
      </w:r>
      <w:r>
        <w:rPr>
          <w:rFonts w:hint="eastAsia" w:ascii="宋体" w:hAnsi="宋体"/>
          <w:b/>
          <w:color w:val="auto"/>
          <w:sz w:val="28"/>
          <w:szCs w:val="28"/>
        </w:rPr>
        <w:t>年</w:t>
      </w:r>
      <w:r>
        <w:rPr>
          <w:rFonts w:hint="eastAsia" w:ascii="宋体" w:hAnsi="宋体"/>
          <w:b/>
          <w:color w:val="auto"/>
          <w:sz w:val="28"/>
          <w:szCs w:val="28"/>
          <w:u w:val="thick"/>
        </w:rPr>
        <w:t xml:space="preserve">        </w:t>
      </w:r>
      <w:r>
        <w:rPr>
          <w:rFonts w:hint="eastAsia" w:ascii="宋体" w:hAnsi="宋体"/>
          <w:b/>
          <w:color w:val="auto"/>
          <w:sz w:val="28"/>
          <w:szCs w:val="28"/>
        </w:rPr>
        <w:t>月</w:t>
      </w:r>
      <w:r>
        <w:rPr>
          <w:rFonts w:hint="eastAsia" w:ascii="宋体" w:hAnsi="宋体"/>
          <w:b/>
          <w:color w:val="auto"/>
          <w:sz w:val="28"/>
          <w:szCs w:val="28"/>
          <w:u w:val="thick"/>
        </w:rPr>
        <w:t xml:space="preserve">        </w:t>
      </w:r>
      <w:r>
        <w:rPr>
          <w:rFonts w:hint="eastAsia" w:ascii="宋体" w:hAnsi="宋体"/>
          <w:b/>
          <w:color w:val="auto"/>
          <w:sz w:val="28"/>
          <w:szCs w:val="28"/>
        </w:rPr>
        <w:t>日</w:t>
      </w:r>
    </w:p>
    <w:p>
      <w:pPr>
        <w:autoSpaceDE w:val="0"/>
        <w:autoSpaceDN w:val="0"/>
        <w:spacing w:line="360" w:lineRule="auto"/>
        <w:rPr>
          <w:rFonts w:ascii="宋体" w:hAnsi="宋体"/>
          <w:color w:val="auto"/>
          <w:sz w:val="24"/>
          <w:szCs w:val="24"/>
        </w:rPr>
      </w:pPr>
    </w:p>
    <w:p>
      <w:pPr>
        <w:pStyle w:val="4"/>
        <w:numPr>
          <w:ilvl w:val="0"/>
          <w:numId w:val="91"/>
        </w:numPr>
        <w:tabs>
          <w:tab w:val="left" w:pos="945"/>
        </w:tabs>
        <w:spacing w:before="0" w:after="0" w:line="360" w:lineRule="auto"/>
        <w:ind w:left="984" w:hanging="980" w:hangingChars="350"/>
        <w:rPr>
          <w:rFonts w:ascii="宋体" w:hAnsi="宋体"/>
          <w:color w:val="auto"/>
          <w:sz w:val="28"/>
          <w:szCs w:val="28"/>
        </w:rPr>
      </w:pPr>
      <w:bookmarkStart w:id="375" w:name="_Toc25448"/>
      <w:bookmarkStart w:id="376" w:name="_Toc54335471"/>
      <w:bookmarkStart w:id="377" w:name="_Toc22806190"/>
      <w:r>
        <w:rPr>
          <w:rFonts w:hint="eastAsia" w:ascii="宋体" w:hAnsi="宋体"/>
          <w:color w:val="auto"/>
          <w:sz w:val="28"/>
          <w:szCs w:val="28"/>
        </w:rPr>
        <w:t>目录</w:t>
      </w:r>
      <w:bookmarkEnd w:id="375"/>
      <w:bookmarkEnd w:id="376"/>
      <w:bookmarkEnd w:id="377"/>
    </w:p>
    <w:p>
      <w:pPr>
        <w:autoSpaceDE w:val="0"/>
        <w:autoSpaceDN w:val="0"/>
        <w:spacing w:line="360" w:lineRule="auto"/>
        <w:ind w:firstLine="1280" w:firstLineChars="400"/>
        <w:jc w:val="center"/>
        <w:rPr>
          <w:rFonts w:ascii="宋体" w:hAnsi="宋体"/>
          <w:b/>
          <w:color w:val="auto"/>
          <w:sz w:val="32"/>
          <w:szCs w:val="32"/>
        </w:rPr>
      </w:pPr>
      <w:r>
        <w:rPr>
          <w:rFonts w:hint="eastAsia" w:ascii="宋体" w:hAnsi="宋体"/>
          <w:b/>
          <w:color w:val="auto"/>
          <w:sz w:val="32"/>
          <w:szCs w:val="32"/>
        </w:rPr>
        <w:t>目录</w:t>
      </w:r>
    </w:p>
    <w:tbl>
      <w:tblPr>
        <w:tblStyle w:val="29"/>
        <w:tblW w:w="0" w:type="auto"/>
        <w:tblInd w:w="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5936"/>
        <w:gridCol w:w="567"/>
        <w:gridCol w:w="615"/>
        <w:gridCol w:w="1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19" w:type="dxa"/>
            <w:vMerge w:val="restart"/>
            <w:vAlign w:val="center"/>
          </w:tcPr>
          <w:p>
            <w:pPr>
              <w:autoSpaceDE w:val="0"/>
              <w:autoSpaceDN w:val="0"/>
              <w:jc w:val="center"/>
              <w:rPr>
                <w:rFonts w:ascii="宋体" w:hAnsi="宋体"/>
                <w:b/>
                <w:color w:val="auto"/>
                <w:sz w:val="24"/>
                <w:szCs w:val="24"/>
              </w:rPr>
            </w:pPr>
            <w:r>
              <w:rPr>
                <w:rFonts w:hint="eastAsia" w:ascii="宋体" w:hAnsi="宋体"/>
                <w:b/>
                <w:color w:val="auto"/>
                <w:sz w:val="24"/>
                <w:szCs w:val="24"/>
              </w:rPr>
              <w:t>序号</w:t>
            </w:r>
          </w:p>
        </w:tc>
        <w:tc>
          <w:tcPr>
            <w:tcW w:w="5936" w:type="dxa"/>
            <w:vMerge w:val="restart"/>
            <w:vAlign w:val="center"/>
          </w:tcPr>
          <w:p>
            <w:pPr>
              <w:autoSpaceDE w:val="0"/>
              <w:autoSpaceDN w:val="0"/>
              <w:jc w:val="center"/>
              <w:rPr>
                <w:rFonts w:ascii="宋体" w:hAnsi="宋体"/>
                <w:b/>
                <w:color w:val="auto"/>
                <w:sz w:val="24"/>
                <w:szCs w:val="24"/>
              </w:rPr>
            </w:pPr>
            <w:r>
              <w:rPr>
                <w:rFonts w:hint="eastAsia" w:ascii="宋体" w:hAnsi="宋体"/>
                <w:b/>
                <w:color w:val="auto"/>
                <w:sz w:val="24"/>
                <w:szCs w:val="24"/>
              </w:rPr>
              <w:t>文件内容</w:t>
            </w:r>
          </w:p>
        </w:tc>
        <w:tc>
          <w:tcPr>
            <w:tcW w:w="1182" w:type="dxa"/>
            <w:gridSpan w:val="2"/>
            <w:vAlign w:val="center"/>
          </w:tcPr>
          <w:p>
            <w:pPr>
              <w:autoSpaceDE w:val="0"/>
              <w:autoSpaceDN w:val="0"/>
              <w:jc w:val="center"/>
              <w:rPr>
                <w:rFonts w:ascii="宋体" w:hAnsi="宋体"/>
                <w:b/>
                <w:color w:val="auto"/>
                <w:sz w:val="24"/>
                <w:szCs w:val="24"/>
              </w:rPr>
            </w:pPr>
            <w:r>
              <w:rPr>
                <w:rFonts w:hint="eastAsia" w:ascii="宋体" w:hAnsi="宋体"/>
                <w:b/>
                <w:color w:val="auto"/>
                <w:sz w:val="24"/>
                <w:szCs w:val="24"/>
              </w:rPr>
              <w:t>提交情况</w:t>
            </w:r>
          </w:p>
        </w:tc>
        <w:tc>
          <w:tcPr>
            <w:tcW w:w="1447" w:type="dxa"/>
            <w:vMerge w:val="restart"/>
            <w:vAlign w:val="center"/>
          </w:tcPr>
          <w:p>
            <w:pPr>
              <w:autoSpaceDE w:val="0"/>
              <w:autoSpaceDN w:val="0"/>
              <w:jc w:val="center"/>
              <w:rPr>
                <w:rFonts w:ascii="宋体" w:hAnsi="宋体"/>
                <w:b/>
                <w:color w:val="auto"/>
                <w:sz w:val="24"/>
                <w:szCs w:val="24"/>
              </w:rPr>
            </w:pPr>
            <w:r>
              <w:rPr>
                <w:rFonts w:hint="eastAsia" w:ascii="宋体" w:hAnsi="宋体"/>
                <w:b/>
                <w:color w:val="auto"/>
                <w:sz w:val="24"/>
                <w:szCs w:val="24"/>
              </w:rPr>
              <w:t>内容所在</w:t>
            </w:r>
          </w:p>
          <w:p>
            <w:pPr>
              <w:autoSpaceDE w:val="0"/>
              <w:autoSpaceDN w:val="0"/>
              <w:jc w:val="center"/>
              <w:rPr>
                <w:rFonts w:ascii="宋体" w:hAnsi="宋体"/>
                <w:b/>
                <w:color w:val="auto"/>
                <w:sz w:val="24"/>
                <w:szCs w:val="24"/>
              </w:rPr>
            </w:pPr>
            <w:r>
              <w:rPr>
                <w:rFonts w:hint="eastAsia" w:ascii="宋体" w:hAnsi="宋体"/>
                <w:b/>
                <w:color w:val="auto"/>
                <w:sz w:val="24"/>
                <w:szCs w:val="24"/>
              </w:rPr>
              <w:t>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819" w:type="dxa"/>
            <w:vMerge w:val="continue"/>
            <w:vAlign w:val="center"/>
          </w:tcPr>
          <w:p>
            <w:pPr>
              <w:autoSpaceDE w:val="0"/>
              <w:autoSpaceDN w:val="0"/>
              <w:jc w:val="center"/>
              <w:rPr>
                <w:rFonts w:ascii="宋体" w:hAnsi="宋体"/>
                <w:color w:val="auto"/>
                <w:sz w:val="24"/>
                <w:szCs w:val="24"/>
              </w:rPr>
            </w:pPr>
          </w:p>
        </w:tc>
        <w:tc>
          <w:tcPr>
            <w:tcW w:w="5936" w:type="dxa"/>
            <w:vMerge w:val="continue"/>
            <w:vAlign w:val="center"/>
          </w:tcPr>
          <w:p>
            <w:pPr>
              <w:autoSpaceDE w:val="0"/>
              <w:autoSpaceDN w:val="0"/>
              <w:jc w:val="center"/>
              <w:rPr>
                <w:rFonts w:ascii="宋体" w:hAnsi="宋体"/>
                <w:color w:val="auto"/>
                <w:sz w:val="24"/>
                <w:szCs w:val="24"/>
              </w:rPr>
            </w:pPr>
          </w:p>
        </w:tc>
        <w:tc>
          <w:tcPr>
            <w:tcW w:w="567" w:type="dxa"/>
            <w:vAlign w:val="center"/>
          </w:tcPr>
          <w:p>
            <w:pPr>
              <w:autoSpaceDE w:val="0"/>
              <w:autoSpaceDN w:val="0"/>
              <w:jc w:val="center"/>
              <w:rPr>
                <w:rFonts w:ascii="宋体" w:hAnsi="宋体"/>
                <w:b/>
                <w:color w:val="auto"/>
                <w:sz w:val="24"/>
                <w:szCs w:val="24"/>
              </w:rPr>
            </w:pPr>
            <w:r>
              <w:rPr>
                <w:rFonts w:hint="eastAsia" w:ascii="宋体" w:hAnsi="宋体"/>
                <w:b/>
                <w:color w:val="auto"/>
                <w:sz w:val="24"/>
                <w:szCs w:val="24"/>
              </w:rPr>
              <w:t>有</w:t>
            </w:r>
          </w:p>
        </w:tc>
        <w:tc>
          <w:tcPr>
            <w:tcW w:w="615" w:type="dxa"/>
            <w:vAlign w:val="center"/>
          </w:tcPr>
          <w:p>
            <w:pPr>
              <w:autoSpaceDE w:val="0"/>
              <w:autoSpaceDN w:val="0"/>
              <w:jc w:val="center"/>
              <w:rPr>
                <w:rFonts w:ascii="宋体" w:hAnsi="宋体"/>
                <w:b/>
                <w:color w:val="auto"/>
                <w:sz w:val="24"/>
                <w:szCs w:val="24"/>
              </w:rPr>
            </w:pPr>
            <w:r>
              <w:rPr>
                <w:rFonts w:hint="eastAsia" w:ascii="宋体" w:hAnsi="宋体"/>
                <w:b/>
                <w:color w:val="auto"/>
                <w:sz w:val="24"/>
                <w:szCs w:val="24"/>
              </w:rPr>
              <w:t>无</w:t>
            </w:r>
          </w:p>
        </w:tc>
        <w:tc>
          <w:tcPr>
            <w:tcW w:w="1447" w:type="dxa"/>
            <w:vMerge w:val="continue"/>
            <w:vAlign w:val="center"/>
          </w:tcPr>
          <w:p>
            <w:pPr>
              <w:autoSpaceDE w:val="0"/>
              <w:autoSpaceDN w:val="0"/>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b/>
                <w:color w:val="auto"/>
                <w:sz w:val="24"/>
                <w:szCs w:val="24"/>
              </w:rPr>
            </w:pPr>
            <w:r>
              <w:rPr>
                <w:rFonts w:hint="eastAsia" w:ascii="宋体" w:hAnsi="宋体"/>
                <w:b/>
                <w:color w:val="auto"/>
                <w:sz w:val="24"/>
                <w:szCs w:val="24"/>
              </w:rPr>
              <w:t>一、</w:t>
            </w:r>
          </w:p>
        </w:tc>
        <w:tc>
          <w:tcPr>
            <w:tcW w:w="5936" w:type="dxa"/>
            <w:vAlign w:val="center"/>
          </w:tcPr>
          <w:p>
            <w:pPr>
              <w:autoSpaceDE w:val="0"/>
              <w:autoSpaceDN w:val="0"/>
              <w:rPr>
                <w:rFonts w:ascii="宋体" w:hAnsi="宋体"/>
                <w:b/>
                <w:color w:val="auto"/>
                <w:sz w:val="24"/>
                <w:szCs w:val="24"/>
              </w:rPr>
            </w:pPr>
            <w:r>
              <w:rPr>
                <w:color w:val="auto"/>
              </w:rPr>
              <w:fldChar w:fldCharType="begin"/>
            </w:r>
            <w:r>
              <w:rPr>
                <w:color w:val="auto"/>
              </w:rPr>
              <w:instrText xml:space="preserve"> HYPERLINK \l "_Toc22806189" </w:instrText>
            </w:r>
            <w:r>
              <w:rPr>
                <w:color w:val="auto"/>
              </w:rPr>
              <w:fldChar w:fldCharType="separate"/>
            </w:r>
            <w:r>
              <w:rPr>
                <w:rFonts w:ascii="宋体" w:hAnsi="宋体"/>
                <w:b/>
                <w:smallCaps/>
                <w:color w:val="auto"/>
                <w:sz w:val="24"/>
                <w:szCs w:val="24"/>
              </w:rPr>
              <w:tab/>
            </w:r>
            <w:r>
              <w:rPr>
                <w:rStyle w:val="34"/>
                <w:rFonts w:hint="eastAsia" w:ascii="宋体" w:hAnsi="宋体"/>
                <w:b/>
                <w:color w:val="auto"/>
                <w:sz w:val="24"/>
                <w:szCs w:val="24"/>
                <w:u w:val="none"/>
              </w:rPr>
              <w:t>封面（供参考）</w:t>
            </w:r>
            <w:r>
              <w:rPr>
                <w:rStyle w:val="34"/>
                <w:rFonts w:hint="eastAsia" w:ascii="宋体" w:hAnsi="宋体"/>
                <w:b/>
                <w:color w:val="auto"/>
                <w:sz w:val="24"/>
                <w:szCs w:val="24"/>
                <w:u w:val="none"/>
              </w:rPr>
              <w:fldChar w:fldCharType="end"/>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hint="eastAsia" w:ascii="宋体" w:hAnsi="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b/>
                <w:color w:val="auto"/>
                <w:sz w:val="24"/>
                <w:szCs w:val="24"/>
              </w:rPr>
            </w:pPr>
            <w:r>
              <w:rPr>
                <w:rFonts w:hint="eastAsia" w:ascii="宋体" w:hAnsi="宋体"/>
                <w:b/>
                <w:color w:val="auto"/>
                <w:sz w:val="24"/>
                <w:szCs w:val="24"/>
              </w:rPr>
              <w:t>二、</w:t>
            </w:r>
          </w:p>
        </w:tc>
        <w:tc>
          <w:tcPr>
            <w:tcW w:w="5936" w:type="dxa"/>
            <w:vAlign w:val="center"/>
          </w:tcPr>
          <w:p>
            <w:pPr>
              <w:autoSpaceDE w:val="0"/>
              <w:autoSpaceDN w:val="0"/>
              <w:rPr>
                <w:rFonts w:ascii="宋体" w:hAnsi="宋体"/>
                <w:b/>
                <w:color w:val="auto"/>
                <w:sz w:val="24"/>
                <w:szCs w:val="24"/>
              </w:rPr>
            </w:pPr>
            <w:r>
              <w:rPr>
                <w:color w:val="auto"/>
              </w:rPr>
              <w:fldChar w:fldCharType="begin"/>
            </w:r>
            <w:r>
              <w:rPr>
                <w:color w:val="auto"/>
              </w:rPr>
              <w:instrText xml:space="preserve"> HYPERLINK \l "_Toc22806190" </w:instrText>
            </w:r>
            <w:r>
              <w:rPr>
                <w:color w:val="auto"/>
              </w:rPr>
              <w:fldChar w:fldCharType="separate"/>
            </w:r>
            <w:r>
              <w:rPr>
                <w:rStyle w:val="34"/>
                <w:rFonts w:hint="eastAsia" w:ascii="宋体" w:hAnsi="宋体"/>
                <w:b/>
                <w:color w:val="auto"/>
                <w:sz w:val="24"/>
                <w:szCs w:val="24"/>
                <w:u w:val="none"/>
              </w:rPr>
              <w:t>目录</w:t>
            </w:r>
            <w:r>
              <w:rPr>
                <w:rStyle w:val="34"/>
                <w:rFonts w:hint="eastAsia" w:ascii="宋体" w:hAnsi="宋体"/>
                <w:b/>
                <w:color w:val="auto"/>
                <w:sz w:val="24"/>
                <w:szCs w:val="24"/>
                <w:u w:val="none"/>
              </w:rPr>
              <w:fldChar w:fldCharType="end"/>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b/>
                <w:color w:val="auto"/>
                <w:sz w:val="24"/>
                <w:szCs w:val="24"/>
              </w:rPr>
            </w:pPr>
            <w:r>
              <w:rPr>
                <w:rFonts w:hint="eastAsia" w:ascii="宋体" w:hAnsi="宋体"/>
                <w:b/>
                <w:color w:val="auto"/>
                <w:sz w:val="24"/>
                <w:szCs w:val="24"/>
              </w:rPr>
              <w:t>三、</w:t>
            </w:r>
          </w:p>
        </w:tc>
        <w:tc>
          <w:tcPr>
            <w:tcW w:w="5936" w:type="dxa"/>
            <w:vAlign w:val="center"/>
          </w:tcPr>
          <w:p>
            <w:pPr>
              <w:autoSpaceDE w:val="0"/>
              <w:autoSpaceDN w:val="0"/>
              <w:rPr>
                <w:rFonts w:ascii="宋体" w:hAnsi="宋体"/>
                <w:b/>
                <w:color w:val="auto"/>
                <w:sz w:val="24"/>
                <w:szCs w:val="24"/>
              </w:rPr>
            </w:pPr>
            <w:r>
              <w:rPr>
                <w:color w:val="auto"/>
              </w:rPr>
              <w:fldChar w:fldCharType="begin"/>
            </w:r>
            <w:r>
              <w:rPr>
                <w:color w:val="auto"/>
              </w:rPr>
              <w:instrText xml:space="preserve"> HYPERLINK \l "_Toc22806191" </w:instrText>
            </w:r>
            <w:r>
              <w:rPr>
                <w:color w:val="auto"/>
              </w:rPr>
              <w:fldChar w:fldCharType="separate"/>
            </w:r>
            <w:r>
              <w:rPr>
                <w:rFonts w:ascii="宋体" w:hAnsi="宋体"/>
                <w:b/>
                <w:smallCaps/>
                <w:color w:val="auto"/>
                <w:sz w:val="24"/>
                <w:szCs w:val="24"/>
              </w:rPr>
              <w:tab/>
            </w:r>
            <w:r>
              <w:rPr>
                <w:rStyle w:val="34"/>
                <w:rFonts w:hint="eastAsia" w:ascii="宋体" w:hAnsi="宋体"/>
                <w:b/>
                <w:color w:val="auto"/>
                <w:sz w:val="24"/>
                <w:szCs w:val="24"/>
                <w:u w:val="none"/>
              </w:rPr>
              <w:t>自查、自评表</w:t>
            </w:r>
            <w:r>
              <w:rPr>
                <w:rStyle w:val="34"/>
                <w:rFonts w:hint="eastAsia" w:ascii="宋体" w:hAnsi="宋体"/>
                <w:b/>
                <w:color w:val="auto"/>
                <w:sz w:val="24"/>
                <w:szCs w:val="24"/>
                <w:u w:val="none"/>
              </w:rPr>
              <w:fldChar w:fldCharType="end"/>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b/>
                <w:color w:val="auto"/>
                <w:sz w:val="24"/>
                <w:szCs w:val="24"/>
              </w:rPr>
            </w:pPr>
            <w:r>
              <w:rPr>
                <w:rFonts w:hint="eastAsia" w:ascii="宋体" w:hAnsi="宋体"/>
                <w:b/>
                <w:color w:val="auto"/>
                <w:sz w:val="24"/>
                <w:szCs w:val="24"/>
              </w:rPr>
              <w:t>1.</w:t>
            </w:r>
          </w:p>
        </w:tc>
        <w:tc>
          <w:tcPr>
            <w:tcW w:w="5936" w:type="dxa"/>
            <w:vAlign w:val="center"/>
          </w:tcPr>
          <w:p>
            <w:pPr>
              <w:autoSpaceDE w:val="0"/>
              <w:autoSpaceDN w:val="0"/>
              <w:rPr>
                <w:rFonts w:ascii="宋体" w:hAnsi="宋体"/>
                <w:b/>
                <w:color w:val="auto"/>
                <w:sz w:val="24"/>
                <w:szCs w:val="24"/>
              </w:rPr>
            </w:pPr>
            <w:r>
              <w:rPr>
                <w:rFonts w:hint="eastAsia" w:ascii="宋体" w:hAnsi="宋体"/>
                <w:b/>
                <w:color w:val="auto"/>
                <w:sz w:val="24"/>
                <w:szCs w:val="24"/>
              </w:rPr>
              <w:t>自查表</w:t>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hint="eastAsia" w:ascii="宋体" w:hAnsi="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color w:val="auto"/>
                <w:sz w:val="24"/>
                <w:szCs w:val="24"/>
              </w:rPr>
            </w:pPr>
            <w:r>
              <w:rPr>
                <w:rFonts w:hint="eastAsia" w:ascii="宋体" w:hAnsi="宋体"/>
                <w:color w:val="auto"/>
                <w:sz w:val="24"/>
                <w:szCs w:val="24"/>
              </w:rPr>
              <w:t>1.1</w:t>
            </w:r>
          </w:p>
        </w:tc>
        <w:tc>
          <w:tcPr>
            <w:tcW w:w="5936" w:type="dxa"/>
            <w:vAlign w:val="center"/>
          </w:tcPr>
          <w:p>
            <w:pPr>
              <w:autoSpaceDE w:val="0"/>
              <w:autoSpaceDN w:val="0"/>
              <w:rPr>
                <w:rFonts w:ascii="宋体" w:hAnsi="宋体"/>
                <w:color w:val="auto"/>
                <w:sz w:val="24"/>
                <w:szCs w:val="24"/>
              </w:rPr>
            </w:pPr>
            <w:r>
              <w:rPr>
                <w:color w:val="auto"/>
              </w:rPr>
              <w:fldChar w:fldCharType="begin"/>
            </w:r>
            <w:r>
              <w:rPr>
                <w:color w:val="auto"/>
              </w:rPr>
              <w:instrText xml:space="preserve"> HYPERLINK \l "_Toc22806192" </w:instrText>
            </w:r>
            <w:r>
              <w:rPr>
                <w:color w:val="auto"/>
              </w:rPr>
              <w:fldChar w:fldCharType="separate"/>
            </w:r>
            <w:r>
              <w:rPr>
                <w:rFonts w:hint="eastAsia" w:ascii="宋体" w:hAnsi="宋体"/>
                <w:color w:val="auto"/>
                <w:sz w:val="24"/>
                <w:szCs w:val="24"/>
              </w:rPr>
              <w:t>资格</w:t>
            </w:r>
            <w:r>
              <w:rPr>
                <w:rFonts w:ascii="宋体" w:hAnsi="宋体"/>
                <w:iCs/>
                <w:color w:val="auto"/>
                <w:sz w:val="24"/>
                <w:szCs w:val="24"/>
              </w:rPr>
              <w:tab/>
            </w:r>
            <w:r>
              <w:rPr>
                <w:rFonts w:hint="eastAsia" w:ascii="宋体" w:hAnsi="宋体"/>
                <w:iCs/>
                <w:color w:val="auto"/>
                <w:sz w:val="24"/>
                <w:szCs w:val="24"/>
              </w:rPr>
              <w:t>性</w:t>
            </w:r>
            <w:r>
              <w:rPr>
                <w:rStyle w:val="34"/>
                <w:rFonts w:hint="eastAsia" w:ascii="宋体" w:hAnsi="宋体"/>
                <w:color w:val="auto"/>
                <w:sz w:val="24"/>
                <w:szCs w:val="24"/>
                <w:u w:val="none"/>
              </w:rPr>
              <w:t>自查表</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color w:val="auto"/>
                <w:sz w:val="24"/>
                <w:szCs w:val="24"/>
              </w:rPr>
            </w:pPr>
            <w:r>
              <w:rPr>
                <w:rFonts w:hint="eastAsia" w:ascii="宋体" w:hAnsi="宋体"/>
                <w:color w:val="auto"/>
                <w:sz w:val="24"/>
                <w:szCs w:val="24"/>
              </w:rPr>
              <w:t>1.2</w:t>
            </w:r>
          </w:p>
        </w:tc>
        <w:tc>
          <w:tcPr>
            <w:tcW w:w="5936" w:type="dxa"/>
            <w:vAlign w:val="center"/>
          </w:tcPr>
          <w:p>
            <w:pPr>
              <w:autoSpaceDE w:val="0"/>
              <w:autoSpaceDN w:val="0"/>
              <w:rPr>
                <w:rFonts w:ascii="宋体" w:hAnsi="宋体"/>
                <w:color w:val="auto"/>
                <w:sz w:val="24"/>
                <w:szCs w:val="24"/>
              </w:rPr>
            </w:pPr>
            <w:r>
              <w:rPr>
                <w:color w:val="auto"/>
              </w:rPr>
              <w:fldChar w:fldCharType="begin"/>
            </w:r>
            <w:r>
              <w:rPr>
                <w:color w:val="auto"/>
              </w:rPr>
              <w:instrText xml:space="preserve"> HYPERLINK \l "_Toc22806193" </w:instrText>
            </w:r>
            <w:r>
              <w:rPr>
                <w:color w:val="auto"/>
              </w:rPr>
              <w:fldChar w:fldCharType="separate"/>
            </w:r>
            <w:r>
              <w:rPr>
                <w:rStyle w:val="34"/>
                <w:rFonts w:hint="eastAsia" w:ascii="宋体" w:hAnsi="宋体"/>
                <w:color w:val="auto"/>
                <w:sz w:val="24"/>
                <w:szCs w:val="24"/>
                <w:u w:val="none"/>
              </w:rPr>
              <w:t>符合性自查表</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color w:val="auto"/>
                <w:sz w:val="24"/>
                <w:szCs w:val="24"/>
              </w:rPr>
            </w:pPr>
            <w:r>
              <w:rPr>
                <w:rFonts w:hint="eastAsia" w:ascii="宋体" w:hAnsi="宋体"/>
                <w:color w:val="auto"/>
                <w:sz w:val="24"/>
                <w:szCs w:val="24"/>
              </w:rPr>
              <w:t>1.3</w:t>
            </w:r>
          </w:p>
        </w:tc>
        <w:tc>
          <w:tcPr>
            <w:tcW w:w="5936" w:type="dxa"/>
            <w:vAlign w:val="center"/>
          </w:tcPr>
          <w:p>
            <w:pPr>
              <w:autoSpaceDE w:val="0"/>
              <w:autoSpaceDN w:val="0"/>
              <w:rPr>
                <w:rFonts w:ascii="宋体" w:hAnsi="宋体"/>
                <w:color w:val="auto"/>
                <w:sz w:val="24"/>
                <w:szCs w:val="24"/>
              </w:rPr>
            </w:pPr>
            <w:r>
              <w:rPr>
                <w:color w:val="auto"/>
              </w:rPr>
              <w:fldChar w:fldCharType="begin"/>
            </w:r>
            <w:r>
              <w:rPr>
                <w:color w:val="auto"/>
              </w:rPr>
              <w:instrText xml:space="preserve"> HYPERLINK \l "_Toc22806194" </w:instrText>
            </w:r>
            <w:r>
              <w:rPr>
                <w:color w:val="auto"/>
              </w:rPr>
              <w:fldChar w:fldCharType="separate"/>
            </w:r>
            <w:r>
              <w:rPr>
                <w:rStyle w:val="34"/>
                <w:rFonts w:hint="eastAsia" w:ascii="宋体" w:hAnsi="宋体"/>
                <w:color w:val="auto"/>
                <w:sz w:val="24"/>
                <w:szCs w:val="24"/>
                <w:u w:val="none"/>
              </w:rPr>
              <w:t>实质性条款响应自查表</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ind w:right="360"/>
              <w:jc w:val="right"/>
              <w:rPr>
                <w:rFonts w:ascii="宋体" w:hAnsi="宋体"/>
                <w:b/>
                <w:color w:val="auto"/>
                <w:sz w:val="24"/>
                <w:szCs w:val="24"/>
              </w:rPr>
            </w:pPr>
            <w:r>
              <w:rPr>
                <w:rFonts w:hint="eastAsia" w:ascii="宋体" w:hAnsi="宋体"/>
                <w:b/>
                <w:color w:val="auto"/>
                <w:sz w:val="24"/>
                <w:szCs w:val="24"/>
              </w:rPr>
              <w:t>2.</w:t>
            </w:r>
          </w:p>
        </w:tc>
        <w:tc>
          <w:tcPr>
            <w:tcW w:w="5936" w:type="dxa"/>
            <w:vAlign w:val="center"/>
          </w:tcPr>
          <w:p>
            <w:pPr>
              <w:autoSpaceDE w:val="0"/>
              <w:autoSpaceDN w:val="0"/>
              <w:rPr>
                <w:rFonts w:ascii="宋体" w:hAnsi="宋体"/>
                <w:b/>
                <w:color w:val="auto"/>
                <w:sz w:val="24"/>
                <w:szCs w:val="24"/>
              </w:rPr>
            </w:pPr>
            <w:r>
              <w:rPr>
                <w:rFonts w:hint="eastAsia" w:ascii="宋体" w:hAnsi="宋体"/>
                <w:b/>
                <w:color w:val="auto"/>
                <w:sz w:val="24"/>
                <w:szCs w:val="24"/>
              </w:rPr>
              <w:t>自评表</w:t>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hint="eastAsia" w:ascii="宋体" w:hAnsi="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color w:val="auto"/>
                <w:sz w:val="24"/>
                <w:szCs w:val="24"/>
              </w:rPr>
            </w:pPr>
            <w:r>
              <w:rPr>
                <w:rFonts w:hint="eastAsia" w:ascii="宋体" w:hAnsi="宋体"/>
                <w:color w:val="auto"/>
                <w:sz w:val="24"/>
                <w:szCs w:val="24"/>
              </w:rPr>
              <w:t>2.1</w:t>
            </w:r>
          </w:p>
        </w:tc>
        <w:tc>
          <w:tcPr>
            <w:tcW w:w="5936" w:type="dxa"/>
            <w:vAlign w:val="center"/>
          </w:tcPr>
          <w:p>
            <w:pPr>
              <w:autoSpaceDE w:val="0"/>
              <w:autoSpaceDN w:val="0"/>
              <w:rPr>
                <w:rFonts w:ascii="宋体" w:hAnsi="宋体"/>
                <w:color w:val="auto"/>
                <w:sz w:val="24"/>
                <w:szCs w:val="24"/>
              </w:rPr>
            </w:pPr>
            <w:r>
              <w:rPr>
                <w:color w:val="auto"/>
              </w:rPr>
              <w:fldChar w:fldCharType="begin"/>
            </w:r>
            <w:r>
              <w:rPr>
                <w:color w:val="auto"/>
              </w:rPr>
              <w:instrText xml:space="preserve"> HYPERLINK \l "_Toc22806196" </w:instrText>
            </w:r>
            <w:r>
              <w:rPr>
                <w:color w:val="auto"/>
              </w:rPr>
              <w:fldChar w:fldCharType="separate"/>
            </w:r>
            <w:r>
              <w:rPr>
                <w:rStyle w:val="34"/>
                <w:rFonts w:hint="eastAsia" w:ascii="宋体" w:hAnsi="宋体"/>
                <w:color w:val="auto"/>
                <w:sz w:val="24"/>
                <w:szCs w:val="24"/>
                <w:u w:val="none"/>
              </w:rPr>
              <w:t>技术得分自评表</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color w:val="auto"/>
                <w:sz w:val="24"/>
                <w:szCs w:val="24"/>
              </w:rPr>
            </w:pPr>
            <w:r>
              <w:rPr>
                <w:rFonts w:hint="eastAsia" w:ascii="宋体" w:hAnsi="宋体"/>
                <w:color w:val="auto"/>
                <w:sz w:val="24"/>
                <w:szCs w:val="24"/>
              </w:rPr>
              <w:t>2.2</w:t>
            </w:r>
          </w:p>
        </w:tc>
        <w:tc>
          <w:tcPr>
            <w:tcW w:w="5936" w:type="dxa"/>
            <w:vAlign w:val="center"/>
          </w:tcPr>
          <w:p>
            <w:pPr>
              <w:autoSpaceDE w:val="0"/>
              <w:autoSpaceDN w:val="0"/>
              <w:rPr>
                <w:rFonts w:ascii="宋体" w:hAnsi="宋体"/>
                <w:color w:val="auto"/>
                <w:sz w:val="24"/>
                <w:szCs w:val="24"/>
              </w:rPr>
            </w:pPr>
            <w:r>
              <w:rPr>
                <w:color w:val="auto"/>
              </w:rPr>
              <w:fldChar w:fldCharType="begin"/>
            </w:r>
            <w:r>
              <w:rPr>
                <w:color w:val="auto"/>
              </w:rPr>
              <w:instrText xml:space="preserve"> HYPERLINK \l "_Toc22806197" </w:instrText>
            </w:r>
            <w:r>
              <w:rPr>
                <w:color w:val="auto"/>
              </w:rPr>
              <w:fldChar w:fldCharType="separate"/>
            </w:r>
            <w:r>
              <w:rPr>
                <w:rStyle w:val="34"/>
                <w:rFonts w:hint="eastAsia" w:ascii="宋体" w:hAnsi="宋体"/>
                <w:color w:val="auto"/>
                <w:sz w:val="24"/>
                <w:szCs w:val="24"/>
                <w:u w:val="none"/>
              </w:rPr>
              <w:t>商务得分自评表</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b/>
                <w:color w:val="auto"/>
                <w:sz w:val="24"/>
                <w:szCs w:val="24"/>
              </w:rPr>
            </w:pPr>
            <w:r>
              <w:rPr>
                <w:rFonts w:hint="eastAsia" w:ascii="宋体" w:hAnsi="宋体"/>
                <w:b/>
                <w:color w:val="auto"/>
                <w:sz w:val="24"/>
                <w:szCs w:val="24"/>
              </w:rPr>
              <w:t>四、</w:t>
            </w:r>
          </w:p>
        </w:tc>
        <w:tc>
          <w:tcPr>
            <w:tcW w:w="5936" w:type="dxa"/>
            <w:vAlign w:val="center"/>
          </w:tcPr>
          <w:p>
            <w:pPr>
              <w:autoSpaceDE w:val="0"/>
              <w:autoSpaceDN w:val="0"/>
              <w:rPr>
                <w:rFonts w:ascii="宋体" w:hAnsi="宋体"/>
                <w:b/>
                <w:color w:val="auto"/>
                <w:sz w:val="24"/>
                <w:szCs w:val="24"/>
              </w:rPr>
            </w:pPr>
            <w:r>
              <w:rPr>
                <w:color w:val="auto"/>
              </w:rPr>
              <w:fldChar w:fldCharType="begin"/>
            </w:r>
            <w:r>
              <w:rPr>
                <w:color w:val="auto"/>
              </w:rPr>
              <w:instrText xml:space="preserve"> HYPERLINK \l "_Toc22806198" </w:instrText>
            </w:r>
            <w:r>
              <w:rPr>
                <w:color w:val="auto"/>
              </w:rPr>
              <w:fldChar w:fldCharType="separate"/>
            </w:r>
            <w:r>
              <w:rPr>
                <w:rFonts w:ascii="宋体" w:hAnsi="宋体"/>
                <w:b/>
                <w:smallCaps/>
                <w:color w:val="auto"/>
                <w:sz w:val="24"/>
                <w:szCs w:val="24"/>
              </w:rPr>
              <w:tab/>
            </w:r>
            <w:r>
              <w:rPr>
                <w:rStyle w:val="34"/>
                <w:rFonts w:hint="eastAsia" w:ascii="宋体" w:hAnsi="宋体"/>
                <w:b/>
                <w:color w:val="auto"/>
                <w:sz w:val="24"/>
                <w:szCs w:val="24"/>
                <w:u w:val="none"/>
              </w:rPr>
              <w:t>资格、资信证明文件</w:t>
            </w:r>
            <w:r>
              <w:rPr>
                <w:rStyle w:val="34"/>
                <w:rFonts w:hint="eastAsia" w:ascii="宋体" w:hAnsi="宋体"/>
                <w:b/>
                <w:color w:val="auto"/>
                <w:sz w:val="24"/>
                <w:szCs w:val="24"/>
                <w:u w:val="none"/>
              </w:rPr>
              <w:fldChar w:fldCharType="end"/>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hint="eastAsia" w:ascii="宋体" w:hAnsi="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left"/>
              <w:rPr>
                <w:rFonts w:ascii="宋体" w:hAnsi="宋体"/>
                <w:color w:val="auto"/>
                <w:sz w:val="24"/>
                <w:szCs w:val="24"/>
              </w:rPr>
            </w:pPr>
            <w:r>
              <w:rPr>
                <w:rFonts w:hint="eastAsia" w:ascii="宋体" w:hAnsi="宋体"/>
                <w:color w:val="auto"/>
                <w:sz w:val="24"/>
                <w:szCs w:val="24"/>
              </w:rPr>
              <w:t>3.</w:t>
            </w:r>
          </w:p>
        </w:tc>
        <w:tc>
          <w:tcPr>
            <w:tcW w:w="5936" w:type="dxa"/>
            <w:vAlign w:val="center"/>
          </w:tcPr>
          <w:p>
            <w:pPr>
              <w:autoSpaceDE w:val="0"/>
              <w:autoSpaceDN w:val="0"/>
              <w:jc w:val="left"/>
              <w:rPr>
                <w:rFonts w:ascii="宋体" w:hAnsi="宋体"/>
                <w:color w:val="auto"/>
                <w:sz w:val="24"/>
                <w:szCs w:val="24"/>
              </w:rPr>
            </w:pPr>
            <w:r>
              <w:rPr>
                <w:color w:val="auto"/>
              </w:rPr>
              <w:fldChar w:fldCharType="begin"/>
            </w:r>
            <w:r>
              <w:rPr>
                <w:color w:val="auto"/>
              </w:rPr>
              <w:instrText xml:space="preserve"> HYPERLINK \l "_Toc22806199" </w:instrText>
            </w:r>
            <w:r>
              <w:rPr>
                <w:color w:val="auto"/>
              </w:rPr>
              <w:fldChar w:fldCharType="separate"/>
            </w:r>
            <w:r>
              <w:rPr>
                <w:rFonts w:ascii="宋体" w:hAnsi="宋体"/>
                <w:i/>
                <w:iCs/>
                <w:color w:val="auto"/>
                <w:sz w:val="24"/>
                <w:szCs w:val="24"/>
              </w:rPr>
              <w:tab/>
            </w:r>
            <w:r>
              <w:rPr>
                <w:rStyle w:val="34"/>
                <w:rFonts w:hint="eastAsia" w:ascii="宋体" w:hAnsi="宋体"/>
                <w:color w:val="auto"/>
                <w:sz w:val="24"/>
                <w:szCs w:val="24"/>
                <w:u w:val="none"/>
              </w:rPr>
              <w:t>投标函</w:t>
            </w:r>
            <w:r>
              <w:rPr>
                <w:rStyle w:val="34"/>
                <w:rFonts w:hint="eastAsia" w:ascii="宋体" w:hAnsi="宋体"/>
                <w:color w:val="auto"/>
                <w:sz w:val="24"/>
                <w:szCs w:val="24"/>
                <w:u w:val="none"/>
              </w:rPr>
              <w:fldChar w:fldCharType="end"/>
            </w:r>
            <w:r>
              <w:rPr>
                <w:rFonts w:hint="eastAsia" w:ascii="宋体" w:hAnsi="宋体"/>
                <w:color w:val="auto"/>
                <w:sz w:val="24"/>
                <w:szCs w:val="24"/>
              </w:rPr>
              <w:t>和供应商资格声明函</w:t>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hint="eastAsia" w:ascii="宋体" w:hAnsi="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color w:val="auto"/>
                <w:sz w:val="24"/>
                <w:szCs w:val="24"/>
              </w:rPr>
            </w:pPr>
            <w:r>
              <w:rPr>
                <w:rFonts w:hint="eastAsia" w:ascii="宋体" w:hAnsi="宋体"/>
                <w:color w:val="auto"/>
                <w:sz w:val="24"/>
                <w:szCs w:val="24"/>
              </w:rPr>
              <w:t>3.1</w:t>
            </w:r>
          </w:p>
        </w:tc>
        <w:tc>
          <w:tcPr>
            <w:tcW w:w="5936" w:type="dxa"/>
            <w:vAlign w:val="center"/>
          </w:tcPr>
          <w:p>
            <w:pPr>
              <w:autoSpaceDE w:val="0"/>
              <w:autoSpaceDN w:val="0"/>
              <w:jc w:val="left"/>
              <w:rPr>
                <w:rFonts w:ascii="宋体" w:hAnsi="宋体"/>
                <w:color w:val="auto"/>
                <w:sz w:val="24"/>
                <w:szCs w:val="24"/>
              </w:rPr>
            </w:pPr>
            <w:r>
              <w:rPr>
                <w:color w:val="auto"/>
              </w:rPr>
              <w:fldChar w:fldCharType="begin"/>
            </w:r>
            <w:r>
              <w:rPr>
                <w:color w:val="auto"/>
              </w:rPr>
              <w:instrText xml:space="preserve"> HYPERLINK \l "_Toc22806199" </w:instrText>
            </w:r>
            <w:r>
              <w:rPr>
                <w:color w:val="auto"/>
              </w:rPr>
              <w:fldChar w:fldCharType="separate"/>
            </w:r>
            <w:r>
              <w:rPr>
                <w:rFonts w:ascii="宋体" w:hAnsi="宋体"/>
                <w:i/>
                <w:iCs/>
                <w:color w:val="auto"/>
                <w:sz w:val="24"/>
                <w:szCs w:val="24"/>
              </w:rPr>
              <w:tab/>
            </w:r>
            <w:r>
              <w:rPr>
                <w:rFonts w:hint="eastAsia" w:ascii="Calibri" w:hAnsi="Calibri"/>
                <w:color w:val="auto"/>
                <w:sz w:val="24"/>
                <w:szCs w:val="24"/>
              </w:rPr>
              <w:t>投标函</w:t>
            </w:r>
            <w:r>
              <w:rPr>
                <w:rFonts w:hint="eastAsia" w:ascii="Calibri" w:hAnsi="Calibri"/>
                <w:color w:val="auto"/>
                <w:sz w:val="24"/>
                <w:szCs w:val="24"/>
              </w:rPr>
              <w:fldChar w:fldCharType="end"/>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color w:val="auto"/>
                <w:sz w:val="24"/>
                <w:szCs w:val="24"/>
              </w:rPr>
            </w:pPr>
            <w:r>
              <w:rPr>
                <w:rFonts w:hint="eastAsia" w:ascii="宋体" w:hAnsi="宋体"/>
                <w:color w:val="auto"/>
                <w:sz w:val="24"/>
                <w:szCs w:val="24"/>
              </w:rPr>
              <w:t>3.2</w:t>
            </w:r>
          </w:p>
        </w:tc>
        <w:tc>
          <w:tcPr>
            <w:tcW w:w="5936" w:type="dxa"/>
            <w:vAlign w:val="center"/>
          </w:tcPr>
          <w:p>
            <w:pPr>
              <w:autoSpaceDE w:val="0"/>
              <w:autoSpaceDN w:val="0"/>
              <w:jc w:val="left"/>
              <w:rPr>
                <w:rFonts w:ascii="宋体" w:hAnsi="宋体"/>
                <w:color w:val="auto"/>
                <w:sz w:val="24"/>
                <w:szCs w:val="24"/>
              </w:rPr>
            </w:pPr>
            <w:r>
              <w:rPr>
                <w:rFonts w:hint="eastAsia" w:ascii="宋体" w:hAnsi="宋体"/>
                <w:color w:val="auto"/>
                <w:sz w:val="24"/>
                <w:szCs w:val="24"/>
              </w:rPr>
              <w:t>供应商资格声明函</w:t>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left"/>
              <w:rPr>
                <w:rFonts w:ascii="宋体" w:hAnsi="宋体"/>
                <w:color w:val="auto"/>
                <w:sz w:val="24"/>
                <w:szCs w:val="24"/>
              </w:rPr>
            </w:pPr>
            <w:r>
              <w:rPr>
                <w:rFonts w:hint="eastAsia" w:ascii="宋体" w:hAnsi="宋体"/>
                <w:color w:val="auto"/>
                <w:sz w:val="24"/>
                <w:szCs w:val="24"/>
              </w:rPr>
              <w:t>4.</w:t>
            </w:r>
          </w:p>
        </w:tc>
        <w:tc>
          <w:tcPr>
            <w:tcW w:w="5936" w:type="dxa"/>
            <w:vAlign w:val="center"/>
          </w:tcPr>
          <w:p>
            <w:pPr>
              <w:autoSpaceDE w:val="0"/>
              <w:autoSpaceDN w:val="0"/>
              <w:jc w:val="left"/>
              <w:rPr>
                <w:rFonts w:ascii="宋体" w:hAnsi="宋体"/>
                <w:color w:val="auto"/>
                <w:sz w:val="24"/>
                <w:szCs w:val="24"/>
              </w:rPr>
            </w:pPr>
            <w:r>
              <w:rPr>
                <w:color w:val="auto"/>
              </w:rPr>
              <w:fldChar w:fldCharType="begin"/>
            </w:r>
            <w:r>
              <w:rPr>
                <w:color w:val="auto"/>
              </w:rPr>
              <w:instrText xml:space="preserve"> HYPERLINK \l "_Toc22806200" </w:instrText>
            </w:r>
            <w:r>
              <w:rPr>
                <w:color w:val="auto"/>
              </w:rPr>
              <w:fldChar w:fldCharType="separate"/>
            </w:r>
            <w:r>
              <w:rPr>
                <w:rStyle w:val="34"/>
                <w:rFonts w:hint="eastAsia" w:ascii="宋体" w:hAnsi="宋体"/>
                <w:color w:val="auto"/>
                <w:sz w:val="24"/>
                <w:szCs w:val="24"/>
                <w:u w:val="none"/>
              </w:rPr>
              <w:t>资格、资信证明文件</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hint="eastAsia" w:ascii="宋体" w:hAnsi="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color w:val="auto"/>
                <w:sz w:val="24"/>
                <w:szCs w:val="24"/>
              </w:rPr>
            </w:pPr>
            <w:r>
              <w:rPr>
                <w:rFonts w:hint="eastAsia" w:ascii="宋体" w:hAnsi="宋体"/>
                <w:color w:val="auto"/>
                <w:sz w:val="24"/>
                <w:szCs w:val="24"/>
              </w:rPr>
              <w:t>4.1.</w:t>
            </w:r>
          </w:p>
        </w:tc>
        <w:tc>
          <w:tcPr>
            <w:tcW w:w="5936" w:type="dxa"/>
            <w:vAlign w:val="center"/>
          </w:tcPr>
          <w:p>
            <w:pPr>
              <w:autoSpaceDE w:val="0"/>
              <w:autoSpaceDN w:val="0"/>
              <w:rPr>
                <w:rFonts w:ascii="宋体" w:hAnsi="宋体"/>
                <w:color w:val="auto"/>
                <w:sz w:val="24"/>
                <w:szCs w:val="24"/>
              </w:rPr>
            </w:pPr>
            <w:r>
              <w:rPr>
                <w:color w:val="auto"/>
              </w:rPr>
              <w:fldChar w:fldCharType="begin"/>
            </w:r>
            <w:r>
              <w:rPr>
                <w:color w:val="auto"/>
              </w:rPr>
              <w:instrText xml:space="preserve"> HYPERLINK \l "_Toc22806201" </w:instrText>
            </w:r>
            <w:r>
              <w:rPr>
                <w:color w:val="auto"/>
              </w:rPr>
              <w:fldChar w:fldCharType="separate"/>
            </w:r>
            <w:r>
              <w:rPr>
                <w:rFonts w:ascii="宋体" w:hAnsi="宋体"/>
                <w:color w:val="auto"/>
                <w:sz w:val="24"/>
                <w:szCs w:val="24"/>
              </w:rPr>
              <w:tab/>
            </w:r>
            <w:r>
              <w:rPr>
                <w:rStyle w:val="34"/>
                <w:rFonts w:hint="eastAsia" w:ascii="宋体" w:hAnsi="宋体"/>
                <w:color w:val="auto"/>
                <w:sz w:val="24"/>
                <w:szCs w:val="24"/>
                <w:u w:val="none"/>
              </w:rPr>
              <w:t>投标人具备《政府采购法》第二十二条规定的条件</w:t>
            </w:r>
            <w:r>
              <w:rPr>
                <w:rFonts w:hint="eastAsia" w:ascii="宋体" w:hAnsi="宋体"/>
                <w:color w:val="auto"/>
                <w:sz w:val="24"/>
                <w:szCs w:val="24"/>
              </w:rPr>
              <w:t>的</w:t>
            </w:r>
            <w:r>
              <w:rPr>
                <w:rStyle w:val="34"/>
                <w:rFonts w:hint="eastAsia" w:ascii="宋体" w:hAnsi="宋体"/>
                <w:color w:val="auto"/>
                <w:sz w:val="24"/>
                <w:szCs w:val="24"/>
                <w:u w:val="none"/>
              </w:rPr>
              <w:t>证明</w:t>
            </w:r>
            <w:r>
              <w:rPr>
                <w:rStyle w:val="34"/>
                <w:rFonts w:hint="eastAsia" w:ascii="宋体" w:hAnsi="宋体"/>
                <w:color w:val="auto"/>
                <w:sz w:val="24"/>
                <w:szCs w:val="24"/>
                <w:u w:val="none"/>
              </w:rPr>
              <w:fldChar w:fldCharType="end"/>
            </w:r>
            <w:r>
              <w:rPr>
                <w:rFonts w:hint="eastAsia" w:ascii="宋体" w:hAnsi="宋体"/>
                <w:color w:val="auto"/>
                <w:sz w:val="24"/>
                <w:szCs w:val="24"/>
              </w:rPr>
              <w:t>文件</w:t>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trPr>
        <w:tc>
          <w:tcPr>
            <w:tcW w:w="819" w:type="dxa"/>
            <w:vAlign w:val="center"/>
          </w:tcPr>
          <w:p>
            <w:pPr>
              <w:autoSpaceDE w:val="0"/>
              <w:autoSpaceDN w:val="0"/>
              <w:jc w:val="right"/>
              <w:rPr>
                <w:rFonts w:ascii="宋体" w:hAnsi="宋体"/>
                <w:color w:val="auto"/>
                <w:sz w:val="24"/>
                <w:szCs w:val="24"/>
              </w:rPr>
            </w:pPr>
            <w:r>
              <w:rPr>
                <w:rFonts w:hint="eastAsia" w:ascii="宋体" w:hAnsi="宋体"/>
                <w:color w:val="auto"/>
                <w:sz w:val="24"/>
                <w:szCs w:val="24"/>
              </w:rPr>
              <w:t>4.2.</w:t>
            </w:r>
          </w:p>
        </w:tc>
        <w:tc>
          <w:tcPr>
            <w:tcW w:w="5936" w:type="dxa"/>
            <w:vAlign w:val="center"/>
          </w:tcPr>
          <w:p>
            <w:pPr>
              <w:autoSpaceDE w:val="0"/>
              <w:autoSpaceDN w:val="0"/>
              <w:rPr>
                <w:rFonts w:ascii="宋体" w:hAnsi="宋体"/>
                <w:color w:val="auto"/>
                <w:sz w:val="24"/>
                <w:szCs w:val="24"/>
              </w:rPr>
            </w:pPr>
            <w:r>
              <w:rPr>
                <w:rFonts w:hint="eastAsia" w:ascii="宋体" w:hAnsi="宋体"/>
                <w:color w:val="auto"/>
                <w:sz w:val="24"/>
                <w:szCs w:val="24"/>
              </w:rPr>
              <w:t>落实政府采购政策需满足的资格要求的证明文件（如要求）</w:t>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color w:val="auto"/>
                <w:sz w:val="24"/>
                <w:szCs w:val="24"/>
              </w:rPr>
            </w:pPr>
            <w:r>
              <w:rPr>
                <w:rFonts w:hint="eastAsia" w:ascii="宋体" w:hAnsi="宋体"/>
                <w:color w:val="auto"/>
                <w:sz w:val="24"/>
                <w:szCs w:val="24"/>
              </w:rPr>
              <w:t>4.3.</w:t>
            </w:r>
          </w:p>
        </w:tc>
        <w:tc>
          <w:tcPr>
            <w:tcW w:w="5936" w:type="dxa"/>
            <w:vAlign w:val="center"/>
          </w:tcPr>
          <w:p>
            <w:pPr>
              <w:autoSpaceDE w:val="0"/>
              <w:autoSpaceDN w:val="0"/>
              <w:rPr>
                <w:rFonts w:ascii="宋体" w:hAnsi="宋体"/>
                <w:color w:val="auto"/>
                <w:sz w:val="24"/>
                <w:szCs w:val="24"/>
              </w:rPr>
            </w:pPr>
            <w:r>
              <w:rPr>
                <w:rFonts w:hint="eastAsia" w:ascii="宋体" w:hAnsi="宋体"/>
                <w:iCs/>
                <w:color w:val="auto"/>
                <w:sz w:val="24"/>
                <w:szCs w:val="24"/>
              </w:rPr>
              <w:t>本项目的特定资格要求的证明文件（如要求）</w:t>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Merge w:val="restart"/>
            <w:vAlign w:val="center"/>
          </w:tcPr>
          <w:p>
            <w:pPr>
              <w:autoSpaceDE w:val="0"/>
              <w:autoSpaceDN w:val="0"/>
              <w:jc w:val="right"/>
              <w:rPr>
                <w:rFonts w:ascii="宋体" w:hAnsi="宋体"/>
                <w:color w:val="auto"/>
                <w:sz w:val="24"/>
                <w:szCs w:val="24"/>
              </w:rPr>
            </w:pPr>
            <w:r>
              <w:rPr>
                <w:rFonts w:hint="eastAsia" w:ascii="宋体" w:hAnsi="宋体"/>
                <w:color w:val="auto"/>
                <w:sz w:val="24"/>
                <w:szCs w:val="24"/>
              </w:rPr>
              <w:t>4.4.</w:t>
            </w:r>
          </w:p>
        </w:tc>
        <w:tc>
          <w:tcPr>
            <w:tcW w:w="5936" w:type="dxa"/>
            <w:vAlign w:val="center"/>
          </w:tcPr>
          <w:p>
            <w:pPr>
              <w:autoSpaceDE w:val="0"/>
              <w:autoSpaceDN w:val="0"/>
              <w:rPr>
                <w:rFonts w:ascii="宋体" w:hAnsi="宋体"/>
                <w:color w:val="auto"/>
                <w:sz w:val="24"/>
                <w:szCs w:val="24"/>
              </w:rPr>
            </w:pPr>
            <w:r>
              <w:rPr>
                <w:rFonts w:hint="eastAsia" w:ascii="宋体" w:hAnsi="宋体"/>
                <w:color w:val="auto"/>
                <w:sz w:val="24"/>
                <w:szCs w:val="24"/>
              </w:rPr>
              <w:t>本项目没有组成联合体投标的声明。（不接受联合体投标的项目适用，提供《供应商资格声明函》，也可以不做声明）</w:t>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Merge w:val="continue"/>
            <w:vAlign w:val="center"/>
          </w:tcPr>
          <w:p>
            <w:pPr>
              <w:autoSpaceDE w:val="0"/>
              <w:autoSpaceDN w:val="0"/>
              <w:jc w:val="right"/>
              <w:rPr>
                <w:rFonts w:ascii="宋体" w:hAnsi="宋体"/>
                <w:color w:val="auto"/>
                <w:sz w:val="24"/>
                <w:szCs w:val="24"/>
              </w:rPr>
            </w:pPr>
          </w:p>
        </w:tc>
        <w:tc>
          <w:tcPr>
            <w:tcW w:w="5936" w:type="dxa"/>
            <w:vAlign w:val="center"/>
          </w:tcPr>
          <w:p>
            <w:pPr>
              <w:autoSpaceDE w:val="0"/>
              <w:autoSpaceDN w:val="0"/>
              <w:rPr>
                <w:rFonts w:ascii="宋体" w:hAnsi="宋体"/>
                <w:color w:val="auto"/>
                <w:sz w:val="24"/>
                <w:szCs w:val="24"/>
              </w:rPr>
            </w:pPr>
            <w:r>
              <w:rPr>
                <w:rFonts w:hint="eastAsia" w:ascii="宋体" w:hAnsi="宋体"/>
                <w:color w:val="auto"/>
                <w:sz w:val="24"/>
                <w:szCs w:val="24"/>
              </w:rPr>
              <w:t>本项目组成联合体投标的联合协议。（以联合体形式投标时适用，</w:t>
            </w:r>
            <w:r>
              <w:rPr>
                <w:rFonts w:hint="eastAsia" w:ascii="宋体" w:hAnsi="宋体" w:cs="宋体"/>
                <w:color w:val="auto"/>
                <w:spacing w:val="8"/>
                <w:kern w:val="0"/>
                <w:sz w:val="24"/>
                <w:szCs w:val="24"/>
              </w:rPr>
              <w:t>提供《联合协议》</w:t>
            </w:r>
            <w:r>
              <w:rPr>
                <w:rFonts w:hint="eastAsia" w:ascii="宋体" w:hAnsi="宋体"/>
                <w:color w:val="auto"/>
                <w:sz w:val="24"/>
                <w:szCs w:val="24"/>
              </w:rPr>
              <w:t>）</w:t>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center"/>
              <w:rPr>
                <w:rFonts w:ascii="宋体" w:hAnsi="宋体"/>
                <w:color w:val="auto"/>
                <w:sz w:val="24"/>
                <w:szCs w:val="24"/>
              </w:rPr>
            </w:pPr>
            <w:r>
              <w:rPr>
                <w:rFonts w:hint="eastAsia" w:ascii="宋体" w:hAnsi="宋体"/>
                <w:color w:val="auto"/>
                <w:sz w:val="24"/>
                <w:szCs w:val="24"/>
              </w:rPr>
              <w:t>4.5.</w:t>
            </w:r>
          </w:p>
        </w:tc>
        <w:tc>
          <w:tcPr>
            <w:tcW w:w="5936" w:type="dxa"/>
            <w:vAlign w:val="center"/>
          </w:tcPr>
          <w:p>
            <w:pPr>
              <w:autoSpaceDE w:val="0"/>
              <w:autoSpaceDN w:val="0"/>
              <w:rPr>
                <w:rFonts w:ascii="宋体" w:hAnsi="宋体"/>
                <w:color w:val="auto"/>
                <w:sz w:val="24"/>
                <w:szCs w:val="24"/>
              </w:rPr>
            </w:pPr>
            <w:r>
              <w:rPr>
                <w:rFonts w:hint="eastAsia" w:ascii="宋体" w:hAnsi="宋体"/>
                <w:color w:val="auto"/>
                <w:sz w:val="24"/>
                <w:szCs w:val="24"/>
              </w:rPr>
              <w:t>分包意向协议（以合同分包形式投标时适用）</w:t>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center"/>
              <w:rPr>
                <w:rFonts w:ascii="宋体" w:hAnsi="宋体"/>
                <w:color w:val="auto"/>
                <w:sz w:val="24"/>
                <w:szCs w:val="24"/>
              </w:rPr>
            </w:pPr>
            <w:r>
              <w:rPr>
                <w:rFonts w:hint="eastAsia" w:ascii="宋体" w:hAnsi="宋体"/>
                <w:color w:val="auto"/>
                <w:sz w:val="24"/>
                <w:szCs w:val="24"/>
              </w:rPr>
              <w:t>4.6.</w:t>
            </w:r>
          </w:p>
        </w:tc>
        <w:tc>
          <w:tcPr>
            <w:tcW w:w="5936" w:type="dxa"/>
            <w:vAlign w:val="center"/>
          </w:tcPr>
          <w:p>
            <w:pPr>
              <w:autoSpaceDE w:val="0"/>
              <w:autoSpaceDN w:val="0"/>
              <w:rPr>
                <w:rFonts w:ascii="宋体" w:hAnsi="宋体"/>
                <w:color w:val="auto"/>
                <w:sz w:val="24"/>
                <w:szCs w:val="24"/>
              </w:rPr>
            </w:pPr>
            <w:r>
              <w:rPr>
                <w:color w:val="auto"/>
              </w:rPr>
              <w:fldChar w:fldCharType="begin"/>
            </w:r>
            <w:r>
              <w:rPr>
                <w:color w:val="auto"/>
              </w:rPr>
              <w:instrText xml:space="preserve"> HYPERLINK \l "_Toc22806206" </w:instrText>
            </w:r>
            <w:r>
              <w:rPr>
                <w:color w:val="auto"/>
              </w:rPr>
              <w:fldChar w:fldCharType="separate"/>
            </w:r>
            <w:r>
              <w:rPr>
                <w:rStyle w:val="34"/>
                <w:rFonts w:hint="eastAsia" w:ascii="宋体" w:hAnsi="宋体"/>
                <w:color w:val="auto"/>
                <w:sz w:val="24"/>
                <w:szCs w:val="24"/>
                <w:u w:val="none"/>
              </w:rPr>
              <w:t>除上述证明材料外，投标人认为有必要提供的其他资格、资信证明文件（如有）</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color w:val="auto"/>
                <w:sz w:val="24"/>
                <w:szCs w:val="24"/>
              </w:rPr>
            </w:pPr>
            <w:r>
              <w:rPr>
                <w:rFonts w:hint="eastAsia" w:ascii="宋体" w:hAnsi="宋体"/>
                <w:color w:val="auto"/>
                <w:sz w:val="24"/>
                <w:szCs w:val="24"/>
              </w:rPr>
              <w:t>5.</w:t>
            </w:r>
          </w:p>
        </w:tc>
        <w:tc>
          <w:tcPr>
            <w:tcW w:w="5936" w:type="dxa"/>
            <w:vAlign w:val="center"/>
          </w:tcPr>
          <w:p>
            <w:pPr>
              <w:autoSpaceDE w:val="0"/>
              <w:autoSpaceDN w:val="0"/>
              <w:rPr>
                <w:rFonts w:ascii="宋体" w:hAnsi="宋体"/>
                <w:color w:val="auto"/>
                <w:sz w:val="24"/>
                <w:szCs w:val="24"/>
              </w:rPr>
            </w:pPr>
            <w:r>
              <w:rPr>
                <w:color w:val="auto"/>
              </w:rPr>
              <w:fldChar w:fldCharType="begin"/>
            </w:r>
            <w:r>
              <w:rPr>
                <w:color w:val="auto"/>
              </w:rPr>
              <w:instrText xml:space="preserve"> HYPERLINK \l "_Toc22806208" </w:instrText>
            </w:r>
            <w:r>
              <w:rPr>
                <w:color w:val="auto"/>
              </w:rPr>
              <w:fldChar w:fldCharType="separate"/>
            </w:r>
            <w:r>
              <w:rPr>
                <w:rStyle w:val="34"/>
                <w:rFonts w:hint="eastAsia" w:ascii="宋体" w:hAnsi="宋体"/>
                <w:color w:val="auto"/>
                <w:sz w:val="24"/>
                <w:szCs w:val="24"/>
                <w:u w:val="none"/>
              </w:rPr>
              <w:t>法定代表人证明书及授权委托书</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hint="eastAsia" w:ascii="宋体" w:hAnsi="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color w:val="auto"/>
                <w:sz w:val="24"/>
                <w:szCs w:val="24"/>
              </w:rPr>
            </w:pPr>
            <w:r>
              <w:rPr>
                <w:rFonts w:hint="eastAsia" w:ascii="宋体" w:hAnsi="宋体"/>
                <w:color w:val="auto"/>
                <w:sz w:val="24"/>
                <w:szCs w:val="24"/>
              </w:rPr>
              <w:t>5.1.</w:t>
            </w:r>
          </w:p>
        </w:tc>
        <w:tc>
          <w:tcPr>
            <w:tcW w:w="5936" w:type="dxa"/>
            <w:vAlign w:val="center"/>
          </w:tcPr>
          <w:p>
            <w:pPr>
              <w:autoSpaceDE w:val="0"/>
              <w:autoSpaceDN w:val="0"/>
              <w:rPr>
                <w:rFonts w:ascii="宋体" w:hAnsi="宋体"/>
                <w:color w:val="auto"/>
                <w:sz w:val="24"/>
                <w:szCs w:val="24"/>
              </w:rPr>
            </w:pPr>
            <w:r>
              <w:rPr>
                <w:color w:val="auto"/>
              </w:rPr>
              <w:fldChar w:fldCharType="begin"/>
            </w:r>
            <w:r>
              <w:rPr>
                <w:color w:val="auto"/>
              </w:rPr>
              <w:instrText xml:space="preserve"> HYPERLINK \l "_Toc22806209" </w:instrText>
            </w:r>
            <w:r>
              <w:rPr>
                <w:color w:val="auto"/>
              </w:rPr>
              <w:fldChar w:fldCharType="separate"/>
            </w:r>
            <w:r>
              <w:rPr>
                <w:rStyle w:val="34"/>
                <w:rFonts w:hint="eastAsia" w:ascii="宋体" w:hAnsi="宋体"/>
                <w:color w:val="auto"/>
                <w:sz w:val="24"/>
                <w:szCs w:val="24"/>
                <w:u w:val="none"/>
              </w:rPr>
              <w:t>法定代表人证明书（适用于非自然人投标人）</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color w:val="auto"/>
                <w:sz w:val="24"/>
                <w:szCs w:val="24"/>
              </w:rPr>
            </w:pPr>
            <w:r>
              <w:rPr>
                <w:rFonts w:hint="eastAsia" w:ascii="宋体" w:hAnsi="宋体"/>
                <w:color w:val="auto"/>
                <w:sz w:val="24"/>
                <w:szCs w:val="24"/>
              </w:rPr>
              <w:t>5.2.</w:t>
            </w:r>
          </w:p>
        </w:tc>
        <w:tc>
          <w:tcPr>
            <w:tcW w:w="5936" w:type="dxa"/>
            <w:vAlign w:val="center"/>
          </w:tcPr>
          <w:p>
            <w:pPr>
              <w:autoSpaceDE w:val="0"/>
              <w:autoSpaceDN w:val="0"/>
              <w:rPr>
                <w:rFonts w:ascii="宋体" w:hAnsi="宋体"/>
                <w:color w:val="auto"/>
                <w:sz w:val="24"/>
                <w:szCs w:val="24"/>
              </w:rPr>
            </w:pPr>
            <w:r>
              <w:rPr>
                <w:color w:val="auto"/>
              </w:rPr>
              <w:fldChar w:fldCharType="begin"/>
            </w:r>
            <w:r>
              <w:rPr>
                <w:color w:val="auto"/>
              </w:rPr>
              <w:instrText xml:space="preserve"> HYPERLINK \l "_Toc22806210" </w:instrText>
            </w:r>
            <w:r>
              <w:rPr>
                <w:color w:val="auto"/>
              </w:rPr>
              <w:fldChar w:fldCharType="separate"/>
            </w:r>
            <w:r>
              <w:rPr>
                <w:rStyle w:val="34"/>
                <w:rFonts w:hint="eastAsia" w:ascii="宋体" w:hAnsi="宋体"/>
                <w:color w:val="auto"/>
                <w:sz w:val="24"/>
                <w:szCs w:val="24"/>
                <w:u w:val="none"/>
              </w:rPr>
              <w:t>法定代表人授权委托书（如适用）</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color w:val="auto"/>
                <w:sz w:val="24"/>
                <w:szCs w:val="24"/>
              </w:rPr>
            </w:pPr>
            <w:r>
              <w:rPr>
                <w:rFonts w:hint="eastAsia" w:ascii="宋体" w:hAnsi="宋体"/>
                <w:color w:val="auto"/>
                <w:sz w:val="24"/>
                <w:szCs w:val="24"/>
              </w:rPr>
              <w:t>6.</w:t>
            </w:r>
          </w:p>
        </w:tc>
        <w:tc>
          <w:tcPr>
            <w:tcW w:w="5936" w:type="dxa"/>
            <w:vAlign w:val="center"/>
          </w:tcPr>
          <w:p>
            <w:pPr>
              <w:autoSpaceDE w:val="0"/>
              <w:autoSpaceDN w:val="0"/>
              <w:rPr>
                <w:rFonts w:ascii="宋体" w:hAnsi="宋体"/>
                <w:color w:val="auto"/>
                <w:sz w:val="24"/>
                <w:szCs w:val="24"/>
              </w:rPr>
            </w:pPr>
            <w:r>
              <w:rPr>
                <w:rFonts w:hint="eastAsia" w:ascii="宋体" w:hAnsi="宋体"/>
                <w:color w:val="auto"/>
                <w:sz w:val="24"/>
                <w:szCs w:val="24"/>
              </w:rPr>
              <w:t>供应商综合概况</w:t>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color w:val="auto"/>
                <w:sz w:val="24"/>
                <w:szCs w:val="24"/>
              </w:rPr>
            </w:pPr>
            <w:r>
              <w:rPr>
                <w:rFonts w:hint="eastAsia" w:ascii="宋体" w:hAnsi="宋体"/>
                <w:color w:val="auto"/>
                <w:sz w:val="24"/>
                <w:szCs w:val="24"/>
              </w:rPr>
              <w:t>7.</w:t>
            </w:r>
          </w:p>
        </w:tc>
        <w:tc>
          <w:tcPr>
            <w:tcW w:w="5936" w:type="dxa"/>
            <w:vAlign w:val="center"/>
          </w:tcPr>
          <w:p>
            <w:pPr>
              <w:autoSpaceDE w:val="0"/>
              <w:autoSpaceDN w:val="0"/>
              <w:rPr>
                <w:rFonts w:ascii="宋体" w:hAnsi="宋体"/>
                <w:color w:val="auto"/>
                <w:sz w:val="24"/>
                <w:szCs w:val="24"/>
              </w:rPr>
            </w:pPr>
            <w:r>
              <w:rPr>
                <w:color w:val="auto"/>
              </w:rPr>
              <w:fldChar w:fldCharType="begin"/>
            </w:r>
            <w:r>
              <w:rPr>
                <w:color w:val="auto"/>
              </w:rPr>
              <w:instrText xml:space="preserve"> HYPERLINK \l "_Toc22806215" </w:instrText>
            </w:r>
            <w:r>
              <w:rPr>
                <w:color w:val="auto"/>
              </w:rPr>
              <w:fldChar w:fldCharType="separate"/>
            </w:r>
            <w:r>
              <w:rPr>
                <w:rFonts w:ascii="宋体" w:hAnsi="宋体"/>
                <w:iCs/>
                <w:color w:val="auto"/>
                <w:sz w:val="24"/>
                <w:szCs w:val="24"/>
              </w:rPr>
              <w:tab/>
            </w:r>
            <w:r>
              <w:rPr>
                <w:rStyle w:val="34"/>
                <w:rFonts w:hint="eastAsia" w:ascii="宋体" w:hAnsi="宋体"/>
                <w:color w:val="auto"/>
                <w:sz w:val="24"/>
                <w:szCs w:val="24"/>
                <w:u w:val="none"/>
              </w:rPr>
              <w:t>制造商或总代理商授权书（要求提供授权书时供参考）</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color w:val="auto"/>
                <w:sz w:val="24"/>
                <w:szCs w:val="24"/>
              </w:rPr>
            </w:pPr>
            <w:r>
              <w:rPr>
                <w:rFonts w:hint="eastAsia" w:ascii="宋体" w:hAnsi="宋体"/>
                <w:color w:val="auto"/>
                <w:sz w:val="24"/>
                <w:szCs w:val="24"/>
              </w:rPr>
              <w:t>8.</w:t>
            </w:r>
          </w:p>
        </w:tc>
        <w:tc>
          <w:tcPr>
            <w:tcW w:w="5936" w:type="dxa"/>
            <w:vAlign w:val="center"/>
          </w:tcPr>
          <w:p>
            <w:pPr>
              <w:autoSpaceDE w:val="0"/>
              <w:autoSpaceDN w:val="0"/>
              <w:rPr>
                <w:rFonts w:ascii="宋体" w:hAnsi="宋体"/>
                <w:color w:val="auto"/>
                <w:sz w:val="24"/>
                <w:szCs w:val="24"/>
              </w:rPr>
            </w:pPr>
            <w:r>
              <w:rPr>
                <w:color w:val="auto"/>
              </w:rPr>
              <w:fldChar w:fldCharType="begin"/>
            </w:r>
            <w:r>
              <w:rPr>
                <w:color w:val="auto"/>
              </w:rPr>
              <w:instrText xml:space="preserve"> HYPERLINK \l "_Toc22806216" </w:instrText>
            </w:r>
            <w:r>
              <w:rPr>
                <w:color w:val="auto"/>
              </w:rPr>
              <w:fldChar w:fldCharType="separate"/>
            </w:r>
            <w:r>
              <w:rPr>
                <w:rStyle w:val="34"/>
                <w:rFonts w:hint="eastAsia" w:ascii="宋体" w:hAnsi="宋体"/>
                <w:color w:val="auto"/>
                <w:sz w:val="24"/>
                <w:szCs w:val="24"/>
                <w:u w:val="none"/>
              </w:rPr>
              <w:t>中小企业、监狱企业及残疾人福利性单位声明（如适用）</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hint="eastAsia" w:ascii="宋体" w:hAnsi="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color w:val="auto"/>
                <w:sz w:val="24"/>
                <w:szCs w:val="24"/>
              </w:rPr>
            </w:pPr>
            <w:r>
              <w:rPr>
                <w:rFonts w:hint="eastAsia" w:ascii="宋体" w:hAnsi="宋体"/>
                <w:color w:val="auto"/>
                <w:sz w:val="24"/>
                <w:szCs w:val="24"/>
              </w:rPr>
              <w:t>8.1.</w:t>
            </w:r>
          </w:p>
        </w:tc>
        <w:tc>
          <w:tcPr>
            <w:tcW w:w="5936" w:type="dxa"/>
            <w:vAlign w:val="center"/>
          </w:tcPr>
          <w:p>
            <w:pPr>
              <w:autoSpaceDE w:val="0"/>
              <w:autoSpaceDN w:val="0"/>
              <w:rPr>
                <w:rFonts w:ascii="宋体" w:hAnsi="宋体"/>
                <w:color w:val="auto"/>
                <w:sz w:val="24"/>
                <w:szCs w:val="24"/>
              </w:rPr>
            </w:pPr>
            <w:r>
              <w:rPr>
                <w:color w:val="auto"/>
              </w:rPr>
              <w:fldChar w:fldCharType="begin"/>
            </w:r>
            <w:r>
              <w:rPr>
                <w:color w:val="auto"/>
              </w:rPr>
              <w:instrText xml:space="preserve"> HYPERLINK \l "_Toc22806217" </w:instrText>
            </w:r>
            <w:r>
              <w:rPr>
                <w:color w:val="auto"/>
              </w:rPr>
              <w:fldChar w:fldCharType="separate"/>
            </w:r>
            <w:r>
              <w:rPr>
                <w:rStyle w:val="34"/>
                <w:rFonts w:hint="eastAsia" w:ascii="宋体" w:hAnsi="宋体"/>
                <w:color w:val="auto"/>
                <w:sz w:val="24"/>
                <w:szCs w:val="24"/>
                <w:u w:val="none"/>
              </w:rPr>
              <w:t>中小企业声明</w:t>
            </w:r>
            <w:r>
              <w:rPr>
                <w:rStyle w:val="34"/>
                <w:rFonts w:hint="eastAsia" w:ascii="宋体" w:hAnsi="宋体"/>
                <w:color w:val="auto"/>
                <w:sz w:val="24"/>
                <w:szCs w:val="24"/>
                <w:u w:val="none"/>
              </w:rPr>
              <w:fldChar w:fldCharType="end"/>
            </w:r>
            <w:r>
              <w:rPr>
                <w:rFonts w:hint="eastAsia" w:ascii="宋体" w:hAnsi="宋体"/>
                <w:color w:val="auto"/>
                <w:sz w:val="24"/>
                <w:szCs w:val="24"/>
              </w:rPr>
              <w:t>函（如适用）</w:t>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color w:val="auto"/>
                <w:sz w:val="24"/>
                <w:szCs w:val="24"/>
              </w:rPr>
            </w:pPr>
            <w:r>
              <w:rPr>
                <w:rFonts w:hint="eastAsia" w:ascii="宋体" w:hAnsi="宋体"/>
                <w:color w:val="auto"/>
                <w:sz w:val="24"/>
                <w:szCs w:val="24"/>
              </w:rPr>
              <w:t>8.2.</w:t>
            </w:r>
          </w:p>
        </w:tc>
        <w:tc>
          <w:tcPr>
            <w:tcW w:w="5936" w:type="dxa"/>
            <w:vAlign w:val="center"/>
          </w:tcPr>
          <w:p>
            <w:pPr>
              <w:autoSpaceDE w:val="0"/>
              <w:autoSpaceDN w:val="0"/>
              <w:rPr>
                <w:rFonts w:ascii="宋体" w:hAnsi="宋体"/>
                <w:color w:val="auto"/>
                <w:sz w:val="24"/>
                <w:szCs w:val="24"/>
              </w:rPr>
            </w:pPr>
            <w:r>
              <w:rPr>
                <w:color w:val="auto"/>
              </w:rPr>
              <w:fldChar w:fldCharType="begin"/>
            </w:r>
            <w:r>
              <w:rPr>
                <w:color w:val="auto"/>
              </w:rPr>
              <w:instrText xml:space="preserve"> HYPERLINK \l "_Toc22806218" </w:instrText>
            </w:r>
            <w:r>
              <w:rPr>
                <w:color w:val="auto"/>
              </w:rPr>
              <w:fldChar w:fldCharType="separate"/>
            </w:r>
            <w:r>
              <w:rPr>
                <w:rStyle w:val="34"/>
                <w:rFonts w:hint="eastAsia" w:ascii="宋体" w:hAnsi="宋体"/>
                <w:color w:val="auto"/>
                <w:sz w:val="24"/>
                <w:szCs w:val="24"/>
                <w:u w:val="none"/>
              </w:rPr>
              <w:t>监狱企业证明文件</w:t>
            </w:r>
            <w:r>
              <w:rPr>
                <w:rStyle w:val="34"/>
                <w:rFonts w:hint="eastAsia" w:ascii="宋体" w:hAnsi="宋体"/>
                <w:color w:val="auto"/>
                <w:sz w:val="24"/>
                <w:szCs w:val="24"/>
                <w:u w:val="none"/>
              </w:rPr>
              <w:fldChar w:fldCharType="end"/>
            </w:r>
            <w:r>
              <w:rPr>
                <w:rFonts w:hint="eastAsia" w:ascii="宋体" w:hAnsi="宋体"/>
                <w:color w:val="auto"/>
                <w:sz w:val="24"/>
                <w:szCs w:val="24"/>
              </w:rPr>
              <w:t>（如适用）</w:t>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color w:val="auto"/>
                <w:sz w:val="24"/>
                <w:szCs w:val="24"/>
              </w:rPr>
            </w:pPr>
            <w:r>
              <w:rPr>
                <w:rFonts w:hint="eastAsia" w:ascii="宋体" w:hAnsi="宋体"/>
                <w:color w:val="auto"/>
                <w:sz w:val="24"/>
                <w:szCs w:val="24"/>
              </w:rPr>
              <w:t>8.3.</w:t>
            </w:r>
          </w:p>
        </w:tc>
        <w:tc>
          <w:tcPr>
            <w:tcW w:w="5936" w:type="dxa"/>
            <w:vAlign w:val="center"/>
          </w:tcPr>
          <w:p>
            <w:pPr>
              <w:autoSpaceDE w:val="0"/>
              <w:autoSpaceDN w:val="0"/>
              <w:rPr>
                <w:rFonts w:ascii="宋体" w:hAnsi="宋体"/>
                <w:color w:val="auto"/>
                <w:sz w:val="24"/>
                <w:szCs w:val="24"/>
              </w:rPr>
            </w:pPr>
            <w:r>
              <w:rPr>
                <w:color w:val="auto"/>
              </w:rPr>
              <w:fldChar w:fldCharType="begin"/>
            </w:r>
            <w:r>
              <w:rPr>
                <w:color w:val="auto"/>
              </w:rPr>
              <w:instrText xml:space="preserve"> HYPERLINK \l "_Toc22806219" </w:instrText>
            </w:r>
            <w:r>
              <w:rPr>
                <w:color w:val="auto"/>
              </w:rPr>
              <w:fldChar w:fldCharType="separate"/>
            </w:r>
            <w:r>
              <w:rPr>
                <w:rStyle w:val="34"/>
                <w:rFonts w:hint="eastAsia" w:ascii="宋体" w:hAnsi="宋体"/>
                <w:color w:val="auto"/>
                <w:sz w:val="24"/>
                <w:szCs w:val="24"/>
                <w:u w:val="none"/>
              </w:rPr>
              <w:t>残疾人福利性单位声明</w:t>
            </w:r>
            <w:r>
              <w:rPr>
                <w:rStyle w:val="34"/>
                <w:rFonts w:hint="eastAsia" w:ascii="宋体" w:hAnsi="宋体"/>
                <w:color w:val="auto"/>
                <w:sz w:val="24"/>
                <w:szCs w:val="24"/>
                <w:u w:val="none"/>
              </w:rPr>
              <w:fldChar w:fldCharType="end"/>
            </w:r>
            <w:r>
              <w:rPr>
                <w:rFonts w:hint="eastAsia" w:ascii="宋体" w:hAnsi="宋体"/>
                <w:color w:val="auto"/>
                <w:sz w:val="24"/>
                <w:szCs w:val="24"/>
              </w:rPr>
              <w:t>函（如适用）</w:t>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color w:val="auto"/>
                <w:sz w:val="24"/>
                <w:szCs w:val="24"/>
              </w:rPr>
            </w:pPr>
            <w:r>
              <w:rPr>
                <w:rFonts w:hint="eastAsia" w:ascii="宋体" w:hAnsi="宋体"/>
                <w:color w:val="auto"/>
                <w:sz w:val="24"/>
                <w:szCs w:val="24"/>
              </w:rPr>
              <w:t>9.</w:t>
            </w:r>
          </w:p>
        </w:tc>
        <w:tc>
          <w:tcPr>
            <w:tcW w:w="5936" w:type="dxa"/>
            <w:vAlign w:val="center"/>
          </w:tcPr>
          <w:p>
            <w:pPr>
              <w:autoSpaceDE w:val="0"/>
              <w:autoSpaceDN w:val="0"/>
              <w:rPr>
                <w:rFonts w:ascii="宋体" w:hAnsi="宋体"/>
                <w:color w:val="auto"/>
                <w:sz w:val="24"/>
                <w:szCs w:val="24"/>
              </w:rPr>
            </w:pPr>
            <w:r>
              <w:rPr>
                <w:color w:val="auto"/>
              </w:rPr>
              <w:fldChar w:fldCharType="begin"/>
            </w:r>
            <w:r>
              <w:rPr>
                <w:color w:val="auto"/>
              </w:rPr>
              <w:instrText xml:space="preserve"> HYPERLINK \l "_Toc22806220" </w:instrText>
            </w:r>
            <w:r>
              <w:rPr>
                <w:color w:val="auto"/>
              </w:rPr>
              <w:fldChar w:fldCharType="separate"/>
            </w:r>
            <w:r>
              <w:rPr>
                <w:rStyle w:val="34"/>
                <w:rFonts w:hint="eastAsia" w:ascii="宋体" w:hAnsi="宋体"/>
                <w:color w:val="auto"/>
                <w:sz w:val="24"/>
                <w:szCs w:val="24"/>
                <w:u w:val="none"/>
              </w:rPr>
              <w:t>采购代理服务费支付承诺书</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b/>
                <w:color w:val="auto"/>
                <w:sz w:val="24"/>
                <w:szCs w:val="24"/>
              </w:rPr>
            </w:pPr>
            <w:r>
              <w:rPr>
                <w:rFonts w:hint="eastAsia" w:ascii="宋体" w:hAnsi="宋体"/>
                <w:b/>
                <w:color w:val="auto"/>
                <w:sz w:val="24"/>
                <w:szCs w:val="24"/>
              </w:rPr>
              <w:t>五</w:t>
            </w:r>
          </w:p>
        </w:tc>
        <w:tc>
          <w:tcPr>
            <w:tcW w:w="5936" w:type="dxa"/>
            <w:vAlign w:val="center"/>
          </w:tcPr>
          <w:p>
            <w:pPr>
              <w:autoSpaceDE w:val="0"/>
              <w:autoSpaceDN w:val="0"/>
              <w:rPr>
                <w:rFonts w:ascii="宋体" w:hAnsi="宋体"/>
                <w:b/>
                <w:color w:val="auto"/>
                <w:sz w:val="24"/>
                <w:szCs w:val="24"/>
              </w:rPr>
            </w:pPr>
            <w:r>
              <w:rPr>
                <w:color w:val="auto"/>
              </w:rPr>
              <w:fldChar w:fldCharType="begin"/>
            </w:r>
            <w:r>
              <w:rPr>
                <w:color w:val="auto"/>
              </w:rPr>
              <w:instrText xml:space="preserve"> HYPERLINK \l "_Toc22806221" </w:instrText>
            </w:r>
            <w:r>
              <w:rPr>
                <w:color w:val="auto"/>
              </w:rPr>
              <w:fldChar w:fldCharType="separate"/>
            </w:r>
            <w:r>
              <w:rPr>
                <w:rStyle w:val="34"/>
                <w:rFonts w:hint="eastAsia" w:ascii="宋体" w:hAnsi="宋体"/>
                <w:b/>
                <w:color w:val="auto"/>
                <w:sz w:val="24"/>
                <w:szCs w:val="24"/>
                <w:u w:val="none"/>
              </w:rPr>
              <w:t>技术文件</w:t>
            </w:r>
            <w:r>
              <w:rPr>
                <w:rStyle w:val="34"/>
                <w:rFonts w:hint="eastAsia" w:ascii="宋体" w:hAnsi="宋体"/>
                <w:b/>
                <w:color w:val="auto"/>
                <w:sz w:val="24"/>
                <w:szCs w:val="24"/>
                <w:u w:val="none"/>
              </w:rPr>
              <w:fldChar w:fldCharType="end"/>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hint="eastAsia" w:ascii="宋体" w:hAnsi="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color w:val="auto"/>
                <w:sz w:val="24"/>
                <w:szCs w:val="24"/>
              </w:rPr>
            </w:pPr>
            <w:r>
              <w:rPr>
                <w:rFonts w:hint="eastAsia" w:ascii="宋体" w:hAnsi="宋体"/>
                <w:color w:val="auto"/>
                <w:sz w:val="24"/>
                <w:szCs w:val="24"/>
              </w:rPr>
              <w:t>10.</w:t>
            </w:r>
          </w:p>
        </w:tc>
        <w:tc>
          <w:tcPr>
            <w:tcW w:w="5936" w:type="dxa"/>
            <w:vAlign w:val="center"/>
          </w:tcPr>
          <w:p>
            <w:pPr>
              <w:autoSpaceDE w:val="0"/>
              <w:autoSpaceDN w:val="0"/>
              <w:rPr>
                <w:rFonts w:ascii="宋体" w:hAnsi="宋体"/>
                <w:color w:val="auto"/>
                <w:sz w:val="24"/>
                <w:szCs w:val="24"/>
              </w:rPr>
            </w:pPr>
            <w:r>
              <w:rPr>
                <w:color w:val="auto"/>
              </w:rPr>
              <w:fldChar w:fldCharType="begin"/>
            </w:r>
            <w:r>
              <w:rPr>
                <w:color w:val="auto"/>
              </w:rPr>
              <w:instrText xml:space="preserve"> HYPERLINK \l "_Toc22806222" </w:instrText>
            </w:r>
            <w:r>
              <w:rPr>
                <w:color w:val="auto"/>
              </w:rPr>
              <w:fldChar w:fldCharType="separate"/>
            </w:r>
            <w:r>
              <w:rPr>
                <w:rStyle w:val="34"/>
                <w:rFonts w:hint="eastAsia" w:ascii="宋体" w:hAnsi="宋体"/>
                <w:color w:val="auto"/>
                <w:sz w:val="24"/>
                <w:szCs w:val="24"/>
                <w:u w:val="none"/>
              </w:rPr>
              <w:t>技术条款响应表</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color w:val="auto"/>
                <w:sz w:val="24"/>
                <w:szCs w:val="24"/>
              </w:rPr>
            </w:pPr>
            <w:r>
              <w:rPr>
                <w:rFonts w:hint="eastAsia" w:ascii="宋体" w:hAnsi="宋体"/>
                <w:color w:val="auto"/>
                <w:sz w:val="24"/>
                <w:szCs w:val="24"/>
              </w:rPr>
              <w:t>11.</w:t>
            </w:r>
          </w:p>
        </w:tc>
        <w:tc>
          <w:tcPr>
            <w:tcW w:w="5936" w:type="dxa"/>
            <w:vAlign w:val="center"/>
          </w:tcPr>
          <w:p>
            <w:pPr>
              <w:autoSpaceDE w:val="0"/>
              <w:autoSpaceDN w:val="0"/>
              <w:rPr>
                <w:rFonts w:ascii="宋体" w:hAnsi="宋体"/>
                <w:color w:val="auto"/>
                <w:sz w:val="24"/>
                <w:szCs w:val="24"/>
              </w:rPr>
            </w:pPr>
            <w:r>
              <w:rPr>
                <w:color w:val="auto"/>
              </w:rPr>
              <w:fldChar w:fldCharType="begin"/>
            </w:r>
            <w:r>
              <w:rPr>
                <w:color w:val="auto"/>
              </w:rPr>
              <w:instrText xml:space="preserve"> HYPERLINK \l "_Toc22806223" </w:instrText>
            </w:r>
            <w:r>
              <w:rPr>
                <w:color w:val="auto"/>
              </w:rPr>
              <w:fldChar w:fldCharType="separate"/>
            </w:r>
            <w:r>
              <w:rPr>
                <w:rFonts w:ascii="宋体" w:hAnsi="宋体"/>
                <w:i/>
                <w:iCs/>
                <w:color w:val="auto"/>
                <w:sz w:val="24"/>
                <w:szCs w:val="24"/>
              </w:rPr>
              <w:tab/>
            </w:r>
            <w:r>
              <w:rPr>
                <w:rStyle w:val="34"/>
                <w:rFonts w:hint="eastAsia" w:ascii="宋体" w:hAnsi="宋体"/>
                <w:color w:val="auto"/>
                <w:sz w:val="24"/>
                <w:szCs w:val="24"/>
                <w:u w:val="none"/>
              </w:rPr>
              <w:t>技术方案</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hint="eastAsia" w:ascii="宋体" w:hAnsi="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color w:val="auto"/>
                <w:sz w:val="24"/>
                <w:szCs w:val="24"/>
              </w:rPr>
            </w:pPr>
            <w:r>
              <w:rPr>
                <w:rFonts w:hint="eastAsia" w:ascii="宋体" w:hAnsi="宋体"/>
                <w:color w:val="auto"/>
                <w:sz w:val="24"/>
                <w:szCs w:val="24"/>
              </w:rPr>
              <w:t>11.1.</w:t>
            </w:r>
          </w:p>
        </w:tc>
        <w:tc>
          <w:tcPr>
            <w:tcW w:w="5936" w:type="dxa"/>
            <w:vAlign w:val="center"/>
          </w:tcPr>
          <w:p>
            <w:pPr>
              <w:autoSpaceDE w:val="0"/>
              <w:autoSpaceDN w:val="0"/>
              <w:rPr>
                <w:rFonts w:ascii="宋体" w:hAnsi="宋体"/>
                <w:color w:val="auto"/>
                <w:sz w:val="24"/>
                <w:szCs w:val="24"/>
              </w:rPr>
            </w:pPr>
            <w:r>
              <w:rPr>
                <w:color w:val="auto"/>
              </w:rPr>
              <w:fldChar w:fldCharType="begin"/>
            </w:r>
            <w:r>
              <w:rPr>
                <w:color w:val="auto"/>
              </w:rPr>
              <w:instrText xml:space="preserve"> HYPERLINK \l "_Toc22806224" </w:instrText>
            </w:r>
            <w:r>
              <w:rPr>
                <w:color w:val="auto"/>
              </w:rPr>
              <w:fldChar w:fldCharType="separate"/>
            </w:r>
            <w:r>
              <w:rPr>
                <w:rStyle w:val="34"/>
                <w:rFonts w:hint="eastAsia" w:ascii="宋体" w:hAnsi="宋体"/>
                <w:color w:val="auto"/>
                <w:sz w:val="24"/>
                <w:szCs w:val="24"/>
                <w:u w:val="none"/>
              </w:rPr>
              <w:t>货物选型及实施方案</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color w:val="auto"/>
                <w:sz w:val="24"/>
                <w:szCs w:val="24"/>
              </w:rPr>
            </w:pPr>
            <w:r>
              <w:rPr>
                <w:rFonts w:hint="eastAsia" w:ascii="宋体" w:hAnsi="宋体"/>
                <w:color w:val="auto"/>
                <w:sz w:val="24"/>
                <w:szCs w:val="24"/>
              </w:rPr>
              <w:t>11.2.</w:t>
            </w:r>
          </w:p>
        </w:tc>
        <w:tc>
          <w:tcPr>
            <w:tcW w:w="5936" w:type="dxa"/>
            <w:vAlign w:val="center"/>
          </w:tcPr>
          <w:p>
            <w:pPr>
              <w:autoSpaceDE w:val="0"/>
              <w:autoSpaceDN w:val="0"/>
              <w:rPr>
                <w:rFonts w:ascii="宋体" w:hAnsi="宋体"/>
                <w:color w:val="auto"/>
                <w:sz w:val="24"/>
                <w:szCs w:val="24"/>
              </w:rPr>
            </w:pPr>
            <w:r>
              <w:rPr>
                <w:color w:val="auto"/>
              </w:rPr>
              <w:fldChar w:fldCharType="begin"/>
            </w:r>
            <w:r>
              <w:rPr>
                <w:color w:val="auto"/>
              </w:rPr>
              <w:instrText xml:space="preserve"> HYPERLINK \l "_Toc22806225" </w:instrText>
            </w:r>
            <w:r>
              <w:rPr>
                <w:color w:val="auto"/>
              </w:rPr>
              <w:fldChar w:fldCharType="separate"/>
            </w:r>
            <w:r>
              <w:rPr>
                <w:rFonts w:ascii="宋体" w:hAnsi="宋体"/>
                <w:color w:val="auto"/>
                <w:sz w:val="24"/>
                <w:szCs w:val="24"/>
              </w:rPr>
              <w:tab/>
            </w:r>
            <w:r>
              <w:rPr>
                <w:rStyle w:val="34"/>
                <w:rFonts w:hint="eastAsia" w:ascii="宋体" w:hAnsi="宋体"/>
                <w:color w:val="auto"/>
                <w:sz w:val="24"/>
                <w:szCs w:val="24"/>
                <w:u w:val="none"/>
              </w:rPr>
              <w:t>投标产品</w:t>
            </w:r>
            <w:r>
              <w:rPr>
                <w:rStyle w:val="34"/>
                <w:rFonts w:ascii="宋体" w:hAnsi="宋体"/>
                <w:color w:val="auto"/>
                <w:sz w:val="24"/>
                <w:szCs w:val="24"/>
                <w:u w:val="none"/>
              </w:rPr>
              <w:t>/</w:t>
            </w:r>
            <w:r>
              <w:rPr>
                <w:rStyle w:val="34"/>
                <w:rFonts w:hint="eastAsia" w:ascii="宋体" w:hAnsi="宋体"/>
                <w:color w:val="auto"/>
                <w:sz w:val="24"/>
                <w:szCs w:val="24"/>
                <w:u w:val="none"/>
              </w:rPr>
              <w:t>核心产品所投品牌情况</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color w:val="auto"/>
                <w:sz w:val="24"/>
                <w:szCs w:val="24"/>
              </w:rPr>
            </w:pPr>
            <w:r>
              <w:rPr>
                <w:rFonts w:hint="eastAsia" w:ascii="宋体" w:hAnsi="宋体"/>
                <w:color w:val="auto"/>
                <w:sz w:val="24"/>
                <w:szCs w:val="24"/>
              </w:rPr>
              <w:t>11.3.</w:t>
            </w:r>
          </w:p>
        </w:tc>
        <w:tc>
          <w:tcPr>
            <w:tcW w:w="5936" w:type="dxa"/>
            <w:vAlign w:val="center"/>
          </w:tcPr>
          <w:p>
            <w:pPr>
              <w:autoSpaceDE w:val="0"/>
              <w:autoSpaceDN w:val="0"/>
              <w:rPr>
                <w:rFonts w:ascii="宋体" w:hAnsi="宋体"/>
                <w:color w:val="auto"/>
                <w:sz w:val="24"/>
                <w:szCs w:val="24"/>
              </w:rPr>
            </w:pPr>
            <w:r>
              <w:rPr>
                <w:color w:val="auto"/>
              </w:rPr>
              <w:fldChar w:fldCharType="begin"/>
            </w:r>
            <w:r>
              <w:rPr>
                <w:color w:val="auto"/>
              </w:rPr>
              <w:instrText xml:space="preserve"> HYPERLINK \l "_Toc22806226" </w:instrText>
            </w:r>
            <w:r>
              <w:rPr>
                <w:color w:val="auto"/>
              </w:rPr>
              <w:fldChar w:fldCharType="separate"/>
            </w:r>
            <w:r>
              <w:rPr>
                <w:rStyle w:val="34"/>
                <w:rFonts w:hint="eastAsia" w:ascii="宋体" w:hAnsi="宋体"/>
                <w:color w:val="auto"/>
                <w:sz w:val="24"/>
                <w:szCs w:val="24"/>
                <w:u w:val="none"/>
              </w:rPr>
              <w:t>售后服务方案</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color w:val="auto"/>
                <w:sz w:val="24"/>
                <w:szCs w:val="24"/>
              </w:rPr>
            </w:pPr>
            <w:r>
              <w:rPr>
                <w:rFonts w:hint="eastAsia" w:ascii="宋体" w:hAnsi="宋体"/>
                <w:color w:val="auto"/>
                <w:sz w:val="24"/>
                <w:szCs w:val="24"/>
              </w:rPr>
              <w:t>11.4.</w:t>
            </w:r>
          </w:p>
        </w:tc>
        <w:tc>
          <w:tcPr>
            <w:tcW w:w="5936" w:type="dxa"/>
            <w:vAlign w:val="center"/>
          </w:tcPr>
          <w:p>
            <w:pPr>
              <w:autoSpaceDE w:val="0"/>
              <w:autoSpaceDN w:val="0"/>
              <w:rPr>
                <w:rFonts w:ascii="宋体" w:hAnsi="宋体"/>
                <w:color w:val="auto"/>
                <w:sz w:val="24"/>
                <w:szCs w:val="24"/>
              </w:rPr>
            </w:pPr>
            <w:r>
              <w:rPr>
                <w:color w:val="auto"/>
              </w:rPr>
              <w:fldChar w:fldCharType="begin"/>
            </w:r>
            <w:r>
              <w:rPr>
                <w:color w:val="auto"/>
              </w:rPr>
              <w:instrText xml:space="preserve"> HYPERLINK \l "_Toc22806227" </w:instrText>
            </w:r>
            <w:r>
              <w:rPr>
                <w:color w:val="auto"/>
              </w:rPr>
              <w:fldChar w:fldCharType="separate"/>
            </w:r>
            <w:r>
              <w:rPr>
                <w:rStyle w:val="34"/>
                <w:rFonts w:hint="eastAsia" w:ascii="宋体" w:hAnsi="宋体"/>
                <w:color w:val="auto"/>
                <w:sz w:val="24"/>
                <w:szCs w:val="24"/>
                <w:u w:val="none"/>
              </w:rPr>
              <w:t>拟派人员情况</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jc w:val="right"/>
              <w:rPr>
                <w:rFonts w:ascii="宋体" w:hAnsi="宋体"/>
                <w:color w:val="auto"/>
                <w:sz w:val="24"/>
                <w:szCs w:val="24"/>
              </w:rPr>
            </w:pPr>
            <w:r>
              <w:rPr>
                <w:rFonts w:hint="eastAsia" w:ascii="宋体" w:hAnsi="宋体"/>
                <w:color w:val="auto"/>
                <w:sz w:val="24"/>
                <w:szCs w:val="24"/>
              </w:rPr>
              <w:t>11.5.</w:t>
            </w:r>
          </w:p>
        </w:tc>
        <w:tc>
          <w:tcPr>
            <w:tcW w:w="5936" w:type="dxa"/>
            <w:vAlign w:val="center"/>
          </w:tcPr>
          <w:p>
            <w:pPr>
              <w:autoSpaceDE w:val="0"/>
              <w:autoSpaceDN w:val="0"/>
              <w:rPr>
                <w:rFonts w:ascii="宋体" w:hAnsi="宋体"/>
                <w:color w:val="auto"/>
                <w:sz w:val="24"/>
                <w:szCs w:val="24"/>
              </w:rPr>
            </w:pPr>
            <w:r>
              <w:rPr>
                <w:color w:val="auto"/>
              </w:rPr>
              <w:fldChar w:fldCharType="begin"/>
            </w:r>
            <w:r>
              <w:rPr>
                <w:color w:val="auto"/>
              </w:rPr>
              <w:instrText xml:space="preserve"> HYPERLINK \l "_Toc22806228" </w:instrText>
            </w:r>
            <w:r>
              <w:rPr>
                <w:color w:val="auto"/>
              </w:rPr>
              <w:fldChar w:fldCharType="separate"/>
            </w:r>
            <w:r>
              <w:rPr>
                <w:rFonts w:ascii="宋体" w:hAnsi="宋体"/>
                <w:color w:val="auto"/>
                <w:sz w:val="24"/>
                <w:szCs w:val="24"/>
              </w:rPr>
              <w:tab/>
            </w:r>
            <w:r>
              <w:rPr>
                <w:rStyle w:val="34"/>
                <w:rFonts w:hint="eastAsia" w:ascii="宋体" w:hAnsi="宋体"/>
                <w:color w:val="auto"/>
                <w:sz w:val="24"/>
                <w:szCs w:val="24"/>
                <w:u w:val="none"/>
              </w:rPr>
              <w:t>《采购需求》中要求提供的相关说明和证明材料（如有）</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color w:val="auto"/>
                <w:sz w:val="24"/>
                <w:szCs w:val="24"/>
              </w:rPr>
            </w:pPr>
            <w:r>
              <w:rPr>
                <w:rFonts w:hint="eastAsia" w:ascii="宋体" w:hAnsi="宋体"/>
                <w:color w:val="auto"/>
                <w:sz w:val="24"/>
                <w:szCs w:val="24"/>
              </w:rPr>
              <w:t>12.</w:t>
            </w:r>
          </w:p>
        </w:tc>
        <w:tc>
          <w:tcPr>
            <w:tcW w:w="5936" w:type="dxa"/>
            <w:vAlign w:val="center"/>
          </w:tcPr>
          <w:p>
            <w:pPr>
              <w:autoSpaceDE w:val="0"/>
              <w:autoSpaceDN w:val="0"/>
              <w:rPr>
                <w:rFonts w:ascii="宋体" w:hAnsi="宋体"/>
                <w:color w:val="auto"/>
                <w:sz w:val="24"/>
                <w:szCs w:val="24"/>
              </w:rPr>
            </w:pPr>
            <w:r>
              <w:rPr>
                <w:color w:val="auto"/>
              </w:rPr>
              <w:fldChar w:fldCharType="begin"/>
            </w:r>
            <w:r>
              <w:rPr>
                <w:color w:val="auto"/>
              </w:rPr>
              <w:instrText xml:space="preserve"> HYPERLINK \l "_Toc22806229" </w:instrText>
            </w:r>
            <w:r>
              <w:rPr>
                <w:color w:val="auto"/>
              </w:rPr>
              <w:fldChar w:fldCharType="separate"/>
            </w:r>
            <w:r>
              <w:rPr>
                <w:rStyle w:val="34"/>
                <w:rFonts w:hint="eastAsia" w:ascii="宋体" w:hAnsi="宋体"/>
                <w:color w:val="auto"/>
                <w:sz w:val="24"/>
                <w:szCs w:val="24"/>
                <w:u w:val="none"/>
              </w:rPr>
              <w:t>《技术评审表》各评审因素响应情况及相关证明材料</w:t>
            </w:r>
            <w:r>
              <w:rPr>
                <w:rStyle w:val="34"/>
                <w:rFonts w:hint="eastAsia" w:ascii="宋体" w:hAnsi="宋体"/>
                <w:color w:val="auto"/>
                <w:sz w:val="24"/>
                <w:szCs w:val="24"/>
                <w:u w:val="none"/>
              </w:rPr>
              <w:fldChar w:fldCharType="end"/>
            </w:r>
            <w:r>
              <w:rPr>
                <w:rFonts w:hint="eastAsia" w:ascii="宋体" w:hAnsi="宋体"/>
                <w:color w:val="auto"/>
                <w:sz w:val="24"/>
                <w:szCs w:val="24"/>
              </w:rPr>
              <w:t>（如有）</w:t>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color w:val="auto"/>
                <w:sz w:val="24"/>
                <w:szCs w:val="24"/>
              </w:rPr>
            </w:pPr>
            <w:r>
              <w:rPr>
                <w:rFonts w:hint="eastAsia" w:ascii="宋体" w:hAnsi="宋体"/>
                <w:color w:val="auto"/>
                <w:sz w:val="24"/>
                <w:szCs w:val="24"/>
              </w:rPr>
              <w:t>13.</w:t>
            </w:r>
          </w:p>
        </w:tc>
        <w:tc>
          <w:tcPr>
            <w:tcW w:w="5936" w:type="dxa"/>
            <w:vAlign w:val="center"/>
          </w:tcPr>
          <w:p>
            <w:pPr>
              <w:autoSpaceDE w:val="0"/>
              <w:autoSpaceDN w:val="0"/>
              <w:rPr>
                <w:rFonts w:ascii="宋体" w:hAnsi="宋体"/>
                <w:color w:val="auto"/>
                <w:sz w:val="24"/>
                <w:szCs w:val="24"/>
              </w:rPr>
            </w:pPr>
            <w:r>
              <w:rPr>
                <w:color w:val="auto"/>
              </w:rPr>
              <w:fldChar w:fldCharType="begin"/>
            </w:r>
            <w:r>
              <w:rPr>
                <w:color w:val="auto"/>
              </w:rPr>
              <w:instrText xml:space="preserve"> HYPERLINK \l "_Toc22806230" </w:instrText>
            </w:r>
            <w:r>
              <w:rPr>
                <w:color w:val="auto"/>
              </w:rPr>
              <w:fldChar w:fldCharType="separate"/>
            </w:r>
            <w:r>
              <w:rPr>
                <w:rStyle w:val="34"/>
                <w:rFonts w:hint="eastAsia" w:ascii="宋体" w:hAnsi="宋体"/>
                <w:color w:val="auto"/>
                <w:sz w:val="24"/>
                <w:szCs w:val="24"/>
                <w:u w:val="none"/>
              </w:rPr>
              <w:t>投标人认为有必要说明或提供的其他技术文件（如有）</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b/>
                <w:color w:val="auto"/>
                <w:sz w:val="24"/>
                <w:szCs w:val="24"/>
              </w:rPr>
            </w:pPr>
            <w:r>
              <w:rPr>
                <w:rFonts w:hint="eastAsia" w:ascii="宋体" w:hAnsi="宋体"/>
                <w:b/>
                <w:color w:val="auto"/>
                <w:sz w:val="24"/>
                <w:szCs w:val="24"/>
              </w:rPr>
              <w:t>六、</w:t>
            </w:r>
          </w:p>
        </w:tc>
        <w:tc>
          <w:tcPr>
            <w:tcW w:w="5936" w:type="dxa"/>
            <w:vAlign w:val="center"/>
          </w:tcPr>
          <w:p>
            <w:pPr>
              <w:autoSpaceDE w:val="0"/>
              <w:autoSpaceDN w:val="0"/>
              <w:rPr>
                <w:rFonts w:ascii="宋体" w:hAnsi="宋体"/>
                <w:b/>
                <w:color w:val="auto"/>
                <w:sz w:val="24"/>
                <w:szCs w:val="24"/>
              </w:rPr>
            </w:pPr>
            <w:r>
              <w:rPr>
                <w:color w:val="auto"/>
              </w:rPr>
              <w:fldChar w:fldCharType="begin"/>
            </w:r>
            <w:r>
              <w:rPr>
                <w:color w:val="auto"/>
              </w:rPr>
              <w:instrText xml:space="preserve"> HYPERLINK \l "_Toc22806231" </w:instrText>
            </w:r>
            <w:r>
              <w:rPr>
                <w:color w:val="auto"/>
              </w:rPr>
              <w:fldChar w:fldCharType="separate"/>
            </w:r>
            <w:r>
              <w:rPr>
                <w:rFonts w:ascii="宋体" w:hAnsi="宋体"/>
                <w:b/>
                <w:smallCaps/>
                <w:color w:val="auto"/>
                <w:sz w:val="24"/>
                <w:szCs w:val="24"/>
              </w:rPr>
              <w:tab/>
            </w:r>
            <w:r>
              <w:rPr>
                <w:rStyle w:val="34"/>
                <w:rFonts w:hint="eastAsia" w:ascii="宋体" w:hAnsi="宋体"/>
                <w:b/>
                <w:color w:val="auto"/>
                <w:sz w:val="24"/>
                <w:szCs w:val="24"/>
                <w:u w:val="none"/>
              </w:rPr>
              <w:t>商务文件</w:t>
            </w:r>
            <w:r>
              <w:rPr>
                <w:rStyle w:val="34"/>
                <w:rFonts w:hint="eastAsia" w:ascii="宋体" w:hAnsi="宋体"/>
                <w:b/>
                <w:color w:val="auto"/>
                <w:sz w:val="24"/>
                <w:szCs w:val="24"/>
                <w:u w:val="none"/>
              </w:rPr>
              <w:fldChar w:fldCharType="end"/>
            </w:r>
          </w:p>
        </w:tc>
        <w:tc>
          <w:tcPr>
            <w:tcW w:w="567" w:type="dxa"/>
            <w:vAlign w:val="center"/>
          </w:tcPr>
          <w:p>
            <w:pPr>
              <w:autoSpaceDE w:val="0"/>
              <w:autoSpaceDN w:val="0"/>
              <w:rPr>
                <w:rFonts w:ascii="宋体" w:hAnsi="宋体"/>
                <w:b/>
                <w:color w:val="auto"/>
                <w:sz w:val="24"/>
                <w:szCs w:val="24"/>
              </w:rPr>
            </w:pPr>
          </w:p>
        </w:tc>
        <w:tc>
          <w:tcPr>
            <w:tcW w:w="615" w:type="dxa"/>
            <w:vAlign w:val="center"/>
          </w:tcPr>
          <w:p>
            <w:pPr>
              <w:autoSpaceDE w:val="0"/>
              <w:autoSpaceDN w:val="0"/>
              <w:rPr>
                <w:rFonts w:ascii="宋体" w:hAnsi="宋体"/>
                <w:b/>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hint="eastAsia" w:ascii="宋体" w:hAnsi="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color w:val="auto"/>
                <w:sz w:val="24"/>
                <w:szCs w:val="24"/>
              </w:rPr>
            </w:pPr>
            <w:r>
              <w:rPr>
                <w:rFonts w:hint="eastAsia" w:ascii="宋体" w:hAnsi="宋体"/>
                <w:color w:val="auto"/>
                <w:sz w:val="24"/>
                <w:szCs w:val="24"/>
              </w:rPr>
              <w:t>14.</w:t>
            </w:r>
          </w:p>
        </w:tc>
        <w:tc>
          <w:tcPr>
            <w:tcW w:w="5936" w:type="dxa"/>
            <w:vAlign w:val="center"/>
          </w:tcPr>
          <w:p>
            <w:pPr>
              <w:autoSpaceDE w:val="0"/>
              <w:autoSpaceDN w:val="0"/>
              <w:rPr>
                <w:rFonts w:ascii="宋体" w:hAnsi="宋体"/>
                <w:color w:val="auto"/>
                <w:sz w:val="24"/>
                <w:szCs w:val="24"/>
              </w:rPr>
            </w:pPr>
            <w:r>
              <w:rPr>
                <w:color w:val="auto"/>
              </w:rPr>
              <w:fldChar w:fldCharType="begin"/>
            </w:r>
            <w:r>
              <w:rPr>
                <w:color w:val="auto"/>
              </w:rPr>
              <w:instrText xml:space="preserve"> HYPERLINK \l "_Toc22806232" </w:instrText>
            </w:r>
            <w:r>
              <w:rPr>
                <w:color w:val="auto"/>
              </w:rPr>
              <w:fldChar w:fldCharType="separate"/>
            </w:r>
            <w:r>
              <w:rPr>
                <w:rFonts w:ascii="宋体" w:hAnsi="宋体"/>
                <w:i/>
                <w:iCs/>
                <w:color w:val="auto"/>
                <w:sz w:val="24"/>
                <w:szCs w:val="24"/>
              </w:rPr>
              <w:tab/>
            </w:r>
            <w:r>
              <w:rPr>
                <w:rStyle w:val="34"/>
                <w:rFonts w:hint="eastAsia" w:ascii="宋体" w:hAnsi="宋体"/>
                <w:color w:val="auto"/>
                <w:sz w:val="24"/>
                <w:szCs w:val="24"/>
                <w:u w:val="none"/>
              </w:rPr>
              <w:t>商务条款偏离表</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color w:val="auto"/>
                <w:sz w:val="24"/>
                <w:szCs w:val="24"/>
              </w:rPr>
            </w:pPr>
            <w:r>
              <w:rPr>
                <w:rFonts w:hint="eastAsia" w:ascii="宋体" w:hAnsi="宋体"/>
                <w:color w:val="auto"/>
                <w:sz w:val="24"/>
                <w:szCs w:val="24"/>
              </w:rPr>
              <w:t>15.</w:t>
            </w:r>
          </w:p>
        </w:tc>
        <w:tc>
          <w:tcPr>
            <w:tcW w:w="5936" w:type="dxa"/>
            <w:vAlign w:val="center"/>
          </w:tcPr>
          <w:p>
            <w:pPr>
              <w:autoSpaceDE w:val="0"/>
              <w:autoSpaceDN w:val="0"/>
              <w:rPr>
                <w:rFonts w:ascii="宋体" w:hAnsi="宋体"/>
                <w:color w:val="auto"/>
                <w:sz w:val="24"/>
                <w:szCs w:val="24"/>
              </w:rPr>
            </w:pPr>
            <w:r>
              <w:rPr>
                <w:color w:val="auto"/>
              </w:rPr>
              <w:fldChar w:fldCharType="begin"/>
            </w:r>
            <w:r>
              <w:rPr>
                <w:color w:val="auto"/>
              </w:rPr>
              <w:instrText xml:space="preserve"> HYPERLINK \l "_Toc22806233" </w:instrText>
            </w:r>
            <w:r>
              <w:rPr>
                <w:color w:val="auto"/>
              </w:rPr>
              <w:fldChar w:fldCharType="separate"/>
            </w:r>
            <w:r>
              <w:rPr>
                <w:rStyle w:val="34"/>
                <w:rFonts w:hint="eastAsia" w:ascii="宋体" w:hAnsi="宋体"/>
                <w:color w:val="auto"/>
                <w:sz w:val="24"/>
                <w:szCs w:val="24"/>
                <w:u w:val="none"/>
              </w:rPr>
              <w:t>合同条款偏离表</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color w:val="auto"/>
                <w:sz w:val="24"/>
                <w:szCs w:val="24"/>
              </w:rPr>
            </w:pPr>
            <w:r>
              <w:rPr>
                <w:rFonts w:hint="eastAsia" w:ascii="宋体" w:hAnsi="宋体"/>
                <w:color w:val="auto"/>
                <w:sz w:val="24"/>
                <w:szCs w:val="24"/>
              </w:rPr>
              <w:t>16.</w:t>
            </w:r>
          </w:p>
        </w:tc>
        <w:tc>
          <w:tcPr>
            <w:tcW w:w="5936" w:type="dxa"/>
            <w:vAlign w:val="center"/>
          </w:tcPr>
          <w:p>
            <w:pPr>
              <w:autoSpaceDE w:val="0"/>
              <w:autoSpaceDN w:val="0"/>
              <w:rPr>
                <w:rFonts w:ascii="宋体" w:hAnsi="宋体"/>
                <w:color w:val="auto"/>
                <w:sz w:val="24"/>
                <w:szCs w:val="24"/>
              </w:rPr>
            </w:pPr>
            <w:r>
              <w:rPr>
                <w:color w:val="auto"/>
              </w:rPr>
              <w:fldChar w:fldCharType="begin"/>
            </w:r>
            <w:r>
              <w:rPr>
                <w:color w:val="auto"/>
              </w:rPr>
              <w:instrText xml:space="preserve"> HYPERLINK \l "_Toc22806234" </w:instrText>
            </w:r>
            <w:r>
              <w:rPr>
                <w:color w:val="auto"/>
              </w:rPr>
              <w:fldChar w:fldCharType="separate"/>
            </w:r>
            <w:r>
              <w:rPr>
                <w:rStyle w:val="34"/>
                <w:rFonts w:hint="eastAsia" w:ascii="宋体" w:hAnsi="宋体"/>
                <w:color w:val="auto"/>
                <w:sz w:val="24"/>
                <w:szCs w:val="24"/>
                <w:u w:val="none"/>
              </w:rPr>
              <w:t>商务情况</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hint="eastAsia" w:ascii="宋体" w:hAnsi="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color w:val="auto"/>
                <w:sz w:val="24"/>
                <w:szCs w:val="24"/>
              </w:rPr>
            </w:pPr>
            <w:r>
              <w:rPr>
                <w:rFonts w:hint="eastAsia" w:ascii="宋体" w:hAnsi="宋体"/>
                <w:color w:val="auto"/>
                <w:sz w:val="24"/>
                <w:szCs w:val="24"/>
              </w:rPr>
              <w:t>16.1.</w:t>
            </w:r>
          </w:p>
        </w:tc>
        <w:tc>
          <w:tcPr>
            <w:tcW w:w="5936" w:type="dxa"/>
            <w:vAlign w:val="center"/>
          </w:tcPr>
          <w:p>
            <w:pPr>
              <w:autoSpaceDE w:val="0"/>
              <w:autoSpaceDN w:val="0"/>
              <w:rPr>
                <w:rFonts w:ascii="宋体" w:hAnsi="宋体"/>
                <w:color w:val="auto"/>
                <w:sz w:val="24"/>
                <w:szCs w:val="24"/>
              </w:rPr>
            </w:pPr>
            <w:r>
              <w:rPr>
                <w:color w:val="auto"/>
              </w:rPr>
              <w:fldChar w:fldCharType="begin"/>
            </w:r>
            <w:r>
              <w:rPr>
                <w:color w:val="auto"/>
              </w:rPr>
              <w:instrText xml:space="preserve"> HYPERLINK \l "_Toc22806235" </w:instrText>
            </w:r>
            <w:r>
              <w:rPr>
                <w:color w:val="auto"/>
              </w:rPr>
              <w:fldChar w:fldCharType="separate"/>
            </w:r>
            <w:r>
              <w:rPr>
                <w:rStyle w:val="34"/>
                <w:rFonts w:hint="eastAsia" w:ascii="宋体" w:hAnsi="宋体"/>
                <w:color w:val="auto"/>
                <w:sz w:val="24"/>
                <w:szCs w:val="24"/>
                <w:u w:val="none"/>
              </w:rPr>
              <w:t>类似项目业绩（如有）</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color w:val="auto"/>
                <w:sz w:val="24"/>
                <w:szCs w:val="24"/>
              </w:rPr>
            </w:pPr>
            <w:r>
              <w:rPr>
                <w:rFonts w:hint="eastAsia" w:ascii="宋体" w:hAnsi="宋体"/>
                <w:color w:val="auto"/>
                <w:sz w:val="24"/>
                <w:szCs w:val="24"/>
              </w:rPr>
              <w:t>16.2.</w:t>
            </w:r>
          </w:p>
        </w:tc>
        <w:tc>
          <w:tcPr>
            <w:tcW w:w="5936" w:type="dxa"/>
            <w:vAlign w:val="center"/>
          </w:tcPr>
          <w:p>
            <w:pPr>
              <w:autoSpaceDE w:val="0"/>
              <w:autoSpaceDN w:val="0"/>
              <w:rPr>
                <w:rFonts w:ascii="宋体" w:hAnsi="宋体"/>
                <w:color w:val="auto"/>
                <w:sz w:val="24"/>
                <w:szCs w:val="24"/>
              </w:rPr>
            </w:pPr>
            <w:r>
              <w:rPr>
                <w:color w:val="auto"/>
              </w:rPr>
              <w:fldChar w:fldCharType="begin"/>
            </w:r>
            <w:r>
              <w:rPr>
                <w:color w:val="auto"/>
              </w:rPr>
              <w:instrText xml:space="preserve"> HYPERLINK \l "_Toc22806236" </w:instrText>
            </w:r>
            <w:r>
              <w:rPr>
                <w:color w:val="auto"/>
              </w:rPr>
              <w:fldChar w:fldCharType="separate"/>
            </w:r>
            <w:r>
              <w:rPr>
                <w:rStyle w:val="34"/>
                <w:rFonts w:hint="eastAsia" w:ascii="宋体" w:hAnsi="宋体"/>
                <w:color w:val="auto"/>
                <w:sz w:val="24"/>
                <w:szCs w:val="24"/>
                <w:u w:val="none"/>
              </w:rPr>
              <w:t>获得的荣誉、资信、认证情况（如有）</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color w:val="auto"/>
                <w:sz w:val="24"/>
                <w:szCs w:val="24"/>
              </w:rPr>
            </w:pPr>
            <w:r>
              <w:rPr>
                <w:rFonts w:hint="eastAsia" w:ascii="宋体" w:hAnsi="宋体"/>
                <w:color w:val="auto"/>
                <w:sz w:val="24"/>
                <w:szCs w:val="24"/>
              </w:rPr>
              <w:t>17.</w:t>
            </w:r>
          </w:p>
        </w:tc>
        <w:tc>
          <w:tcPr>
            <w:tcW w:w="5936" w:type="dxa"/>
            <w:vAlign w:val="center"/>
          </w:tcPr>
          <w:p>
            <w:pPr>
              <w:autoSpaceDE w:val="0"/>
              <w:autoSpaceDN w:val="0"/>
              <w:rPr>
                <w:rFonts w:ascii="宋体" w:hAnsi="宋体"/>
                <w:color w:val="auto"/>
                <w:sz w:val="24"/>
                <w:szCs w:val="24"/>
              </w:rPr>
            </w:pPr>
            <w:r>
              <w:rPr>
                <w:color w:val="auto"/>
              </w:rPr>
              <w:fldChar w:fldCharType="begin"/>
            </w:r>
            <w:r>
              <w:rPr>
                <w:color w:val="auto"/>
              </w:rPr>
              <w:instrText xml:space="preserve"> HYPERLINK \l "_Toc22806240" </w:instrText>
            </w:r>
            <w:r>
              <w:rPr>
                <w:color w:val="auto"/>
              </w:rPr>
              <w:fldChar w:fldCharType="separate"/>
            </w:r>
            <w:r>
              <w:rPr>
                <w:rStyle w:val="34"/>
                <w:rFonts w:hint="eastAsia" w:ascii="宋体" w:hAnsi="宋体"/>
                <w:color w:val="auto"/>
                <w:sz w:val="24"/>
                <w:szCs w:val="24"/>
                <w:u w:val="none"/>
              </w:rPr>
              <w:t>《商务评审表》各评审因素响应情况及相关证明材料</w:t>
            </w:r>
            <w:r>
              <w:rPr>
                <w:rStyle w:val="34"/>
                <w:rFonts w:hint="eastAsia" w:ascii="宋体" w:hAnsi="宋体"/>
                <w:color w:val="auto"/>
                <w:sz w:val="24"/>
                <w:szCs w:val="24"/>
                <w:u w:val="none"/>
              </w:rPr>
              <w:fldChar w:fldCharType="end"/>
            </w:r>
            <w:r>
              <w:rPr>
                <w:rFonts w:hint="eastAsia" w:ascii="宋体" w:hAnsi="宋体"/>
                <w:color w:val="auto"/>
                <w:sz w:val="24"/>
                <w:szCs w:val="24"/>
              </w:rPr>
              <w:t>（如有）</w:t>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color w:val="auto"/>
                <w:sz w:val="24"/>
                <w:szCs w:val="24"/>
              </w:rPr>
            </w:pPr>
            <w:r>
              <w:rPr>
                <w:rFonts w:hint="eastAsia" w:ascii="宋体" w:hAnsi="宋体"/>
                <w:color w:val="auto"/>
                <w:sz w:val="24"/>
                <w:szCs w:val="24"/>
              </w:rPr>
              <w:t>18.</w:t>
            </w:r>
          </w:p>
        </w:tc>
        <w:tc>
          <w:tcPr>
            <w:tcW w:w="5936" w:type="dxa"/>
            <w:vAlign w:val="center"/>
          </w:tcPr>
          <w:p>
            <w:pPr>
              <w:autoSpaceDE w:val="0"/>
              <w:autoSpaceDN w:val="0"/>
              <w:rPr>
                <w:rFonts w:ascii="宋体" w:hAnsi="宋体"/>
                <w:color w:val="auto"/>
                <w:sz w:val="24"/>
                <w:szCs w:val="24"/>
              </w:rPr>
            </w:pPr>
            <w:r>
              <w:rPr>
                <w:color w:val="auto"/>
              </w:rPr>
              <w:fldChar w:fldCharType="begin"/>
            </w:r>
            <w:r>
              <w:rPr>
                <w:color w:val="auto"/>
              </w:rPr>
              <w:instrText xml:space="preserve"> HYPERLINK \l "_Toc22806241" </w:instrText>
            </w:r>
            <w:r>
              <w:rPr>
                <w:color w:val="auto"/>
              </w:rPr>
              <w:fldChar w:fldCharType="separate"/>
            </w:r>
            <w:r>
              <w:rPr>
                <w:rStyle w:val="34"/>
                <w:rFonts w:hint="eastAsia" w:ascii="宋体" w:hAnsi="宋体"/>
                <w:color w:val="auto"/>
                <w:sz w:val="24"/>
                <w:szCs w:val="24"/>
                <w:u w:val="none"/>
              </w:rPr>
              <w:t>投标人认为有必要说明或提供的其他商务文件（如有）</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b/>
                <w:color w:val="auto"/>
                <w:sz w:val="24"/>
                <w:szCs w:val="24"/>
              </w:rPr>
            </w:pPr>
            <w:r>
              <w:rPr>
                <w:rFonts w:hint="eastAsia" w:ascii="宋体" w:hAnsi="宋体"/>
                <w:b/>
                <w:color w:val="auto"/>
                <w:sz w:val="24"/>
                <w:szCs w:val="24"/>
              </w:rPr>
              <w:t>七、</w:t>
            </w:r>
          </w:p>
        </w:tc>
        <w:tc>
          <w:tcPr>
            <w:tcW w:w="5936" w:type="dxa"/>
            <w:vAlign w:val="center"/>
          </w:tcPr>
          <w:p>
            <w:pPr>
              <w:autoSpaceDE w:val="0"/>
              <w:autoSpaceDN w:val="0"/>
              <w:rPr>
                <w:rFonts w:ascii="宋体" w:hAnsi="宋体"/>
                <w:b/>
                <w:color w:val="auto"/>
                <w:sz w:val="24"/>
                <w:szCs w:val="24"/>
              </w:rPr>
            </w:pPr>
            <w:r>
              <w:rPr>
                <w:color w:val="auto"/>
              </w:rPr>
              <w:fldChar w:fldCharType="begin"/>
            </w:r>
            <w:r>
              <w:rPr>
                <w:color w:val="auto"/>
              </w:rPr>
              <w:instrText xml:space="preserve"> HYPERLINK \l "_Toc22806242" </w:instrText>
            </w:r>
            <w:r>
              <w:rPr>
                <w:color w:val="auto"/>
              </w:rPr>
              <w:fldChar w:fldCharType="separate"/>
            </w:r>
            <w:r>
              <w:rPr>
                <w:rFonts w:ascii="宋体" w:hAnsi="宋体"/>
                <w:b/>
                <w:smallCaps/>
                <w:color w:val="auto"/>
                <w:sz w:val="24"/>
                <w:szCs w:val="24"/>
              </w:rPr>
              <w:tab/>
            </w:r>
            <w:r>
              <w:rPr>
                <w:rStyle w:val="34"/>
                <w:rFonts w:hint="eastAsia" w:ascii="宋体" w:hAnsi="宋体"/>
                <w:b/>
                <w:color w:val="auto"/>
                <w:sz w:val="24"/>
                <w:szCs w:val="24"/>
                <w:u w:val="none"/>
              </w:rPr>
              <w:t>价格文件</w:t>
            </w:r>
            <w:r>
              <w:rPr>
                <w:rStyle w:val="34"/>
                <w:rFonts w:hint="eastAsia" w:ascii="宋体" w:hAnsi="宋体"/>
                <w:b/>
                <w:color w:val="auto"/>
                <w:sz w:val="24"/>
                <w:szCs w:val="24"/>
                <w:u w:val="none"/>
              </w:rPr>
              <w:fldChar w:fldCharType="end"/>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hint="eastAsia" w:ascii="宋体" w:hAnsi="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color w:val="auto"/>
                <w:sz w:val="24"/>
                <w:szCs w:val="24"/>
              </w:rPr>
            </w:pPr>
            <w:r>
              <w:rPr>
                <w:rFonts w:hint="eastAsia" w:ascii="宋体" w:hAnsi="宋体"/>
                <w:color w:val="auto"/>
                <w:sz w:val="24"/>
                <w:szCs w:val="24"/>
              </w:rPr>
              <w:t>19.</w:t>
            </w:r>
          </w:p>
        </w:tc>
        <w:tc>
          <w:tcPr>
            <w:tcW w:w="5936" w:type="dxa"/>
            <w:vAlign w:val="center"/>
          </w:tcPr>
          <w:p>
            <w:pPr>
              <w:autoSpaceDE w:val="0"/>
              <w:autoSpaceDN w:val="0"/>
              <w:rPr>
                <w:rFonts w:ascii="宋体" w:hAnsi="宋体"/>
                <w:color w:val="auto"/>
                <w:sz w:val="24"/>
                <w:szCs w:val="24"/>
              </w:rPr>
            </w:pPr>
            <w:r>
              <w:rPr>
                <w:color w:val="auto"/>
              </w:rPr>
              <w:fldChar w:fldCharType="begin"/>
            </w:r>
            <w:r>
              <w:rPr>
                <w:color w:val="auto"/>
              </w:rPr>
              <w:instrText xml:space="preserve"> HYPERLINK \l "_Toc22806243" </w:instrText>
            </w:r>
            <w:r>
              <w:rPr>
                <w:color w:val="auto"/>
              </w:rPr>
              <w:fldChar w:fldCharType="separate"/>
            </w:r>
            <w:r>
              <w:rPr>
                <w:rFonts w:ascii="宋体" w:hAnsi="宋体"/>
                <w:i/>
                <w:iCs/>
                <w:color w:val="auto"/>
                <w:sz w:val="24"/>
                <w:szCs w:val="24"/>
              </w:rPr>
              <w:tab/>
            </w:r>
            <w:r>
              <w:rPr>
                <w:rStyle w:val="34"/>
                <w:rFonts w:hint="eastAsia" w:ascii="宋体" w:hAnsi="宋体"/>
                <w:color w:val="auto"/>
                <w:sz w:val="24"/>
                <w:szCs w:val="24"/>
                <w:u w:val="none"/>
              </w:rPr>
              <w:t>开标一览表</w:t>
            </w:r>
            <w:r>
              <w:rPr>
                <w:rStyle w:val="34"/>
                <w:rFonts w:hint="eastAsia" w:ascii="宋体" w:hAnsi="宋体"/>
                <w:color w:val="auto"/>
                <w:sz w:val="24"/>
                <w:szCs w:val="24"/>
                <w:u w:val="none"/>
              </w:rPr>
              <w:fldChar w:fldCharType="end"/>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color w:val="auto"/>
                <w:sz w:val="24"/>
                <w:szCs w:val="24"/>
              </w:rPr>
            </w:pPr>
            <w:r>
              <w:rPr>
                <w:rFonts w:hint="eastAsia" w:ascii="宋体" w:hAnsi="宋体"/>
                <w:color w:val="auto"/>
                <w:sz w:val="24"/>
                <w:szCs w:val="24"/>
              </w:rPr>
              <w:t>20.</w:t>
            </w:r>
          </w:p>
        </w:tc>
        <w:tc>
          <w:tcPr>
            <w:tcW w:w="5936" w:type="dxa"/>
            <w:vAlign w:val="center"/>
          </w:tcPr>
          <w:p>
            <w:pPr>
              <w:autoSpaceDE w:val="0"/>
              <w:autoSpaceDN w:val="0"/>
              <w:rPr>
                <w:rFonts w:ascii="宋体" w:hAnsi="宋体"/>
                <w:color w:val="auto"/>
                <w:sz w:val="24"/>
                <w:szCs w:val="24"/>
              </w:rPr>
            </w:pPr>
            <w:r>
              <w:rPr>
                <w:color w:val="auto"/>
              </w:rPr>
              <w:fldChar w:fldCharType="begin"/>
            </w:r>
            <w:r>
              <w:rPr>
                <w:color w:val="auto"/>
              </w:rPr>
              <w:instrText xml:space="preserve"> HYPERLINK \l "_Toc22806244" </w:instrText>
            </w:r>
            <w:r>
              <w:rPr>
                <w:color w:val="auto"/>
              </w:rPr>
              <w:fldChar w:fldCharType="separate"/>
            </w:r>
            <w:r>
              <w:rPr>
                <w:rStyle w:val="34"/>
                <w:rFonts w:hint="eastAsia" w:ascii="宋体" w:hAnsi="宋体"/>
                <w:color w:val="auto"/>
                <w:sz w:val="24"/>
                <w:szCs w:val="24"/>
                <w:u w:val="none"/>
              </w:rPr>
              <w:t>分项报价明细表</w:t>
            </w:r>
            <w:r>
              <w:rPr>
                <w:rStyle w:val="34"/>
                <w:rFonts w:hint="eastAsia" w:ascii="宋体" w:hAnsi="宋体"/>
                <w:color w:val="auto"/>
                <w:sz w:val="24"/>
                <w:szCs w:val="24"/>
                <w:u w:val="none"/>
              </w:rPr>
              <w:fldChar w:fldCharType="end"/>
            </w:r>
            <w:r>
              <w:rPr>
                <w:rFonts w:hint="eastAsia" w:ascii="宋体" w:hAnsi="宋体"/>
                <w:color w:val="auto"/>
                <w:sz w:val="24"/>
                <w:szCs w:val="24"/>
              </w:rPr>
              <w:t>（如有）</w:t>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19" w:type="dxa"/>
            <w:vAlign w:val="center"/>
          </w:tcPr>
          <w:p>
            <w:pPr>
              <w:autoSpaceDE w:val="0"/>
              <w:autoSpaceDN w:val="0"/>
              <w:rPr>
                <w:rFonts w:ascii="宋体" w:hAnsi="宋体"/>
                <w:color w:val="auto"/>
                <w:sz w:val="24"/>
                <w:szCs w:val="24"/>
              </w:rPr>
            </w:pPr>
            <w:r>
              <w:rPr>
                <w:rFonts w:hint="eastAsia" w:ascii="宋体" w:hAnsi="宋体"/>
                <w:color w:val="auto"/>
                <w:sz w:val="24"/>
                <w:szCs w:val="24"/>
              </w:rPr>
              <w:t>21.</w:t>
            </w:r>
          </w:p>
        </w:tc>
        <w:tc>
          <w:tcPr>
            <w:tcW w:w="5936" w:type="dxa"/>
            <w:vAlign w:val="center"/>
          </w:tcPr>
          <w:p>
            <w:pPr>
              <w:autoSpaceDE w:val="0"/>
              <w:autoSpaceDN w:val="0"/>
              <w:rPr>
                <w:rFonts w:ascii="宋体" w:hAnsi="宋体"/>
                <w:color w:val="auto"/>
                <w:sz w:val="24"/>
                <w:szCs w:val="24"/>
              </w:rPr>
            </w:pPr>
            <w:r>
              <w:rPr>
                <w:color w:val="auto"/>
              </w:rPr>
              <w:fldChar w:fldCharType="begin"/>
            </w:r>
            <w:r>
              <w:rPr>
                <w:color w:val="auto"/>
              </w:rPr>
              <w:instrText xml:space="preserve"> HYPERLINK \l "_Toc22806245" </w:instrText>
            </w:r>
            <w:r>
              <w:rPr>
                <w:color w:val="auto"/>
              </w:rPr>
              <w:fldChar w:fldCharType="separate"/>
            </w:r>
            <w:r>
              <w:rPr>
                <w:rStyle w:val="34"/>
                <w:rFonts w:hint="eastAsia" w:ascii="宋体" w:hAnsi="宋体"/>
                <w:color w:val="auto"/>
                <w:sz w:val="24"/>
                <w:szCs w:val="24"/>
                <w:u w:val="none"/>
              </w:rPr>
              <w:t>政策适用性说明</w:t>
            </w:r>
            <w:r>
              <w:rPr>
                <w:rStyle w:val="34"/>
                <w:rFonts w:hint="eastAsia" w:ascii="宋体" w:hAnsi="宋体"/>
                <w:color w:val="auto"/>
                <w:sz w:val="24"/>
                <w:szCs w:val="24"/>
                <w:u w:val="none"/>
              </w:rPr>
              <w:fldChar w:fldCharType="end"/>
            </w:r>
            <w:r>
              <w:rPr>
                <w:rFonts w:hint="eastAsia" w:ascii="宋体" w:hAnsi="宋体"/>
                <w:color w:val="auto"/>
                <w:sz w:val="24"/>
                <w:szCs w:val="24"/>
              </w:rPr>
              <w:t>（如适用）</w:t>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b/>
                <w:color w:val="auto"/>
                <w:sz w:val="24"/>
                <w:szCs w:val="24"/>
              </w:rPr>
            </w:pPr>
            <w:r>
              <w:rPr>
                <w:rFonts w:hint="eastAsia" w:ascii="宋体" w:hAnsi="宋体"/>
                <w:b/>
                <w:color w:val="auto"/>
                <w:sz w:val="24"/>
                <w:szCs w:val="24"/>
              </w:rPr>
              <w:t>八、</w:t>
            </w:r>
          </w:p>
        </w:tc>
        <w:tc>
          <w:tcPr>
            <w:tcW w:w="5936" w:type="dxa"/>
            <w:vAlign w:val="center"/>
          </w:tcPr>
          <w:p>
            <w:pPr>
              <w:autoSpaceDE w:val="0"/>
              <w:autoSpaceDN w:val="0"/>
              <w:rPr>
                <w:rFonts w:ascii="宋体" w:hAnsi="宋体"/>
                <w:b/>
                <w:color w:val="auto"/>
                <w:sz w:val="24"/>
                <w:szCs w:val="24"/>
              </w:rPr>
            </w:pPr>
            <w:r>
              <w:rPr>
                <w:color w:val="auto"/>
              </w:rPr>
              <w:fldChar w:fldCharType="begin"/>
            </w:r>
            <w:r>
              <w:rPr>
                <w:color w:val="auto"/>
              </w:rPr>
              <w:instrText xml:space="preserve"> HYPERLINK \l "_Toc22806246" </w:instrText>
            </w:r>
            <w:r>
              <w:rPr>
                <w:color w:val="auto"/>
              </w:rPr>
              <w:fldChar w:fldCharType="separate"/>
            </w:r>
            <w:r>
              <w:rPr>
                <w:rFonts w:ascii="宋体" w:hAnsi="宋体"/>
                <w:b/>
                <w:smallCaps/>
                <w:color w:val="auto"/>
                <w:sz w:val="24"/>
                <w:szCs w:val="24"/>
              </w:rPr>
              <w:tab/>
            </w:r>
            <w:r>
              <w:rPr>
                <w:rStyle w:val="34"/>
                <w:rFonts w:hint="eastAsia" w:ascii="宋体" w:hAnsi="宋体"/>
                <w:b/>
                <w:color w:val="auto"/>
                <w:sz w:val="24"/>
                <w:szCs w:val="24"/>
                <w:u w:val="none"/>
              </w:rPr>
              <w:t>开标信封</w:t>
            </w:r>
            <w:r>
              <w:rPr>
                <w:rStyle w:val="34"/>
                <w:rFonts w:hint="eastAsia" w:ascii="宋体" w:hAnsi="宋体"/>
                <w:b/>
                <w:color w:val="auto"/>
                <w:sz w:val="24"/>
                <w:szCs w:val="24"/>
                <w:u w:val="none"/>
              </w:rPr>
              <w:fldChar w:fldCharType="end"/>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hint="eastAsia" w:ascii="宋体" w:hAnsi="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color w:val="auto"/>
                <w:sz w:val="24"/>
                <w:szCs w:val="24"/>
              </w:rPr>
            </w:pPr>
            <w:r>
              <w:rPr>
                <w:rFonts w:hint="eastAsia" w:ascii="宋体" w:hAnsi="宋体"/>
                <w:color w:val="auto"/>
                <w:sz w:val="24"/>
                <w:szCs w:val="24"/>
              </w:rPr>
              <w:t>22.</w:t>
            </w:r>
          </w:p>
        </w:tc>
        <w:tc>
          <w:tcPr>
            <w:tcW w:w="5936" w:type="dxa"/>
            <w:vAlign w:val="center"/>
          </w:tcPr>
          <w:p>
            <w:pPr>
              <w:autoSpaceDE w:val="0"/>
              <w:autoSpaceDN w:val="0"/>
              <w:rPr>
                <w:rFonts w:ascii="宋体" w:hAnsi="宋体"/>
                <w:color w:val="auto"/>
                <w:sz w:val="24"/>
                <w:szCs w:val="24"/>
              </w:rPr>
            </w:pPr>
            <w:r>
              <w:rPr>
                <w:rFonts w:hint="eastAsia" w:ascii="宋体" w:hAnsi="宋体"/>
                <w:color w:val="auto"/>
                <w:sz w:val="24"/>
                <w:szCs w:val="24"/>
              </w:rPr>
              <w:t>开标信封（独立包装）</w:t>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hint="eastAsia" w:ascii="宋体" w:hAnsi="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b/>
                <w:color w:val="auto"/>
                <w:sz w:val="24"/>
                <w:szCs w:val="24"/>
              </w:rPr>
            </w:pPr>
            <w:r>
              <w:rPr>
                <w:rFonts w:hint="eastAsia" w:ascii="宋体" w:hAnsi="宋体"/>
                <w:b/>
                <w:color w:val="auto"/>
                <w:sz w:val="24"/>
                <w:szCs w:val="24"/>
              </w:rPr>
              <w:t>九、</w:t>
            </w:r>
          </w:p>
        </w:tc>
        <w:tc>
          <w:tcPr>
            <w:tcW w:w="5936" w:type="dxa"/>
            <w:vAlign w:val="center"/>
          </w:tcPr>
          <w:p>
            <w:pPr>
              <w:autoSpaceDE w:val="0"/>
              <w:autoSpaceDN w:val="0"/>
              <w:rPr>
                <w:rFonts w:ascii="宋体" w:hAnsi="宋体"/>
                <w:b/>
                <w:color w:val="auto"/>
                <w:sz w:val="24"/>
                <w:szCs w:val="24"/>
              </w:rPr>
            </w:pPr>
            <w:r>
              <w:rPr>
                <w:rFonts w:hint="eastAsia" w:ascii="宋体" w:hAnsi="宋体"/>
                <w:b/>
                <w:color w:val="auto"/>
                <w:sz w:val="24"/>
                <w:szCs w:val="24"/>
              </w:rPr>
              <w:t>附件（如有）</w:t>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hint="eastAsia" w:ascii="宋体" w:hAnsi="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color w:val="auto"/>
                <w:sz w:val="24"/>
                <w:szCs w:val="24"/>
              </w:rPr>
            </w:pPr>
            <w:r>
              <w:rPr>
                <w:rFonts w:ascii="宋体" w:hAnsi="宋体"/>
                <w:color w:val="auto"/>
                <w:sz w:val="24"/>
                <w:szCs w:val="24"/>
              </w:rPr>
              <w:t>23.</w:t>
            </w:r>
          </w:p>
        </w:tc>
        <w:tc>
          <w:tcPr>
            <w:tcW w:w="5936" w:type="dxa"/>
            <w:vAlign w:val="center"/>
          </w:tcPr>
          <w:p>
            <w:pPr>
              <w:autoSpaceDE w:val="0"/>
              <w:autoSpaceDN w:val="0"/>
              <w:rPr>
                <w:rFonts w:ascii="宋体" w:hAnsi="宋体"/>
                <w:color w:val="auto"/>
                <w:sz w:val="24"/>
                <w:szCs w:val="24"/>
              </w:rPr>
            </w:pPr>
            <w:r>
              <w:rPr>
                <w:rFonts w:hint="eastAsia" w:ascii="宋体" w:hAnsi="宋体"/>
                <w:color w:val="auto"/>
                <w:sz w:val="24"/>
                <w:szCs w:val="24"/>
              </w:rPr>
              <w:t>投标保证金（如有）</w:t>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hint="eastAsia" w:ascii="宋体" w:hAnsi="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color w:val="auto"/>
                <w:sz w:val="24"/>
                <w:szCs w:val="24"/>
              </w:rPr>
            </w:pPr>
            <w:r>
              <w:rPr>
                <w:rFonts w:ascii="宋体" w:hAnsi="宋体"/>
                <w:color w:val="auto"/>
                <w:sz w:val="24"/>
                <w:szCs w:val="24"/>
              </w:rPr>
              <w:t>23.1</w:t>
            </w:r>
          </w:p>
        </w:tc>
        <w:tc>
          <w:tcPr>
            <w:tcW w:w="5936" w:type="dxa"/>
            <w:vAlign w:val="center"/>
          </w:tcPr>
          <w:p>
            <w:pPr>
              <w:autoSpaceDE w:val="0"/>
              <w:autoSpaceDN w:val="0"/>
              <w:rPr>
                <w:rFonts w:ascii="宋体" w:hAnsi="宋体"/>
                <w:color w:val="auto"/>
                <w:sz w:val="24"/>
                <w:szCs w:val="24"/>
              </w:rPr>
            </w:pPr>
            <w:r>
              <w:rPr>
                <w:rFonts w:hint="eastAsia" w:ascii="宋体" w:hAnsi="宋体"/>
                <w:color w:val="auto"/>
                <w:sz w:val="24"/>
                <w:szCs w:val="24"/>
              </w:rPr>
              <w:t>投标保证金交纳凭证（如有）</w:t>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color w:val="auto"/>
                <w:sz w:val="24"/>
                <w:szCs w:val="24"/>
              </w:rPr>
            </w:pPr>
            <w:r>
              <w:rPr>
                <w:rFonts w:ascii="宋体" w:hAnsi="宋体"/>
                <w:color w:val="auto"/>
                <w:sz w:val="24"/>
                <w:szCs w:val="24"/>
              </w:rPr>
              <w:t>23.2</w:t>
            </w:r>
          </w:p>
        </w:tc>
        <w:tc>
          <w:tcPr>
            <w:tcW w:w="5936" w:type="dxa"/>
            <w:vAlign w:val="center"/>
          </w:tcPr>
          <w:p>
            <w:pPr>
              <w:autoSpaceDE w:val="0"/>
              <w:autoSpaceDN w:val="0"/>
              <w:rPr>
                <w:rFonts w:ascii="宋体" w:hAnsi="宋体"/>
                <w:color w:val="auto"/>
                <w:sz w:val="24"/>
                <w:szCs w:val="24"/>
              </w:rPr>
            </w:pPr>
            <w:r>
              <w:rPr>
                <w:rFonts w:hint="eastAsia" w:ascii="宋体" w:hAnsi="宋体"/>
                <w:color w:val="auto"/>
                <w:sz w:val="24"/>
                <w:szCs w:val="24"/>
              </w:rPr>
              <w:t>投标保证金退还说明（如有）</w:t>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color w:val="auto"/>
                <w:sz w:val="24"/>
                <w:szCs w:val="24"/>
              </w:rPr>
            </w:pPr>
            <w:r>
              <w:rPr>
                <w:rFonts w:hint="eastAsia" w:ascii="宋体" w:hAnsi="宋体"/>
                <w:color w:val="auto"/>
                <w:sz w:val="24"/>
                <w:szCs w:val="24"/>
              </w:rPr>
              <w:t>24.</w:t>
            </w:r>
          </w:p>
        </w:tc>
        <w:tc>
          <w:tcPr>
            <w:tcW w:w="5936" w:type="dxa"/>
            <w:vAlign w:val="center"/>
          </w:tcPr>
          <w:p>
            <w:pPr>
              <w:autoSpaceDE w:val="0"/>
              <w:autoSpaceDN w:val="0"/>
              <w:rPr>
                <w:rFonts w:ascii="宋体" w:hAnsi="宋体"/>
                <w:color w:val="auto"/>
                <w:sz w:val="24"/>
                <w:szCs w:val="24"/>
              </w:rPr>
            </w:pPr>
            <w:r>
              <w:rPr>
                <w:rFonts w:hint="eastAsia" w:ascii="宋体" w:hAnsi="宋体"/>
                <w:color w:val="auto"/>
                <w:sz w:val="24"/>
                <w:szCs w:val="24"/>
              </w:rPr>
              <w:t>开票资料说明函</w:t>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9" w:type="dxa"/>
            <w:vAlign w:val="center"/>
          </w:tcPr>
          <w:p>
            <w:pPr>
              <w:autoSpaceDE w:val="0"/>
              <w:autoSpaceDN w:val="0"/>
              <w:rPr>
                <w:rFonts w:ascii="宋体" w:hAnsi="宋体"/>
                <w:color w:val="auto"/>
                <w:sz w:val="24"/>
                <w:szCs w:val="24"/>
              </w:rPr>
            </w:pPr>
            <w:r>
              <w:rPr>
                <w:rFonts w:hint="eastAsia" w:ascii="宋体" w:hAnsi="宋体"/>
                <w:color w:val="auto"/>
                <w:sz w:val="24"/>
                <w:szCs w:val="24"/>
              </w:rPr>
              <w:t>25.</w:t>
            </w:r>
          </w:p>
        </w:tc>
        <w:tc>
          <w:tcPr>
            <w:tcW w:w="5936" w:type="dxa"/>
            <w:vAlign w:val="center"/>
          </w:tcPr>
          <w:p>
            <w:pPr>
              <w:autoSpaceDE w:val="0"/>
              <w:autoSpaceDN w:val="0"/>
              <w:rPr>
                <w:rFonts w:ascii="宋体" w:hAnsi="宋体"/>
                <w:color w:val="auto"/>
                <w:sz w:val="24"/>
                <w:szCs w:val="24"/>
              </w:rPr>
            </w:pPr>
            <w:r>
              <w:rPr>
                <w:rFonts w:ascii="宋体" w:hAnsi="宋体"/>
                <w:color w:val="auto"/>
                <w:sz w:val="24"/>
                <w:szCs w:val="24"/>
              </w:rPr>
              <w:t>其他附件</w:t>
            </w:r>
            <w:r>
              <w:rPr>
                <w:rFonts w:hint="eastAsia" w:ascii="宋体" w:hAnsi="宋体"/>
                <w:color w:val="auto"/>
                <w:sz w:val="24"/>
                <w:szCs w:val="24"/>
              </w:rPr>
              <w:t>（如有，投标人自行补充）</w:t>
            </w:r>
          </w:p>
        </w:tc>
        <w:tc>
          <w:tcPr>
            <w:tcW w:w="567" w:type="dxa"/>
            <w:vAlign w:val="center"/>
          </w:tcPr>
          <w:p>
            <w:pPr>
              <w:autoSpaceDE w:val="0"/>
              <w:autoSpaceDN w:val="0"/>
              <w:rPr>
                <w:rFonts w:ascii="宋体" w:hAnsi="宋体"/>
                <w:color w:val="auto"/>
                <w:sz w:val="24"/>
                <w:szCs w:val="24"/>
              </w:rPr>
            </w:pPr>
          </w:p>
        </w:tc>
        <w:tc>
          <w:tcPr>
            <w:tcW w:w="615" w:type="dxa"/>
            <w:vAlign w:val="center"/>
          </w:tcPr>
          <w:p>
            <w:pPr>
              <w:autoSpaceDE w:val="0"/>
              <w:autoSpaceDN w:val="0"/>
              <w:rPr>
                <w:rFonts w:ascii="宋体" w:hAnsi="宋体"/>
                <w:color w:val="auto"/>
                <w:sz w:val="24"/>
                <w:szCs w:val="24"/>
              </w:rPr>
            </w:pPr>
          </w:p>
        </w:tc>
        <w:tc>
          <w:tcPr>
            <w:tcW w:w="1447" w:type="dxa"/>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bl>
    <w:p>
      <w:pPr>
        <w:autoSpaceDE w:val="0"/>
        <w:autoSpaceDN w:val="0"/>
        <w:rPr>
          <w:rFonts w:ascii="宋体" w:hAnsi="宋体"/>
          <w:b/>
          <w:color w:val="auto"/>
          <w:sz w:val="24"/>
          <w:szCs w:val="24"/>
        </w:rPr>
      </w:pPr>
      <w:r>
        <w:rPr>
          <w:rFonts w:hint="eastAsia" w:ascii="宋体" w:hAnsi="宋体"/>
          <w:b/>
          <w:color w:val="auto"/>
          <w:sz w:val="24"/>
          <w:szCs w:val="24"/>
        </w:rPr>
        <w:t>备注：</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1、提交情况在对应“有”或“无”栏内打“√”，或直接填写“有”或“无”，不提交的资料不需要填写页码，</w:t>
      </w:r>
      <w:r>
        <w:rPr>
          <w:rFonts w:hint="eastAsia" w:ascii="宋体" w:hAnsi="宋体"/>
          <w:b/>
          <w:color w:val="auto"/>
          <w:sz w:val="24"/>
          <w:szCs w:val="24"/>
          <w:u w:val="single"/>
        </w:rPr>
        <w:t>也不需要修改后续格式的序号。</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2、投标人认为有必要提交的其他文件可自行增加表格栏目，以上投标文件提交时按照《目录》的排列顺序装订成册。</w:t>
      </w:r>
    </w:p>
    <w:p>
      <w:pPr>
        <w:pStyle w:val="4"/>
        <w:numPr>
          <w:ilvl w:val="0"/>
          <w:numId w:val="91"/>
        </w:numPr>
        <w:tabs>
          <w:tab w:val="left" w:pos="945"/>
        </w:tabs>
        <w:spacing w:before="0" w:after="0" w:line="360" w:lineRule="auto"/>
        <w:ind w:left="984" w:hanging="980" w:hangingChars="350"/>
        <w:rPr>
          <w:rFonts w:ascii="宋体" w:hAnsi="宋体"/>
          <w:color w:val="auto"/>
          <w:sz w:val="28"/>
          <w:szCs w:val="28"/>
        </w:rPr>
      </w:pPr>
      <w:bookmarkStart w:id="378" w:name="_Toc22806191"/>
      <w:bookmarkStart w:id="379" w:name="_Toc54335472"/>
      <w:r>
        <w:rPr>
          <w:rFonts w:hint="eastAsia" w:ascii="宋体" w:hAnsi="宋体"/>
          <w:color w:val="auto"/>
          <w:sz w:val="28"/>
          <w:szCs w:val="28"/>
        </w:rPr>
        <w:br w:type="page"/>
      </w:r>
      <w:bookmarkStart w:id="380" w:name="_Toc9432"/>
      <w:r>
        <w:rPr>
          <w:rFonts w:hint="eastAsia" w:ascii="宋体" w:hAnsi="宋体"/>
          <w:color w:val="auto"/>
          <w:sz w:val="28"/>
          <w:szCs w:val="28"/>
        </w:rPr>
        <w:t>自查、自评表</w:t>
      </w:r>
      <w:bookmarkEnd w:id="378"/>
      <w:bookmarkEnd w:id="379"/>
      <w:bookmarkEnd w:id="380"/>
    </w:p>
    <w:p>
      <w:pPr>
        <w:pStyle w:val="5"/>
        <w:numPr>
          <w:ilvl w:val="0"/>
          <w:numId w:val="0"/>
        </w:numPr>
        <w:tabs>
          <w:tab w:val="left" w:pos="945"/>
        </w:tabs>
        <w:spacing w:before="0" w:after="0" w:line="360" w:lineRule="auto"/>
        <w:ind w:left="964" w:hanging="960" w:hangingChars="400"/>
        <w:rPr>
          <w:rFonts w:ascii="宋体" w:hAnsi="宋体"/>
          <w:color w:val="auto"/>
          <w:sz w:val="24"/>
          <w:szCs w:val="24"/>
        </w:rPr>
      </w:pPr>
      <w:bookmarkStart w:id="381" w:name="_Toc54335473"/>
      <w:bookmarkStart w:id="382" w:name="_Toc15443"/>
      <w:bookmarkStart w:id="383" w:name="_Toc22806193"/>
      <w:r>
        <w:rPr>
          <w:rFonts w:hint="eastAsia" w:ascii="宋体" w:hAnsi="宋体"/>
          <w:color w:val="auto"/>
          <w:sz w:val="24"/>
          <w:szCs w:val="24"/>
        </w:rPr>
        <w:t>1.自查表</w:t>
      </w:r>
      <w:bookmarkEnd w:id="381"/>
      <w:bookmarkEnd w:id="382"/>
    </w:p>
    <w:p>
      <w:pPr>
        <w:pStyle w:val="6"/>
        <w:numPr>
          <w:ilvl w:val="0"/>
          <w:numId w:val="0"/>
        </w:numPr>
        <w:tabs>
          <w:tab w:val="left" w:pos="945"/>
        </w:tabs>
        <w:rPr>
          <w:rFonts w:ascii="宋体" w:hAnsi="宋体"/>
          <w:color w:val="auto"/>
          <w:szCs w:val="24"/>
        </w:rPr>
      </w:pPr>
      <w:r>
        <w:rPr>
          <w:rFonts w:hint="eastAsia" w:ascii="宋体" w:hAnsi="宋体"/>
          <w:color w:val="auto"/>
          <w:szCs w:val="24"/>
        </w:rPr>
        <w:t>1.1资格性自查表</w:t>
      </w:r>
      <w:bookmarkEnd w:id="383"/>
    </w:p>
    <w:p>
      <w:pPr>
        <w:autoSpaceDE w:val="0"/>
        <w:autoSpaceDN w:val="0"/>
        <w:spacing w:line="360" w:lineRule="auto"/>
        <w:jc w:val="center"/>
        <w:rPr>
          <w:rFonts w:ascii="宋体" w:hAnsi="宋体"/>
          <w:b/>
          <w:color w:val="auto"/>
          <w:sz w:val="32"/>
          <w:szCs w:val="32"/>
        </w:rPr>
      </w:pPr>
      <w:r>
        <w:rPr>
          <w:rFonts w:hint="eastAsia" w:ascii="宋体" w:hAnsi="宋体"/>
          <w:b/>
          <w:color w:val="auto"/>
          <w:sz w:val="32"/>
          <w:szCs w:val="32"/>
        </w:rPr>
        <w:t>资格性自查表</w:t>
      </w:r>
    </w:p>
    <w:p>
      <w:pPr>
        <w:autoSpaceDE w:val="0"/>
        <w:autoSpaceDN w:val="0"/>
        <w:spacing w:line="360" w:lineRule="auto"/>
        <w:rPr>
          <w:rFonts w:hint="eastAsia" w:ascii="宋体" w:hAnsi="宋体" w:eastAsia="宋体"/>
          <w:color w:val="auto"/>
          <w:sz w:val="24"/>
          <w:szCs w:val="24"/>
          <w:lang w:eastAsia="zh-CN"/>
        </w:rPr>
      </w:pPr>
      <w:r>
        <w:rPr>
          <w:rFonts w:hint="eastAsia" w:ascii="宋体" w:hAnsi="宋体"/>
          <w:color w:val="auto"/>
          <w:sz w:val="24"/>
          <w:szCs w:val="24"/>
        </w:rPr>
        <w:t>采购项目名称：</w:t>
      </w:r>
      <w:r>
        <w:rPr>
          <w:rFonts w:hint="eastAsia" w:ascii="宋体" w:hAnsi="宋体"/>
          <w:color w:val="auto"/>
          <w:sz w:val="24"/>
          <w:szCs w:val="24"/>
          <w:lang w:eastAsia="zh-CN"/>
        </w:rPr>
        <w:t>工业和信息化部电子第五研究所动力电池配套使用环境试验箱采购项目</w:t>
      </w:r>
    </w:p>
    <w:p>
      <w:pPr>
        <w:autoSpaceDE w:val="0"/>
        <w:autoSpaceDN w:val="0"/>
        <w:spacing w:line="360" w:lineRule="auto"/>
        <w:rPr>
          <w:rFonts w:ascii="宋体" w:hAnsi="宋体"/>
          <w:color w:val="auto"/>
          <w:sz w:val="24"/>
          <w:szCs w:val="24"/>
        </w:rPr>
      </w:pPr>
      <w:r>
        <w:rPr>
          <w:rFonts w:hint="eastAsia" w:ascii="宋体" w:hAnsi="宋体"/>
          <w:color w:val="auto"/>
          <w:sz w:val="24"/>
          <w:szCs w:val="24"/>
        </w:rPr>
        <w:t>采购包号：</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788"/>
        <w:gridCol w:w="300"/>
        <w:gridCol w:w="550"/>
        <w:gridCol w:w="1802"/>
        <w:gridCol w:w="2088"/>
        <w:gridCol w:w="1220"/>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740" w:type="dxa"/>
            <w:vAlign w:val="center"/>
          </w:tcPr>
          <w:p>
            <w:pPr>
              <w:autoSpaceDE w:val="0"/>
              <w:autoSpaceDN w:val="0"/>
              <w:jc w:val="center"/>
              <w:rPr>
                <w:rFonts w:ascii="宋体" w:hAnsi="宋体" w:cs="宋体"/>
                <w:b/>
                <w:color w:val="auto"/>
                <w:sz w:val="24"/>
                <w:szCs w:val="24"/>
              </w:rPr>
            </w:pPr>
            <w:r>
              <w:rPr>
                <w:rFonts w:hint="eastAsia" w:ascii="宋体" w:hAnsi="宋体" w:cs="宋体"/>
                <w:b/>
                <w:color w:val="auto"/>
                <w:sz w:val="24"/>
                <w:szCs w:val="24"/>
              </w:rPr>
              <w:t>序号</w:t>
            </w:r>
          </w:p>
        </w:tc>
        <w:tc>
          <w:tcPr>
            <w:tcW w:w="5528" w:type="dxa"/>
            <w:gridSpan w:val="5"/>
            <w:vAlign w:val="center"/>
          </w:tcPr>
          <w:p>
            <w:pPr>
              <w:autoSpaceDE w:val="0"/>
              <w:autoSpaceDN w:val="0"/>
              <w:jc w:val="center"/>
              <w:rPr>
                <w:rFonts w:ascii="宋体" w:hAnsi="宋体" w:cs="宋体"/>
                <w:b/>
                <w:color w:val="auto"/>
                <w:sz w:val="24"/>
                <w:szCs w:val="24"/>
              </w:rPr>
            </w:pPr>
            <w:bookmarkStart w:id="384" w:name="_Toc44688057"/>
            <w:r>
              <w:rPr>
                <w:rFonts w:hint="eastAsia" w:ascii="宋体" w:hAnsi="宋体" w:cs="宋体"/>
                <w:b/>
                <w:color w:val="auto"/>
                <w:sz w:val="24"/>
                <w:szCs w:val="24"/>
              </w:rPr>
              <w:t>招标文件要求（简述）</w:t>
            </w:r>
          </w:p>
          <w:bookmarkEnd w:id="384"/>
          <w:p>
            <w:pPr>
              <w:autoSpaceDE w:val="0"/>
              <w:autoSpaceDN w:val="0"/>
              <w:jc w:val="center"/>
              <w:rPr>
                <w:rFonts w:ascii="宋体" w:hAnsi="宋体" w:cs="宋体"/>
                <w:color w:val="auto"/>
                <w:szCs w:val="21"/>
              </w:rPr>
            </w:pPr>
            <w:bookmarkStart w:id="385" w:name="_Toc44688058"/>
            <w:r>
              <w:rPr>
                <w:rFonts w:hint="eastAsia" w:ascii="宋体" w:hAnsi="宋体" w:cs="宋体"/>
                <w:color w:val="auto"/>
                <w:szCs w:val="21"/>
              </w:rPr>
              <w:t>（详见</w:t>
            </w:r>
            <w:r>
              <w:rPr>
                <w:rFonts w:hint="eastAsia" w:ascii="宋体" w:hAnsi="宋体"/>
                <w:color w:val="auto"/>
                <w:szCs w:val="21"/>
              </w:rPr>
              <w:t>招标公告及</w:t>
            </w:r>
            <w:r>
              <w:rPr>
                <w:rFonts w:hint="eastAsia" w:ascii="宋体" w:hAnsi="宋体" w:cs="宋体"/>
                <w:color w:val="auto"/>
                <w:szCs w:val="21"/>
              </w:rPr>
              <w:t>本文件《投标邀请》的供应商资格要求）</w:t>
            </w:r>
            <w:bookmarkEnd w:id="385"/>
          </w:p>
        </w:tc>
        <w:tc>
          <w:tcPr>
            <w:tcW w:w="1220" w:type="dxa"/>
            <w:vAlign w:val="center"/>
          </w:tcPr>
          <w:p>
            <w:pPr>
              <w:autoSpaceDE w:val="0"/>
              <w:autoSpaceDN w:val="0"/>
              <w:jc w:val="center"/>
              <w:rPr>
                <w:rFonts w:ascii="宋体" w:hAnsi="宋体" w:cs="宋体"/>
                <w:b/>
                <w:color w:val="auto"/>
                <w:sz w:val="24"/>
                <w:szCs w:val="24"/>
              </w:rPr>
            </w:pPr>
            <w:r>
              <w:rPr>
                <w:rFonts w:hint="eastAsia" w:ascii="宋体" w:hAnsi="宋体" w:cs="宋体"/>
                <w:b/>
                <w:color w:val="auto"/>
                <w:sz w:val="24"/>
                <w:szCs w:val="24"/>
              </w:rPr>
              <w:t>自查结论</w:t>
            </w:r>
          </w:p>
        </w:tc>
        <w:tc>
          <w:tcPr>
            <w:tcW w:w="1473" w:type="dxa"/>
            <w:vAlign w:val="center"/>
          </w:tcPr>
          <w:p>
            <w:pPr>
              <w:autoSpaceDE w:val="0"/>
              <w:autoSpaceDN w:val="0"/>
              <w:jc w:val="center"/>
              <w:rPr>
                <w:rFonts w:ascii="宋体" w:hAnsi="宋体" w:cs="宋体"/>
                <w:b/>
                <w:color w:val="auto"/>
                <w:sz w:val="24"/>
                <w:szCs w:val="24"/>
              </w:rPr>
            </w:pPr>
            <w:r>
              <w:rPr>
                <w:rFonts w:hint="eastAsia" w:ascii="宋体" w:hAnsi="宋体" w:cs="宋体"/>
                <w:b/>
                <w:color w:val="auto"/>
                <w:sz w:val="24"/>
                <w:szCs w:val="24"/>
              </w:rPr>
              <w:t>证明资料所在页码范围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Merge w:val="restart"/>
            <w:vAlign w:val="center"/>
          </w:tcPr>
          <w:p>
            <w:pPr>
              <w:autoSpaceDE w:val="0"/>
              <w:autoSpaceDN w:val="0"/>
              <w:rPr>
                <w:rFonts w:ascii="宋体" w:hAnsi="宋体" w:cs="宋体"/>
                <w:color w:val="auto"/>
                <w:sz w:val="24"/>
                <w:szCs w:val="24"/>
              </w:rPr>
            </w:pPr>
            <w:r>
              <w:rPr>
                <w:rFonts w:hint="eastAsia" w:ascii="宋体" w:hAnsi="宋体" w:cs="宋体"/>
                <w:color w:val="auto"/>
                <w:sz w:val="24"/>
                <w:szCs w:val="24"/>
              </w:rPr>
              <w:t>（1）</w:t>
            </w:r>
          </w:p>
        </w:tc>
        <w:tc>
          <w:tcPr>
            <w:tcW w:w="1088" w:type="dxa"/>
            <w:gridSpan w:val="2"/>
            <w:vMerge w:val="restart"/>
            <w:vAlign w:val="center"/>
          </w:tcPr>
          <w:p>
            <w:pPr>
              <w:autoSpaceDE w:val="0"/>
              <w:autoSpaceDN w:val="0"/>
              <w:jc w:val="left"/>
              <w:rPr>
                <w:rFonts w:ascii="宋体" w:hAnsi="宋体" w:cs="宋体"/>
                <w:bCs/>
                <w:color w:val="auto"/>
                <w:sz w:val="24"/>
                <w:szCs w:val="24"/>
              </w:rPr>
            </w:pPr>
            <w:r>
              <w:rPr>
                <w:rFonts w:hint="eastAsia" w:ascii="宋体" w:hAnsi="宋体" w:cs="宋体"/>
                <w:color w:val="auto"/>
                <w:sz w:val="24"/>
                <w:szCs w:val="24"/>
              </w:rPr>
              <w:t>供应商应具备《中华人民共和国政府采购法》第二十二条规定的条件</w:t>
            </w:r>
          </w:p>
        </w:tc>
        <w:tc>
          <w:tcPr>
            <w:tcW w:w="4440" w:type="dxa"/>
            <w:gridSpan w:val="3"/>
            <w:vAlign w:val="center"/>
          </w:tcPr>
          <w:p>
            <w:pPr>
              <w:autoSpaceDE w:val="0"/>
              <w:autoSpaceDN w:val="0"/>
              <w:jc w:val="left"/>
              <w:rPr>
                <w:rFonts w:ascii="宋体" w:hAnsi="宋体" w:cs="宋体"/>
                <w:bCs/>
                <w:color w:val="auto"/>
                <w:sz w:val="24"/>
                <w:szCs w:val="24"/>
              </w:rPr>
            </w:pPr>
            <w:r>
              <w:rPr>
                <w:rFonts w:hint="eastAsia" w:ascii="宋体" w:hAnsi="宋体"/>
                <w:color w:val="auto"/>
                <w:sz w:val="24"/>
                <w:szCs w:val="24"/>
              </w:rPr>
              <w:t>1）具有独立承担民事责任的能力</w:t>
            </w:r>
          </w:p>
        </w:tc>
        <w:tc>
          <w:tcPr>
            <w:tcW w:w="1220" w:type="dxa"/>
            <w:vAlign w:val="center"/>
          </w:tcPr>
          <w:p>
            <w:pPr>
              <w:autoSpaceDE w:val="0"/>
              <w:autoSpaceDN w:val="0"/>
              <w:jc w:val="center"/>
              <w:rPr>
                <w:rFonts w:ascii="宋体" w:hAnsi="宋体" w:cs="宋体"/>
                <w:color w:val="auto"/>
                <w:sz w:val="24"/>
                <w:szCs w:val="24"/>
              </w:rPr>
            </w:pPr>
            <w:r>
              <w:rPr>
                <w:rFonts w:hint="eastAsia" w:ascii="宋体" w:hAnsi="宋体" w:cs="宋体"/>
                <w:color w:val="auto"/>
                <w:sz w:val="24"/>
                <w:szCs w:val="24"/>
              </w:rPr>
              <w:t>□通  过</w:t>
            </w:r>
          </w:p>
          <w:p>
            <w:pPr>
              <w:autoSpaceDE w:val="0"/>
              <w:autoSpaceDN w:val="0"/>
              <w:jc w:val="center"/>
              <w:rPr>
                <w:rFonts w:ascii="宋体" w:hAnsi="宋体" w:cs="宋体"/>
                <w:color w:val="auto"/>
                <w:sz w:val="24"/>
                <w:szCs w:val="24"/>
              </w:rPr>
            </w:pPr>
            <w:r>
              <w:rPr>
                <w:rFonts w:hint="eastAsia" w:ascii="宋体" w:hAnsi="宋体" w:cs="宋体"/>
                <w:color w:val="auto"/>
                <w:sz w:val="24"/>
                <w:szCs w:val="24"/>
              </w:rPr>
              <w:t>□不通过</w:t>
            </w:r>
          </w:p>
        </w:tc>
        <w:tc>
          <w:tcPr>
            <w:tcW w:w="1473" w:type="dxa"/>
            <w:vAlign w:val="center"/>
          </w:tcPr>
          <w:p>
            <w:pPr>
              <w:autoSpaceDE w:val="0"/>
              <w:autoSpaceDN w:val="0"/>
              <w:jc w:val="center"/>
              <w:rPr>
                <w:rFonts w:ascii="宋体" w:hAnsi="宋体" w:cs="宋体"/>
                <w:color w:val="auto"/>
                <w:sz w:val="24"/>
                <w:szCs w:val="24"/>
              </w:rPr>
            </w:pPr>
            <w:r>
              <w:rPr>
                <w:rFonts w:hint="eastAsia" w:ascii="宋体" w:hAnsi="宋体" w:cs="宋体"/>
                <w:color w:val="auto"/>
                <w:sz w:val="24"/>
                <w:szCs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Merge w:val="continue"/>
            <w:vAlign w:val="center"/>
          </w:tcPr>
          <w:p>
            <w:pPr>
              <w:autoSpaceDE w:val="0"/>
              <w:autoSpaceDN w:val="0"/>
              <w:rPr>
                <w:rFonts w:ascii="宋体" w:hAnsi="宋体" w:cs="宋体"/>
                <w:color w:val="auto"/>
                <w:sz w:val="24"/>
                <w:szCs w:val="24"/>
              </w:rPr>
            </w:pPr>
          </w:p>
        </w:tc>
        <w:tc>
          <w:tcPr>
            <w:tcW w:w="1088" w:type="dxa"/>
            <w:gridSpan w:val="2"/>
            <w:vMerge w:val="continue"/>
            <w:vAlign w:val="center"/>
          </w:tcPr>
          <w:p>
            <w:pPr>
              <w:autoSpaceDE w:val="0"/>
              <w:autoSpaceDN w:val="0"/>
              <w:jc w:val="left"/>
              <w:rPr>
                <w:rFonts w:ascii="宋体" w:hAnsi="宋体" w:cs="宋体"/>
                <w:bCs/>
                <w:color w:val="auto"/>
                <w:sz w:val="24"/>
                <w:szCs w:val="24"/>
              </w:rPr>
            </w:pPr>
          </w:p>
        </w:tc>
        <w:tc>
          <w:tcPr>
            <w:tcW w:w="4440" w:type="dxa"/>
            <w:gridSpan w:val="3"/>
            <w:vAlign w:val="center"/>
          </w:tcPr>
          <w:p>
            <w:pPr>
              <w:autoSpaceDE w:val="0"/>
              <w:autoSpaceDN w:val="0"/>
              <w:jc w:val="left"/>
              <w:rPr>
                <w:rFonts w:ascii="宋体" w:hAnsi="宋体" w:cs="宋体"/>
                <w:bCs/>
                <w:color w:val="auto"/>
                <w:sz w:val="24"/>
                <w:szCs w:val="24"/>
              </w:rPr>
            </w:pPr>
            <w:r>
              <w:rPr>
                <w:rFonts w:hint="eastAsia" w:ascii="宋体" w:hAnsi="宋体"/>
                <w:color w:val="auto"/>
                <w:sz w:val="24"/>
                <w:szCs w:val="24"/>
              </w:rPr>
              <w:t>2）具有良好的商业信誉和健全的财务会计制度</w:t>
            </w:r>
          </w:p>
        </w:tc>
        <w:tc>
          <w:tcPr>
            <w:tcW w:w="1220" w:type="dxa"/>
            <w:vAlign w:val="center"/>
          </w:tcPr>
          <w:p>
            <w:pPr>
              <w:autoSpaceDE w:val="0"/>
              <w:autoSpaceDN w:val="0"/>
              <w:jc w:val="center"/>
              <w:rPr>
                <w:rFonts w:ascii="宋体" w:hAnsi="宋体" w:cs="宋体"/>
                <w:color w:val="auto"/>
                <w:sz w:val="24"/>
                <w:szCs w:val="24"/>
              </w:rPr>
            </w:pPr>
            <w:r>
              <w:rPr>
                <w:rFonts w:hint="eastAsia" w:ascii="宋体" w:hAnsi="宋体" w:cs="宋体"/>
                <w:color w:val="auto"/>
                <w:sz w:val="24"/>
                <w:szCs w:val="24"/>
              </w:rPr>
              <w:t>□通  过</w:t>
            </w:r>
          </w:p>
          <w:p>
            <w:pPr>
              <w:autoSpaceDE w:val="0"/>
              <w:autoSpaceDN w:val="0"/>
              <w:jc w:val="center"/>
              <w:rPr>
                <w:rFonts w:ascii="宋体" w:hAnsi="宋体" w:cs="宋体"/>
                <w:color w:val="auto"/>
                <w:sz w:val="24"/>
                <w:szCs w:val="24"/>
              </w:rPr>
            </w:pPr>
            <w:r>
              <w:rPr>
                <w:rFonts w:hint="eastAsia" w:ascii="宋体" w:hAnsi="宋体" w:cs="宋体"/>
                <w:color w:val="auto"/>
                <w:sz w:val="24"/>
                <w:szCs w:val="24"/>
              </w:rPr>
              <w:t>□不通过</w:t>
            </w:r>
          </w:p>
        </w:tc>
        <w:tc>
          <w:tcPr>
            <w:tcW w:w="1473" w:type="dxa"/>
            <w:vAlign w:val="center"/>
          </w:tcPr>
          <w:p>
            <w:pPr>
              <w:autoSpaceDE w:val="0"/>
              <w:autoSpaceDN w:val="0"/>
              <w:jc w:val="center"/>
              <w:rPr>
                <w:rFonts w:ascii="宋体" w:hAnsi="宋体" w:cs="宋体"/>
                <w:color w:val="auto"/>
                <w:sz w:val="24"/>
                <w:szCs w:val="24"/>
              </w:rPr>
            </w:pPr>
            <w:r>
              <w:rPr>
                <w:rFonts w:hint="eastAsia" w:ascii="宋体" w:hAnsi="宋体" w:cs="宋体"/>
                <w:color w:val="auto"/>
                <w:sz w:val="24"/>
                <w:szCs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Merge w:val="continue"/>
            <w:vAlign w:val="center"/>
          </w:tcPr>
          <w:p>
            <w:pPr>
              <w:autoSpaceDE w:val="0"/>
              <w:autoSpaceDN w:val="0"/>
              <w:rPr>
                <w:rFonts w:ascii="宋体" w:hAnsi="宋体" w:cs="宋体"/>
                <w:color w:val="auto"/>
                <w:sz w:val="24"/>
                <w:szCs w:val="24"/>
              </w:rPr>
            </w:pPr>
          </w:p>
        </w:tc>
        <w:tc>
          <w:tcPr>
            <w:tcW w:w="1088" w:type="dxa"/>
            <w:gridSpan w:val="2"/>
            <w:vMerge w:val="continue"/>
            <w:vAlign w:val="center"/>
          </w:tcPr>
          <w:p>
            <w:pPr>
              <w:autoSpaceDE w:val="0"/>
              <w:autoSpaceDN w:val="0"/>
              <w:jc w:val="left"/>
              <w:rPr>
                <w:rFonts w:ascii="宋体" w:hAnsi="宋体" w:cs="宋体"/>
                <w:bCs/>
                <w:color w:val="auto"/>
                <w:sz w:val="24"/>
                <w:szCs w:val="24"/>
              </w:rPr>
            </w:pPr>
          </w:p>
        </w:tc>
        <w:tc>
          <w:tcPr>
            <w:tcW w:w="2352" w:type="dxa"/>
            <w:gridSpan w:val="2"/>
            <w:vMerge w:val="restart"/>
            <w:vAlign w:val="center"/>
          </w:tcPr>
          <w:p>
            <w:pPr>
              <w:autoSpaceDE w:val="0"/>
              <w:autoSpaceDN w:val="0"/>
              <w:jc w:val="left"/>
              <w:rPr>
                <w:rFonts w:ascii="宋体" w:hAnsi="宋体" w:cs="宋体"/>
                <w:bCs/>
                <w:color w:val="auto"/>
                <w:sz w:val="24"/>
                <w:szCs w:val="24"/>
              </w:rPr>
            </w:pPr>
            <w:r>
              <w:rPr>
                <w:rFonts w:hint="eastAsia" w:ascii="宋体" w:hAnsi="宋体"/>
                <w:color w:val="auto"/>
                <w:sz w:val="24"/>
                <w:szCs w:val="24"/>
              </w:rPr>
              <w:t>3）有依法缴纳税收和社会保障资金的良好记录</w:t>
            </w:r>
          </w:p>
        </w:tc>
        <w:tc>
          <w:tcPr>
            <w:tcW w:w="2088" w:type="dxa"/>
            <w:vAlign w:val="center"/>
          </w:tcPr>
          <w:p>
            <w:pPr>
              <w:autoSpaceDE w:val="0"/>
              <w:autoSpaceDN w:val="0"/>
              <w:jc w:val="left"/>
              <w:rPr>
                <w:rFonts w:ascii="宋体" w:hAnsi="宋体"/>
                <w:color w:val="auto"/>
                <w:sz w:val="24"/>
                <w:szCs w:val="24"/>
              </w:rPr>
            </w:pPr>
            <w:r>
              <w:rPr>
                <w:rFonts w:hint="eastAsia" w:ascii="宋体" w:hAnsi="宋体" w:cs="宋体"/>
                <w:color w:val="auto"/>
                <w:kern w:val="0"/>
                <w:sz w:val="24"/>
                <w:szCs w:val="24"/>
                <w:lang w:bidi="ar"/>
              </w:rPr>
              <w:t>依法缴纳税收</w:t>
            </w:r>
          </w:p>
        </w:tc>
        <w:tc>
          <w:tcPr>
            <w:tcW w:w="1220" w:type="dxa"/>
            <w:vAlign w:val="center"/>
          </w:tcPr>
          <w:p>
            <w:pPr>
              <w:autoSpaceDE w:val="0"/>
              <w:autoSpaceDN w:val="0"/>
              <w:jc w:val="center"/>
              <w:rPr>
                <w:rFonts w:ascii="宋体" w:hAnsi="宋体" w:cs="宋体"/>
                <w:color w:val="auto"/>
                <w:sz w:val="24"/>
                <w:szCs w:val="24"/>
              </w:rPr>
            </w:pPr>
            <w:r>
              <w:rPr>
                <w:rFonts w:hint="eastAsia" w:ascii="宋体" w:hAnsi="宋体" w:cs="宋体"/>
                <w:color w:val="auto"/>
                <w:sz w:val="24"/>
                <w:szCs w:val="24"/>
              </w:rPr>
              <w:t>□通  过</w:t>
            </w:r>
          </w:p>
          <w:p>
            <w:pPr>
              <w:autoSpaceDE w:val="0"/>
              <w:autoSpaceDN w:val="0"/>
              <w:jc w:val="center"/>
              <w:rPr>
                <w:rFonts w:ascii="宋体" w:hAnsi="宋体" w:cs="宋体"/>
                <w:color w:val="auto"/>
                <w:sz w:val="24"/>
                <w:szCs w:val="24"/>
              </w:rPr>
            </w:pPr>
            <w:r>
              <w:rPr>
                <w:rFonts w:hint="eastAsia" w:ascii="宋体" w:hAnsi="宋体" w:cs="宋体"/>
                <w:color w:val="auto"/>
                <w:sz w:val="24"/>
                <w:szCs w:val="24"/>
              </w:rPr>
              <w:t>□不通过</w:t>
            </w:r>
          </w:p>
        </w:tc>
        <w:tc>
          <w:tcPr>
            <w:tcW w:w="1473" w:type="dxa"/>
            <w:vAlign w:val="center"/>
          </w:tcPr>
          <w:p>
            <w:pPr>
              <w:autoSpaceDE w:val="0"/>
              <w:autoSpaceDN w:val="0"/>
              <w:jc w:val="center"/>
              <w:rPr>
                <w:rFonts w:ascii="宋体" w:hAnsi="宋体" w:cs="宋体"/>
                <w:color w:val="auto"/>
                <w:sz w:val="24"/>
                <w:szCs w:val="24"/>
              </w:rPr>
            </w:pPr>
            <w:r>
              <w:rPr>
                <w:rFonts w:hint="eastAsia" w:ascii="宋体" w:hAnsi="宋体" w:cs="宋体"/>
                <w:color w:val="auto"/>
                <w:sz w:val="24"/>
                <w:szCs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Merge w:val="continue"/>
            <w:vAlign w:val="center"/>
          </w:tcPr>
          <w:p>
            <w:pPr>
              <w:autoSpaceDE w:val="0"/>
              <w:autoSpaceDN w:val="0"/>
              <w:rPr>
                <w:rFonts w:ascii="宋体" w:hAnsi="宋体" w:cs="宋体"/>
                <w:color w:val="auto"/>
                <w:sz w:val="24"/>
                <w:szCs w:val="24"/>
              </w:rPr>
            </w:pPr>
          </w:p>
        </w:tc>
        <w:tc>
          <w:tcPr>
            <w:tcW w:w="1088" w:type="dxa"/>
            <w:gridSpan w:val="2"/>
            <w:vMerge w:val="continue"/>
            <w:vAlign w:val="center"/>
          </w:tcPr>
          <w:p>
            <w:pPr>
              <w:autoSpaceDE w:val="0"/>
              <w:autoSpaceDN w:val="0"/>
              <w:jc w:val="left"/>
              <w:rPr>
                <w:rFonts w:ascii="宋体" w:hAnsi="宋体" w:cs="宋体"/>
                <w:bCs/>
                <w:color w:val="auto"/>
                <w:sz w:val="24"/>
                <w:szCs w:val="24"/>
              </w:rPr>
            </w:pPr>
          </w:p>
        </w:tc>
        <w:tc>
          <w:tcPr>
            <w:tcW w:w="2352" w:type="dxa"/>
            <w:gridSpan w:val="2"/>
            <w:vMerge w:val="continue"/>
            <w:vAlign w:val="center"/>
          </w:tcPr>
          <w:p>
            <w:pPr>
              <w:autoSpaceDE w:val="0"/>
              <w:autoSpaceDN w:val="0"/>
              <w:jc w:val="left"/>
              <w:rPr>
                <w:rFonts w:ascii="宋体" w:hAnsi="宋体"/>
                <w:color w:val="auto"/>
                <w:sz w:val="24"/>
                <w:szCs w:val="24"/>
              </w:rPr>
            </w:pPr>
          </w:p>
        </w:tc>
        <w:tc>
          <w:tcPr>
            <w:tcW w:w="2088" w:type="dxa"/>
            <w:vAlign w:val="center"/>
          </w:tcPr>
          <w:p>
            <w:pPr>
              <w:autoSpaceDE w:val="0"/>
              <w:autoSpaceDN w:val="0"/>
              <w:jc w:val="left"/>
              <w:rPr>
                <w:rFonts w:ascii="宋体" w:hAnsi="宋体"/>
                <w:color w:val="auto"/>
                <w:sz w:val="24"/>
                <w:szCs w:val="24"/>
              </w:rPr>
            </w:pPr>
            <w:r>
              <w:rPr>
                <w:rFonts w:hint="eastAsia" w:ascii="宋体" w:hAnsi="宋体" w:cs="宋体"/>
                <w:color w:val="auto"/>
                <w:kern w:val="0"/>
                <w:sz w:val="24"/>
                <w:szCs w:val="24"/>
                <w:lang w:bidi="ar"/>
              </w:rPr>
              <w:t>依法缴纳社会保障资金</w:t>
            </w:r>
          </w:p>
        </w:tc>
        <w:tc>
          <w:tcPr>
            <w:tcW w:w="1220" w:type="dxa"/>
            <w:vAlign w:val="center"/>
          </w:tcPr>
          <w:p>
            <w:pPr>
              <w:autoSpaceDE w:val="0"/>
              <w:autoSpaceDN w:val="0"/>
              <w:jc w:val="center"/>
              <w:rPr>
                <w:rFonts w:ascii="宋体" w:hAnsi="宋体" w:cs="宋体"/>
                <w:color w:val="auto"/>
                <w:sz w:val="24"/>
                <w:szCs w:val="24"/>
              </w:rPr>
            </w:pPr>
            <w:r>
              <w:rPr>
                <w:rFonts w:hint="eastAsia" w:ascii="宋体" w:hAnsi="宋体" w:cs="宋体"/>
                <w:color w:val="auto"/>
                <w:sz w:val="24"/>
                <w:szCs w:val="24"/>
              </w:rPr>
              <w:t>□通  过</w:t>
            </w:r>
          </w:p>
          <w:p>
            <w:pPr>
              <w:autoSpaceDE w:val="0"/>
              <w:autoSpaceDN w:val="0"/>
              <w:jc w:val="center"/>
              <w:rPr>
                <w:rFonts w:ascii="宋体" w:hAnsi="宋体" w:cs="宋体"/>
                <w:color w:val="auto"/>
                <w:sz w:val="24"/>
                <w:szCs w:val="24"/>
              </w:rPr>
            </w:pPr>
            <w:r>
              <w:rPr>
                <w:rFonts w:hint="eastAsia" w:ascii="宋体" w:hAnsi="宋体" w:cs="宋体"/>
                <w:color w:val="auto"/>
                <w:sz w:val="24"/>
                <w:szCs w:val="24"/>
              </w:rPr>
              <w:t>□不通过</w:t>
            </w:r>
          </w:p>
        </w:tc>
        <w:tc>
          <w:tcPr>
            <w:tcW w:w="1473" w:type="dxa"/>
            <w:vAlign w:val="center"/>
          </w:tcPr>
          <w:p>
            <w:pPr>
              <w:autoSpaceDE w:val="0"/>
              <w:autoSpaceDN w:val="0"/>
              <w:jc w:val="center"/>
              <w:rPr>
                <w:rFonts w:ascii="宋体" w:hAnsi="宋体" w:cs="宋体"/>
                <w:color w:val="auto"/>
                <w:sz w:val="24"/>
                <w:szCs w:val="24"/>
              </w:rPr>
            </w:pPr>
            <w:r>
              <w:rPr>
                <w:rFonts w:hint="eastAsia" w:ascii="宋体" w:hAnsi="宋体" w:cs="宋体"/>
                <w:color w:val="auto"/>
                <w:sz w:val="24"/>
                <w:szCs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Merge w:val="continue"/>
            <w:vAlign w:val="center"/>
          </w:tcPr>
          <w:p>
            <w:pPr>
              <w:autoSpaceDE w:val="0"/>
              <w:autoSpaceDN w:val="0"/>
              <w:rPr>
                <w:rFonts w:ascii="宋体" w:hAnsi="宋体" w:cs="宋体"/>
                <w:color w:val="auto"/>
                <w:sz w:val="24"/>
                <w:szCs w:val="24"/>
              </w:rPr>
            </w:pPr>
          </w:p>
        </w:tc>
        <w:tc>
          <w:tcPr>
            <w:tcW w:w="1088" w:type="dxa"/>
            <w:gridSpan w:val="2"/>
            <w:vMerge w:val="continue"/>
            <w:vAlign w:val="center"/>
          </w:tcPr>
          <w:p>
            <w:pPr>
              <w:autoSpaceDE w:val="0"/>
              <w:autoSpaceDN w:val="0"/>
              <w:jc w:val="left"/>
              <w:rPr>
                <w:rFonts w:ascii="宋体" w:hAnsi="宋体" w:cs="宋体"/>
                <w:bCs/>
                <w:color w:val="auto"/>
                <w:sz w:val="24"/>
                <w:szCs w:val="24"/>
              </w:rPr>
            </w:pPr>
          </w:p>
        </w:tc>
        <w:tc>
          <w:tcPr>
            <w:tcW w:w="4440" w:type="dxa"/>
            <w:gridSpan w:val="3"/>
            <w:vAlign w:val="center"/>
          </w:tcPr>
          <w:p>
            <w:pPr>
              <w:autoSpaceDE w:val="0"/>
              <w:autoSpaceDN w:val="0"/>
              <w:jc w:val="left"/>
              <w:rPr>
                <w:rFonts w:ascii="宋体" w:hAnsi="宋体" w:cs="宋体"/>
                <w:bCs/>
                <w:color w:val="auto"/>
                <w:sz w:val="24"/>
                <w:szCs w:val="24"/>
              </w:rPr>
            </w:pPr>
            <w:r>
              <w:rPr>
                <w:rFonts w:hint="eastAsia" w:ascii="宋体" w:hAnsi="宋体"/>
                <w:color w:val="auto"/>
                <w:sz w:val="24"/>
                <w:szCs w:val="24"/>
              </w:rPr>
              <w:t>4）具有履行合同所必需的设备和专业技术能力</w:t>
            </w:r>
          </w:p>
        </w:tc>
        <w:tc>
          <w:tcPr>
            <w:tcW w:w="1220" w:type="dxa"/>
            <w:vAlign w:val="center"/>
          </w:tcPr>
          <w:p>
            <w:pPr>
              <w:autoSpaceDE w:val="0"/>
              <w:autoSpaceDN w:val="0"/>
              <w:jc w:val="center"/>
              <w:rPr>
                <w:rFonts w:ascii="宋体" w:hAnsi="宋体" w:cs="宋体"/>
                <w:color w:val="auto"/>
                <w:sz w:val="24"/>
                <w:szCs w:val="24"/>
              </w:rPr>
            </w:pPr>
            <w:r>
              <w:rPr>
                <w:rFonts w:hint="eastAsia" w:ascii="宋体" w:hAnsi="宋体" w:cs="宋体"/>
                <w:color w:val="auto"/>
                <w:sz w:val="24"/>
                <w:szCs w:val="24"/>
              </w:rPr>
              <w:t>□通  过</w:t>
            </w:r>
          </w:p>
          <w:p>
            <w:pPr>
              <w:autoSpaceDE w:val="0"/>
              <w:autoSpaceDN w:val="0"/>
              <w:jc w:val="center"/>
              <w:rPr>
                <w:rFonts w:ascii="宋体" w:hAnsi="宋体" w:cs="宋体"/>
                <w:color w:val="auto"/>
                <w:sz w:val="24"/>
                <w:szCs w:val="24"/>
              </w:rPr>
            </w:pPr>
            <w:r>
              <w:rPr>
                <w:rFonts w:hint="eastAsia" w:ascii="宋体" w:hAnsi="宋体" w:cs="宋体"/>
                <w:color w:val="auto"/>
                <w:sz w:val="24"/>
                <w:szCs w:val="24"/>
              </w:rPr>
              <w:t>□不通过</w:t>
            </w:r>
          </w:p>
        </w:tc>
        <w:tc>
          <w:tcPr>
            <w:tcW w:w="1473" w:type="dxa"/>
            <w:vAlign w:val="center"/>
          </w:tcPr>
          <w:p>
            <w:pPr>
              <w:autoSpaceDE w:val="0"/>
              <w:autoSpaceDN w:val="0"/>
              <w:jc w:val="center"/>
              <w:rPr>
                <w:rFonts w:ascii="宋体" w:hAnsi="宋体" w:cs="宋体"/>
                <w:color w:val="auto"/>
                <w:sz w:val="24"/>
                <w:szCs w:val="24"/>
              </w:rPr>
            </w:pPr>
            <w:r>
              <w:rPr>
                <w:rFonts w:hint="eastAsia" w:ascii="宋体" w:hAnsi="宋体" w:cs="宋体"/>
                <w:color w:val="auto"/>
                <w:sz w:val="24"/>
                <w:szCs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Merge w:val="continue"/>
            <w:vAlign w:val="center"/>
          </w:tcPr>
          <w:p>
            <w:pPr>
              <w:autoSpaceDE w:val="0"/>
              <w:autoSpaceDN w:val="0"/>
              <w:rPr>
                <w:rFonts w:ascii="宋体" w:hAnsi="宋体" w:cs="宋体"/>
                <w:color w:val="auto"/>
                <w:sz w:val="24"/>
                <w:szCs w:val="24"/>
              </w:rPr>
            </w:pPr>
          </w:p>
        </w:tc>
        <w:tc>
          <w:tcPr>
            <w:tcW w:w="1088" w:type="dxa"/>
            <w:gridSpan w:val="2"/>
            <w:vMerge w:val="continue"/>
            <w:vAlign w:val="center"/>
          </w:tcPr>
          <w:p>
            <w:pPr>
              <w:autoSpaceDE w:val="0"/>
              <w:autoSpaceDN w:val="0"/>
              <w:jc w:val="left"/>
              <w:rPr>
                <w:rFonts w:ascii="宋体" w:hAnsi="宋体" w:cs="宋体"/>
                <w:bCs/>
                <w:color w:val="auto"/>
                <w:sz w:val="24"/>
                <w:szCs w:val="24"/>
              </w:rPr>
            </w:pPr>
          </w:p>
        </w:tc>
        <w:tc>
          <w:tcPr>
            <w:tcW w:w="4440" w:type="dxa"/>
            <w:gridSpan w:val="3"/>
            <w:vAlign w:val="center"/>
          </w:tcPr>
          <w:p>
            <w:pPr>
              <w:autoSpaceDE w:val="0"/>
              <w:autoSpaceDN w:val="0"/>
              <w:jc w:val="left"/>
              <w:rPr>
                <w:rFonts w:ascii="宋体" w:hAnsi="宋体"/>
                <w:color w:val="auto"/>
                <w:sz w:val="24"/>
                <w:szCs w:val="24"/>
              </w:rPr>
            </w:pPr>
            <w:r>
              <w:rPr>
                <w:rFonts w:hint="eastAsia" w:ascii="宋体" w:hAnsi="宋体"/>
                <w:color w:val="auto"/>
                <w:sz w:val="24"/>
                <w:szCs w:val="24"/>
              </w:rPr>
              <w:t>5）参加政府采购活动前三年内，在经营活动中没有重大违法记录</w:t>
            </w:r>
          </w:p>
        </w:tc>
        <w:tc>
          <w:tcPr>
            <w:tcW w:w="1220" w:type="dxa"/>
            <w:vAlign w:val="center"/>
          </w:tcPr>
          <w:p>
            <w:pPr>
              <w:autoSpaceDE w:val="0"/>
              <w:autoSpaceDN w:val="0"/>
              <w:jc w:val="center"/>
              <w:rPr>
                <w:rFonts w:ascii="宋体" w:hAnsi="宋体" w:cs="宋体"/>
                <w:color w:val="auto"/>
                <w:sz w:val="24"/>
                <w:szCs w:val="24"/>
              </w:rPr>
            </w:pPr>
            <w:r>
              <w:rPr>
                <w:rFonts w:hint="eastAsia" w:ascii="宋体" w:hAnsi="宋体" w:cs="宋体"/>
                <w:color w:val="auto"/>
                <w:sz w:val="24"/>
                <w:szCs w:val="24"/>
              </w:rPr>
              <w:t>□通  过</w:t>
            </w:r>
          </w:p>
          <w:p>
            <w:pPr>
              <w:autoSpaceDE w:val="0"/>
              <w:autoSpaceDN w:val="0"/>
              <w:jc w:val="center"/>
              <w:rPr>
                <w:rFonts w:ascii="宋体" w:hAnsi="宋体" w:cs="宋体"/>
                <w:color w:val="auto"/>
                <w:sz w:val="24"/>
                <w:szCs w:val="24"/>
              </w:rPr>
            </w:pPr>
            <w:r>
              <w:rPr>
                <w:rFonts w:hint="eastAsia" w:ascii="宋体" w:hAnsi="宋体" w:cs="宋体"/>
                <w:color w:val="auto"/>
                <w:sz w:val="24"/>
                <w:szCs w:val="24"/>
              </w:rPr>
              <w:t>□不通过</w:t>
            </w:r>
          </w:p>
        </w:tc>
        <w:tc>
          <w:tcPr>
            <w:tcW w:w="1473" w:type="dxa"/>
            <w:vAlign w:val="center"/>
          </w:tcPr>
          <w:p>
            <w:pPr>
              <w:autoSpaceDE w:val="0"/>
              <w:autoSpaceDN w:val="0"/>
              <w:jc w:val="center"/>
              <w:rPr>
                <w:rFonts w:ascii="宋体" w:hAnsi="宋体" w:cs="宋体"/>
                <w:color w:val="auto"/>
                <w:sz w:val="24"/>
                <w:szCs w:val="24"/>
              </w:rPr>
            </w:pPr>
            <w:r>
              <w:rPr>
                <w:rFonts w:hint="eastAsia" w:ascii="宋体" w:hAnsi="宋体" w:cs="宋体"/>
                <w:color w:val="auto"/>
                <w:sz w:val="24"/>
                <w:szCs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Merge w:val="continue"/>
            <w:vAlign w:val="center"/>
          </w:tcPr>
          <w:p>
            <w:pPr>
              <w:autoSpaceDE w:val="0"/>
              <w:autoSpaceDN w:val="0"/>
              <w:rPr>
                <w:rFonts w:ascii="宋体" w:hAnsi="宋体" w:cs="宋体"/>
                <w:color w:val="auto"/>
                <w:sz w:val="24"/>
                <w:szCs w:val="24"/>
              </w:rPr>
            </w:pPr>
          </w:p>
        </w:tc>
        <w:tc>
          <w:tcPr>
            <w:tcW w:w="1088" w:type="dxa"/>
            <w:gridSpan w:val="2"/>
            <w:vMerge w:val="continue"/>
            <w:vAlign w:val="center"/>
          </w:tcPr>
          <w:p>
            <w:pPr>
              <w:autoSpaceDE w:val="0"/>
              <w:autoSpaceDN w:val="0"/>
              <w:jc w:val="left"/>
              <w:rPr>
                <w:rFonts w:ascii="宋体" w:hAnsi="宋体" w:cs="宋体"/>
                <w:bCs/>
                <w:color w:val="auto"/>
                <w:sz w:val="24"/>
                <w:szCs w:val="24"/>
              </w:rPr>
            </w:pPr>
          </w:p>
        </w:tc>
        <w:tc>
          <w:tcPr>
            <w:tcW w:w="550" w:type="dxa"/>
            <w:vMerge w:val="restart"/>
            <w:vAlign w:val="center"/>
          </w:tcPr>
          <w:p>
            <w:pPr>
              <w:autoSpaceDE w:val="0"/>
              <w:autoSpaceDN w:val="0"/>
              <w:jc w:val="left"/>
              <w:rPr>
                <w:rFonts w:ascii="宋体" w:hAnsi="宋体"/>
                <w:color w:val="auto"/>
                <w:sz w:val="24"/>
                <w:szCs w:val="24"/>
              </w:rPr>
            </w:pPr>
            <w:r>
              <w:rPr>
                <w:rFonts w:hint="eastAsia" w:ascii="宋体" w:hAnsi="宋体"/>
                <w:color w:val="auto"/>
                <w:sz w:val="24"/>
                <w:szCs w:val="24"/>
              </w:rPr>
              <w:t>6）信用记录</w:t>
            </w:r>
          </w:p>
        </w:tc>
        <w:tc>
          <w:tcPr>
            <w:tcW w:w="3890" w:type="dxa"/>
            <w:gridSpan w:val="2"/>
            <w:vAlign w:val="center"/>
          </w:tcPr>
          <w:p>
            <w:pPr>
              <w:rPr>
                <w:rFonts w:ascii="宋体" w:hAnsi="宋体"/>
                <w:color w:val="auto"/>
                <w:sz w:val="24"/>
                <w:szCs w:val="24"/>
              </w:rPr>
            </w:pPr>
            <w:r>
              <w:rPr>
                <w:rFonts w:hint="eastAsia" w:ascii="宋体" w:hAnsi="宋体" w:cs="宋体"/>
                <w:color w:val="auto"/>
                <w:kern w:val="0"/>
                <w:sz w:val="24"/>
                <w:szCs w:val="24"/>
                <w:lang w:bidi="ar"/>
              </w:rPr>
              <w:t>“信用中国”网：未被列入①“记录失信被执行人”、</w:t>
            </w:r>
            <w:r>
              <w:rPr>
                <w:rFonts w:ascii="Calibri" w:hAnsi="Calibri"/>
                <w:color w:val="auto"/>
                <w:lang w:bidi="ar"/>
              </w:rPr>
              <w:t xml:space="preserve"> </w:t>
            </w:r>
            <w:r>
              <w:rPr>
                <w:rFonts w:hint="eastAsia" w:ascii="宋体" w:hAnsi="宋体" w:cs="宋体"/>
                <w:color w:val="auto"/>
                <w:kern w:val="0"/>
                <w:sz w:val="24"/>
                <w:szCs w:val="24"/>
                <w:lang w:bidi="ar"/>
              </w:rPr>
              <w:t>②“重大税收违法案件当事人名单”、</w:t>
            </w:r>
            <w:r>
              <w:rPr>
                <w:rFonts w:ascii="Calibri" w:hAnsi="Calibri"/>
                <w:color w:val="auto"/>
                <w:lang w:bidi="ar"/>
              </w:rPr>
              <w:t xml:space="preserve"> </w:t>
            </w:r>
            <w:r>
              <w:rPr>
                <w:rFonts w:hint="eastAsia" w:ascii="宋体" w:hAnsi="宋体" w:cs="宋体"/>
                <w:color w:val="auto"/>
                <w:kern w:val="0"/>
                <w:sz w:val="24"/>
                <w:szCs w:val="24"/>
                <w:lang w:bidi="ar"/>
              </w:rPr>
              <w:t>③“政府采购严重违法失信行为”记录名单</w:t>
            </w:r>
          </w:p>
        </w:tc>
        <w:tc>
          <w:tcPr>
            <w:tcW w:w="1220" w:type="dxa"/>
            <w:vAlign w:val="center"/>
          </w:tcPr>
          <w:p>
            <w:pPr>
              <w:autoSpaceDE w:val="0"/>
              <w:autoSpaceDN w:val="0"/>
              <w:jc w:val="center"/>
              <w:rPr>
                <w:rFonts w:ascii="宋体" w:hAnsi="宋体" w:cs="宋体"/>
                <w:color w:val="auto"/>
                <w:sz w:val="24"/>
                <w:szCs w:val="24"/>
              </w:rPr>
            </w:pPr>
            <w:r>
              <w:rPr>
                <w:rFonts w:hint="eastAsia" w:ascii="宋体" w:hAnsi="宋体" w:cs="宋体"/>
                <w:color w:val="auto"/>
                <w:sz w:val="24"/>
                <w:szCs w:val="24"/>
              </w:rPr>
              <w:t>□通  过</w:t>
            </w:r>
          </w:p>
          <w:p>
            <w:pPr>
              <w:autoSpaceDE w:val="0"/>
              <w:autoSpaceDN w:val="0"/>
              <w:jc w:val="center"/>
              <w:rPr>
                <w:rFonts w:ascii="宋体" w:hAnsi="宋体" w:cs="宋体"/>
                <w:color w:val="auto"/>
                <w:sz w:val="24"/>
                <w:szCs w:val="24"/>
              </w:rPr>
            </w:pPr>
            <w:r>
              <w:rPr>
                <w:rFonts w:hint="eastAsia" w:ascii="宋体" w:hAnsi="宋体" w:cs="宋体"/>
                <w:color w:val="auto"/>
                <w:sz w:val="24"/>
                <w:szCs w:val="24"/>
              </w:rPr>
              <w:t>□不通过</w:t>
            </w:r>
          </w:p>
        </w:tc>
        <w:tc>
          <w:tcPr>
            <w:tcW w:w="1473" w:type="dxa"/>
            <w:vAlign w:val="center"/>
          </w:tcPr>
          <w:p>
            <w:pPr>
              <w:autoSpaceDE w:val="0"/>
              <w:autoSpaceDN w:val="0"/>
              <w:jc w:val="center"/>
              <w:rPr>
                <w:rFonts w:ascii="宋体" w:hAnsi="宋体" w:cs="宋体"/>
                <w:color w:val="auto"/>
                <w:sz w:val="24"/>
                <w:szCs w:val="24"/>
              </w:rPr>
            </w:pPr>
            <w:r>
              <w:rPr>
                <w:rFonts w:hint="eastAsia" w:ascii="宋体" w:hAnsi="宋体" w:cs="宋体"/>
                <w:color w:val="auto"/>
                <w:sz w:val="24"/>
                <w:szCs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Merge w:val="continue"/>
            <w:vAlign w:val="center"/>
          </w:tcPr>
          <w:p>
            <w:pPr>
              <w:autoSpaceDE w:val="0"/>
              <w:autoSpaceDN w:val="0"/>
              <w:rPr>
                <w:rFonts w:ascii="宋体" w:hAnsi="宋体" w:cs="宋体"/>
                <w:color w:val="auto"/>
                <w:sz w:val="24"/>
                <w:szCs w:val="24"/>
              </w:rPr>
            </w:pPr>
          </w:p>
        </w:tc>
        <w:tc>
          <w:tcPr>
            <w:tcW w:w="1088" w:type="dxa"/>
            <w:gridSpan w:val="2"/>
            <w:vMerge w:val="continue"/>
            <w:vAlign w:val="center"/>
          </w:tcPr>
          <w:p>
            <w:pPr>
              <w:autoSpaceDE w:val="0"/>
              <w:autoSpaceDN w:val="0"/>
              <w:jc w:val="left"/>
              <w:rPr>
                <w:rFonts w:ascii="宋体" w:hAnsi="宋体" w:cs="宋体"/>
                <w:bCs/>
                <w:color w:val="auto"/>
                <w:sz w:val="24"/>
                <w:szCs w:val="24"/>
              </w:rPr>
            </w:pPr>
          </w:p>
        </w:tc>
        <w:tc>
          <w:tcPr>
            <w:tcW w:w="550" w:type="dxa"/>
            <w:vMerge w:val="continue"/>
            <w:vAlign w:val="center"/>
          </w:tcPr>
          <w:p>
            <w:pPr>
              <w:autoSpaceDE w:val="0"/>
              <w:autoSpaceDN w:val="0"/>
              <w:jc w:val="left"/>
              <w:rPr>
                <w:rFonts w:ascii="宋体" w:hAnsi="宋体"/>
                <w:color w:val="auto"/>
                <w:sz w:val="24"/>
                <w:szCs w:val="24"/>
              </w:rPr>
            </w:pPr>
          </w:p>
        </w:tc>
        <w:tc>
          <w:tcPr>
            <w:tcW w:w="3890" w:type="dxa"/>
            <w:gridSpan w:val="2"/>
            <w:vAlign w:val="center"/>
          </w:tcPr>
          <w:p>
            <w:pPr>
              <w:rPr>
                <w:rFonts w:ascii="宋体" w:hAnsi="宋体"/>
                <w:color w:val="auto"/>
                <w:sz w:val="24"/>
                <w:szCs w:val="24"/>
              </w:rPr>
            </w:pPr>
            <w:r>
              <w:rPr>
                <w:rFonts w:hint="eastAsia" w:ascii="宋体" w:hAnsi="宋体" w:cs="宋体"/>
                <w:color w:val="auto"/>
                <w:kern w:val="0"/>
                <w:sz w:val="24"/>
                <w:szCs w:val="24"/>
                <w:lang w:bidi="ar"/>
              </w:rPr>
              <w:t>中国政府采购网 ：“政府采购严重违法失信行为信息记录”</w:t>
            </w:r>
          </w:p>
        </w:tc>
        <w:tc>
          <w:tcPr>
            <w:tcW w:w="1220" w:type="dxa"/>
            <w:vAlign w:val="center"/>
          </w:tcPr>
          <w:p>
            <w:pPr>
              <w:autoSpaceDE w:val="0"/>
              <w:autoSpaceDN w:val="0"/>
              <w:jc w:val="center"/>
              <w:rPr>
                <w:rFonts w:ascii="宋体" w:hAnsi="宋体" w:cs="宋体"/>
                <w:color w:val="auto"/>
                <w:sz w:val="24"/>
                <w:szCs w:val="24"/>
              </w:rPr>
            </w:pPr>
            <w:r>
              <w:rPr>
                <w:rFonts w:hint="eastAsia" w:ascii="宋体" w:hAnsi="宋体" w:cs="宋体"/>
                <w:color w:val="auto"/>
                <w:sz w:val="24"/>
                <w:szCs w:val="24"/>
              </w:rPr>
              <w:t>□通  过</w:t>
            </w:r>
          </w:p>
          <w:p>
            <w:pPr>
              <w:autoSpaceDE w:val="0"/>
              <w:autoSpaceDN w:val="0"/>
              <w:jc w:val="center"/>
              <w:rPr>
                <w:rFonts w:ascii="宋体" w:hAnsi="宋体" w:cs="宋体"/>
                <w:color w:val="auto"/>
                <w:sz w:val="24"/>
                <w:szCs w:val="24"/>
              </w:rPr>
            </w:pPr>
            <w:r>
              <w:rPr>
                <w:rFonts w:hint="eastAsia" w:ascii="宋体" w:hAnsi="宋体" w:cs="宋体"/>
                <w:color w:val="auto"/>
                <w:sz w:val="24"/>
                <w:szCs w:val="24"/>
              </w:rPr>
              <w:t>□不通过</w:t>
            </w:r>
          </w:p>
        </w:tc>
        <w:tc>
          <w:tcPr>
            <w:tcW w:w="1473" w:type="dxa"/>
            <w:vAlign w:val="center"/>
          </w:tcPr>
          <w:p>
            <w:pPr>
              <w:autoSpaceDE w:val="0"/>
              <w:autoSpaceDN w:val="0"/>
              <w:jc w:val="center"/>
              <w:rPr>
                <w:rFonts w:ascii="宋体" w:hAnsi="宋体" w:cs="宋体"/>
                <w:color w:val="auto"/>
                <w:sz w:val="24"/>
                <w:szCs w:val="24"/>
              </w:rPr>
            </w:pPr>
            <w:r>
              <w:rPr>
                <w:rFonts w:hint="eastAsia" w:ascii="宋体" w:hAnsi="宋体" w:cs="宋体"/>
                <w:color w:val="auto"/>
                <w:sz w:val="24"/>
                <w:szCs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Merge w:val="continue"/>
            <w:vAlign w:val="center"/>
          </w:tcPr>
          <w:p>
            <w:pPr>
              <w:autoSpaceDE w:val="0"/>
              <w:autoSpaceDN w:val="0"/>
              <w:rPr>
                <w:rFonts w:ascii="宋体" w:hAnsi="宋体" w:cs="宋体"/>
                <w:color w:val="auto"/>
                <w:sz w:val="24"/>
                <w:szCs w:val="24"/>
              </w:rPr>
            </w:pPr>
          </w:p>
        </w:tc>
        <w:tc>
          <w:tcPr>
            <w:tcW w:w="1088" w:type="dxa"/>
            <w:gridSpan w:val="2"/>
            <w:vMerge w:val="continue"/>
            <w:vAlign w:val="center"/>
          </w:tcPr>
          <w:p>
            <w:pPr>
              <w:autoSpaceDE w:val="0"/>
              <w:autoSpaceDN w:val="0"/>
              <w:jc w:val="left"/>
              <w:rPr>
                <w:rFonts w:ascii="宋体" w:hAnsi="宋体" w:cs="宋体"/>
                <w:bCs/>
                <w:color w:val="auto"/>
                <w:sz w:val="24"/>
                <w:szCs w:val="24"/>
              </w:rPr>
            </w:pPr>
          </w:p>
        </w:tc>
        <w:tc>
          <w:tcPr>
            <w:tcW w:w="4440" w:type="dxa"/>
            <w:gridSpan w:val="3"/>
            <w:vAlign w:val="center"/>
          </w:tcPr>
          <w:p>
            <w:pPr>
              <w:autoSpaceDE w:val="0"/>
              <w:autoSpaceDN w:val="0"/>
              <w:jc w:val="left"/>
              <w:rPr>
                <w:rFonts w:ascii="宋体" w:hAnsi="宋体" w:cs="宋体"/>
                <w:bCs/>
                <w:color w:val="auto"/>
                <w:sz w:val="24"/>
                <w:szCs w:val="24"/>
              </w:rPr>
            </w:pPr>
            <w:r>
              <w:rPr>
                <w:rFonts w:hint="eastAsia" w:ascii="宋体" w:hAnsi="宋体"/>
                <w:color w:val="auto"/>
                <w:sz w:val="24"/>
                <w:szCs w:val="24"/>
              </w:rPr>
              <w:t>7）法律、行政法规规定的其他条件</w:t>
            </w:r>
          </w:p>
        </w:tc>
        <w:tc>
          <w:tcPr>
            <w:tcW w:w="1220" w:type="dxa"/>
            <w:vAlign w:val="center"/>
          </w:tcPr>
          <w:p>
            <w:pPr>
              <w:autoSpaceDE w:val="0"/>
              <w:autoSpaceDN w:val="0"/>
              <w:jc w:val="center"/>
              <w:rPr>
                <w:rFonts w:ascii="宋体" w:hAnsi="宋体" w:cs="宋体"/>
                <w:color w:val="auto"/>
                <w:sz w:val="24"/>
                <w:szCs w:val="24"/>
              </w:rPr>
            </w:pPr>
            <w:r>
              <w:rPr>
                <w:rFonts w:hint="eastAsia" w:ascii="宋体" w:hAnsi="宋体" w:cs="宋体"/>
                <w:color w:val="auto"/>
                <w:sz w:val="24"/>
                <w:szCs w:val="24"/>
              </w:rPr>
              <w:t>□通  过</w:t>
            </w:r>
          </w:p>
          <w:p>
            <w:pPr>
              <w:autoSpaceDE w:val="0"/>
              <w:autoSpaceDN w:val="0"/>
              <w:jc w:val="center"/>
              <w:rPr>
                <w:rFonts w:ascii="宋体" w:hAnsi="宋体" w:cs="宋体"/>
                <w:color w:val="auto"/>
                <w:sz w:val="24"/>
                <w:szCs w:val="24"/>
              </w:rPr>
            </w:pPr>
            <w:r>
              <w:rPr>
                <w:rFonts w:hint="eastAsia" w:ascii="宋体" w:hAnsi="宋体" w:cs="宋体"/>
                <w:color w:val="auto"/>
                <w:sz w:val="24"/>
                <w:szCs w:val="24"/>
              </w:rPr>
              <w:t>□不通过</w:t>
            </w:r>
          </w:p>
        </w:tc>
        <w:tc>
          <w:tcPr>
            <w:tcW w:w="1473" w:type="dxa"/>
            <w:vAlign w:val="center"/>
          </w:tcPr>
          <w:p>
            <w:pPr>
              <w:autoSpaceDE w:val="0"/>
              <w:autoSpaceDN w:val="0"/>
              <w:jc w:val="center"/>
              <w:rPr>
                <w:rFonts w:ascii="宋体" w:hAnsi="宋体" w:cs="宋体"/>
                <w:color w:val="auto"/>
                <w:sz w:val="24"/>
                <w:szCs w:val="24"/>
              </w:rPr>
            </w:pPr>
            <w:r>
              <w:rPr>
                <w:rFonts w:hint="eastAsia" w:ascii="宋体" w:hAnsi="宋体" w:cs="宋体"/>
                <w:color w:val="auto"/>
                <w:sz w:val="24"/>
                <w:szCs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2" w:hRule="atLeast"/>
          <w:jc w:val="center"/>
        </w:trPr>
        <w:tc>
          <w:tcPr>
            <w:tcW w:w="740" w:type="dxa"/>
            <w:vAlign w:val="center"/>
          </w:tcPr>
          <w:p>
            <w:pPr>
              <w:autoSpaceDE w:val="0"/>
              <w:autoSpaceDN w:val="0"/>
              <w:rPr>
                <w:rFonts w:ascii="宋体" w:hAnsi="宋体" w:cs="宋体"/>
                <w:color w:val="auto"/>
                <w:sz w:val="24"/>
                <w:szCs w:val="24"/>
              </w:rPr>
            </w:pPr>
            <w:r>
              <w:rPr>
                <w:rFonts w:hint="eastAsia" w:ascii="宋体" w:hAnsi="宋体" w:cs="宋体"/>
                <w:color w:val="auto"/>
                <w:sz w:val="24"/>
                <w:szCs w:val="24"/>
                <w:lang w:bidi="ar"/>
              </w:rPr>
              <w:t>（2）</w:t>
            </w:r>
          </w:p>
        </w:tc>
        <w:tc>
          <w:tcPr>
            <w:tcW w:w="5528" w:type="dxa"/>
            <w:gridSpan w:val="5"/>
            <w:vAlign w:val="center"/>
          </w:tcPr>
          <w:p>
            <w:pPr>
              <w:rPr>
                <w:rFonts w:ascii="宋体" w:hAnsi="宋体" w:cs="宋体"/>
                <w:bCs/>
                <w:color w:val="auto"/>
                <w:sz w:val="24"/>
                <w:szCs w:val="24"/>
              </w:rPr>
            </w:pPr>
            <w:r>
              <w:rPr>
                <w:rFonts w:hint="eastAsia" w:ascii="宋体" w:hAnsi="宋体" w:cs="宋体"/>
                <w:b/>
                <w:color w:val="auto"/>
                <w:sz w:val="24"/>
                <w:szCs w:val="24"/>
                <w:lang w:bidi="ar"/>
              </w:rPr>
              <w:t>落实政府采购政策需满足的资格要求</w:t>
            </w:r>
            <w:r>
              <w:rPr>
                <w:rFonts w:hint="eastAsia" w:ascii="宋体" w:hAnsi="宋体" w:cs="宋体"/>
                <w:color w:val="auto"/>
                <w:kern w:val="0"/>
                <w:sz w:val="24"/>
                <w:szCs w:val="24"/>
                <w:lang w:bidi="ar"/>
              </w:rPr>
              <w:t>（</w:t>
            </w:r>
            <w:r>
              <w:rPr>
                <w:rFonts w:hint="eastAsia" w:ascii="宋体" w:hAnsi="宋体"/>
                <w:color w:val="auto"/>
                <w:sz w:val="24"/>
                <w:szCs w:val="24"/>
              </w:rPr>
              <w:t>投标人自行查阅本文件《投标邀请》的“二、申请人的资格要求”，如属于专门面向中小企业采购的项目，须提供中小微企业的相关证明文件，若要求以联合体形式投标的，还须提供《《联合协议》》；若要求以合同分包形式投标的，还须提供《分包意向协议》。</w:t>
            </w:r>
            <w:r>
              <w:rPr>
                <w:rFonts w:hint="eastAsia" w:ascii="宋体" w:hAnsi="宋体" w:cs="宋体"/>
                <w:color w:val="auto"/>
                <w:kern w:val="0"/>
                <w:sz w:val="24"/>
                <w:szCs w:val="24"/>
                <w:lang w:bidi="ar"/>
              </w:rPr>
              <w:t>）</w:t>
            </w:r>
          </w:p>
        </w:tc>
        <w:tc>
          <w:tcPr>
            <w:tcW w:w="1220" w:type="dxa"/>
            <w:vAlign w:val="center"/>
          </w:tcPr>
          <w:p>
            <w:pPr>
              <w:autoSpaceDE w:val="0"/>
              <w:autoSpaceDN w:val="0"/>
              <w:jc w:val="center"/>
              <w:rPr>
                <w:rFonts w:ascii="宋体" w:hAnsi="宋体" w:cs="宋体"/>
                <w:color w:val="auto"/>
                <w:sz w:val="24"/>
                <w:szCs w:val="24"/>
              </w:rPr>
            </w:pPr>
            <w:r>
              <w:rPr>
                <w:rFonts w:hint="eastAsia" w:ascii="宋体" w:hAnsi="宋体" w:cs="宋体"/>
                <w:color w:val="auto"/>
                <w:sz w:val="24"/>
                <w:szCs w:val="24"/>
              </w:rPr>
              <w:t>□通  过</w:t>
            </w:r>
          </w:p>
          <w:p>
            <w:pPr>
              <w:autoSpaceDE w:val="0"/>
              <w:autoSpaceDN w:val="0"/>
              <w:jc w:val="center"/>
              <w:rPr>
                <w:rFonts w:ascii="宋体" w:hAnsi="宋体" w:cs="宋体"/>
                <w:color w:val="auto"/>
                <w:sz w:val="24"/>
                <w:szCs w:val="24"/>
              </w:rPr>
            </w:pPr>
            <w:r>
              <w:rPr>
                <w:rFonts w:hint="eastAsia" w:ascii="宋体" w:hAnsi="宋体" w:cs="宋体"/>
                <w:color w:val="auto"/>
                <w:sz w:val="24"/>
                <w:szCs w:val="24"/>
              </w:rPr>
              <w:t>□不通过</w:t>
            </w:r>
          </w:p>
        </w:tc>
        <w:tc>
          <w:tcPr>
            <w:tcW w:w="1473" w:type="dxa"/>
            <w:vAlign w:val="center"/>
          </w:tcPr>
          <w:p>
            <w:pPr>
              <w:autoSpaceDE w:val="0"/>
              <w:autoSpaceDN w:val="0"/>
              <w:jc w:val="center"/>
              <w:rPr>
                <w:rFonts w:ascii="宋体" w:hAnsi="宋体" w:cs="宋体"/>
                <w:color w:val="auto"/>
                <w:sz w:val="24"/>
                <w:szCs w:val="24"/>
              </w:rPr>
            </w:pPr>
            <w:r>
              <w:rPr>
                <w:rFonts w:hint="eastAsia" w:ascii="宋体" w:hAnsi="宋体" w:cs="宋体"/>
                <w:color w:val="auto"/>
                <w:sz w:val="24"/>
                <w:szCs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Merge w:val="restart"/>
            <w:vAlign w:val="center"/>
          </w:tcPr>
          <w:p>
            <w:pPr>
              <w:autoSpaceDE w:val="0"/>
              <w:autoSpaceDN w:val="0"/>
              <w:rPr>
                <w:rFonts w:ascii="宋体" w:hAnsi="宋体" w:cs="宋体"/>
                <w:color w:val="auto"/>
                <w:sz w:val="24"/>
                <w:szCs w:val="24"/>
              </w:rPr>
            </w:pPr>
            <w:r>
              <w:rPr>
                <w:rFonts w:hint="eastAsia" w:ascii="宋体" w:hAnsi="宋体" w:cs="宋体"/>
                <w:color w:val="auto"/>
                <w:sz w:val="24"/>
                <w:szCs w:val="24"/>
              </w:rPr>
              <w:t>（3）</w:t>
            </w:r>
          </w:p>
        </w:tc>
        <w:tc>
          <w:tcPr>
            <w:tcW w:w="788" w:type="dxa"/>
            <w:vMerge w:val="restart"/>
            <w:vAlign w:val="center"/>
          </w:tcPr>
          <w:p>
            <w:pPr>
              <w:rPr>
                <w:rFonts w:ascii="宋体" w:hAnsi="宋体" w:cs="宋体"/>
                <w:bCs/>
                <w:color w:val="auto"/>
                <w:sz w:val="24"/>
                <w:szCs w:val="24"/>
              </w:rPr>
            </w:pPr>
            <w:r>
              <w:rPr>
                <w:rFonts w:hint="eastAsia" w:ascii="宋体" w:hAnsi="宋体" w:cs="宋体"/>
                <w:b/>
                <w:color w:val="auto"/>
                <w:sz w:val="24"/>
                <w:szCs w:val="24"/>
                <w:lang w:bidi="ar"/>
              </w:rPr>
              <w:t>本项目的特定资格要求</w:t>
            </w:r>
          </w:p>
        </w:tc>
        <w:tc>
          <w:tcPr>
            <w:tcW w:w="4740" w:type="dxa"/>
            <w:gridSpan w:val="4"/>
            <w:vAlign w:val="center"/>
          </w:tcPr>
          <w:p>
            <w:pPr>
              <w:rPr>
                <w:rFonts w:ascii="宋体" w:hAnsi="宋体" w:cs="宋体"/>
                <w:bCs/>
                <w:color w:val="auto"/>
                <w:sz w:val="24"/>
                <w:szCs w:val="24"/>
              </w:rPr>
            </w:pPr>
            <w:r>
              <w:rPr>
                <w:rFonts w:hint="eastAsia" w:ascii="宋体" w:hAnsi="宋体" w:cs="宋体"/>
                <w:bCs/>
                <w:color w:val="auto"/>
                <w:sz w:val="24"/>
                <w:szCs w:val="24"/>
                <w:lang w:bidi="ar"/>
              </w:rPr>
              <w:t>已按招标公告及招标文件的规定获取了招标文件</w:t>
            </w:r>
          </w:p>
        </w:tc>
        <w:tc>
          <w:tcPr>
            <w:tcW w:w="1220" w:type="dxa"/>
            <w:vAlign w:val="center"/>
          </w:tcPr>
          <w:p>
            <w:pPr>
              <w:autoSpaceDE w:val="0"/>
              <w:autoSpaceDN w:val="0"/>
              <w:jc w:val="center"/>
              <w:rPr>
                <w:rFonts w:ascii="宋体" w:hAnsi="宋体" w:cs="Calibri"/>
                <w:color w:val="auto"/>
                <w:sz w:val="24"/>
                <w:szCs w:val="24"/>
              </w:rPr>
            </w:pPr>
            <w:r>
              <w:rPr>
                <w:rFonts w:hint="eastAsia" w:ascii="宋体" w:hAnsi="宋体" w:cs="宋体"/>
                <w:color w:val="auto"/>
                <w:sz w:val="24"/>
                <w:szCs w:val="24"/>
                <w:lang w:bidi="ar"/>
              </w:rPr>
              <w:t>□通  过</w:t>
            </w:r>
          </w:p>
          <w:p>
            <w:pPr>
              <w:autoSpaceDE w:val="0"/>
              <w:autoSpaceDN w:val="0"/>
              <w:jc w:val="center"/>
              <w:rPr>
                <w:rFonts w:ascii="宋体" w:hAnsi="宋体" w:cs="宋体"/>
                <w:color w:val="auto"/>
                <w:sz w:val="24"/>
                <w:szCs w:val="24"/>
              </w:rPr>
            </w:pPr>
            <w:r>
              <w:rPr>
                <w:rFonts w:hint="eastAsia" w:ascii="宋体" w:hAnsi="宋体" w:cs="宋体"/>
                <w:color w:val="auto"/>
                <w:sz w:val="24"/>
                <w:szCs w:val="24"/>
                <w:lang w:bidi="ar"/>
              </w:rPr>
              <w:t>□不通过</w:t>
            </w:r>
          </w:p>
        </w:tc>
        <w:tc>
          <w:tcPr>
            <w:tcW w:w="1473" w:type="dxa"/>
            <w:vAlign w:val="center"/>
          </w:tcPr>
          <w:p>
            <w:pPr>
              <w:autoSpaceDE w:val="0"/>
              <w:autoSpaceDN w:val="0"/>
              <w:jc w:val="center"/>
              <w:rPr>
                <w:rFonts w:ascii="宋体" w:hAnsi="宋体" w:cs="宋体"/>
                <w:color w:val="auto"/>
                <w:sz w:val="24"/>
                <w:szCs w:val="24"/>
              </w:rPr>
            </w:pPr>
            <w:r>
              <w:rPr>
                <w:rFonts w:hint="eastAsia" w:ascii="宋体" w:hAnsi="宋体" w:cs="宋体"/>
                <w:color w:val="auto"/>
                <w:sz w:val="24"/>
                <w:szCs w:val="24"/>
                <w:lang w:bidi="ar"/>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Merge w:val="continue"/>
            <w:vAlign w:val="center"/>
          </w:tcPr>
          <w:p>
            <w:pPr>
              <w:autoSpaceDE w:val="0"/>
              <w:autoSpaceDN w:val="0"/>
              <w:rPr>
                <w:rFonts w:ascii="宋体" w:hAnsi="宋体" w:cs="宋体"/>
                <w:color w:val="auto"/>
                <w:sz w:val="24"/>
                <w:szCs w:val="24"/>
              </w:rPr>
            </w:pPr>
          </w:p>
        </w:tc>
        <w:tc>
          <w:tcPr>
            <w:tcW w:w="788" w:type="dxa"/>
            <w:vMerge w:val="continue"/>
            <w:vAlign w:val="center"/>
          </w:tcPr>
          <w:p>
            <w:pPr>
              <w:rPr>
                <w:rFonts w:ascii="宋体" w:hAnsi="宋体" w:cs="宋体"/>
                <w:bCs/>
                <w:color w:val="auto"/>
                <w:sz w:val="24"/>
                <w:szCs w:val="24"/>
              </w:rPr>
            </w:pPr>
          </w:p>
        </w:tc>
        <w:tc>
          <w:tcPr>
            <w:tcW w:w="4740" w:type="dxa"/>
            <w:gridSpan w:val="4"/>
            <w:vAlign w:val="center"/>
          </w:tcPr>
          <w:p>
            <w:pPr>
              <w:rPr>
                <w:rFonts w:ascii="宋体" w:hAnsi="宋体" w:cs="宋体"/>
                <w:bCs/>
                <w:color w:val="auto"/>
                <w:sz w:val="24"/>
                <w:szCs w:val="24"/>
              </w:rPr>
            </w:pPr>
            <w:r>
              <w:rPr>
                <w:rFonts w:hint="eastAsia" w:ascii="宋体" w:hAnsi="宋体" w:cs="宋体"/>
                <w:bCs/>
                <w:color w:val="auto"/>
                <w:sz w:val="24"/>
                <w:szCs w:val="24"/>
                <w:lang w:bidi="ar"/>
              </w:rPr>
              <w:t>关于联合体投标（是否接受联合体投标详见</w:t>
            </w:r>
            <w:r>
              <w:rPr>
                <w:rFonts w:hint="eastAsia" w:ascii="宋体" w:hAnsi="宋体" w:cs="宋体"/>
                <w:color w:val="auto"/>
                <w:sz w:val="24"/>
                <w:szCs w:val="24"/>
                <w:lang w:bidi="ar"/>
              </w:rPr>
              <w:t>本文件《投标邀请》的</w:t>
            </w:r>
            <w:r>
              <w:rPr>
                <w:rFonts w:hint="eastAsia" w:ascii="宋体" w:hAnsi="宋体" w:cs="宋体"/>
                <w:bCs/>
                <w:color w:val="auto"/>
                <w:sz w:val="24"/>
                <w:szCs w:val="24"/>
                <w:lang w:bidi="ar"/>
              </w:rPr>
              <w:t>“二、申请人的资格要求”）</w:t>
            </w:r>
          </w:p>
        </w:tc>
        <w:tc>
          <w:tcPr>
            <w:tcW w:w="1220" w:type="dxa"/>
            <w:vAlign w:val="center"/>
          </w:tcPr>
          <w:p>
            <w:pPr>
              <w:autoSpaceDE w:val="0"/>
              <w:autoSpaceDN w:val="0"/>
              <w:jc w:val="center"/>
              <w:rPr>
                <w:rFonts w:ascii="宋体" w:hAnsi="宋体" w:cs="Calibri"/>
                <w:color w:val="auto"/>
                <w:sz w:val="24"/>
                <w:szCs w:val="24"/>
              </w:rPr>
            </w:pPr>
            <w:r>
              <w:rPr>
                <w:rFonts w:hint="eastAsia" w:ascii="宋体" w:hAnsi="宋体" w:cs="宋体"/>
                <w:color w:val="auto"/>
                <w:sz w:val="24"/>
                <w:szCs w:val="24"/>
                <w:lang w:bidi="ar"/>
              </w:rPr>
              <w:t>□通  过</w:t>
            </w:r>
          </w:p>
          <w:p>
            <w:pPr>
              <w:autoSpaceDE w:val="0"/>
              <w:autoSpaceDN w:val="0"/>
              <w:jc w:val="center"/>
              <w:rPr>
                <w:rFonts w:ascii="宋体" w:hAnsi="宋体" w:cs="宋体"/>
                <w:color w:val="auto"/>
                <w:sz w:val="24"/>
                <w:szCs w:val="24"/>
              </w:rPr>
            </w:pPr>
            <w:r>
              <w:rPr>
                <w:rFonts w:hint="eastAsia" w:ascii="宋体" w:hAnsi="宋体" w:cs="宋体"/>
                <w:color w:val="auto"/>
                <w:sz w:val="24"/>
                <w:szCs w:val="24"/>
                <w:lang w:bidi="ar"/>
              </w:rPr>
              <w:t>□不通过</w:t>
            </w:r>
          </w:p>
          <w:p>
            <w:pPr>
              <w:autoSpaceDE w:val="0"/>
              <w:autoSpaceDN w:val="0"/>
              <w:jc w:val="center"/>
              <w:rPr>
                <w:rFonts w:ascii="宋体" w:hAnsi="宋体" w:cs="宋体"/>
                <w:color w:val="auto"/>
                <w:sz w:val="24"/>
                <w:szCs w:val="24"/>
              </w:rPr>
            </w:pPr>
            <w:r>
              <w:rPr>
                <w:rFonts w:hint="eastAsia" w:ascii="宋体" w:hAnsi="宋体" w:cs="宋体"/>
                <w:color w:val="auto"/>
                <w:sz w:val="24"/>
                <w:szCs w:val="24"/>
                <w:lang w:bidi="ar"/>
              </w:rPr>
              <w:t>□不适用</w:t>
            </w:r>
          </w:p>
        </w:tc>
        <w:tc>
          <w:tcPr>
            <w:tcW w:w="1473" w:type="dxa"/>
            <w:vAlign w:val="center"/>
          </w:tcPr>
          <w:p>
            <w:pPr>
              <w:autoSpaceDE w:val="0"/>
              <w:autoSpaceDN w:val="0"/>
              <w:jc w:val="center"/>
              <w:rPr>
                <w:rFonts w:ascii="宋体" w:hAnsi="宋体" w:cs="宋体"/>
                <w:color w:val="auto"/>
                <w:sz w:val="24"/>
                <w:szCs w:val="24"/>
              </w:rPr>
            </w:pPr>
            <w:r>
              <w:rPr>
                <w:rFonts w:hint="eastAsia" w:ascii="宋体" w:hAnsi="宋体" w:cs="宋体"/>
                <w:color w:val="auto"/>
                <w:sz w:val="24"/>
                <w:szCs w:val="24"/>
                <w:lang w:bidi="ar"/>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Merge w:val="continue"/>
            <w:vAlign w:val="center"/>
          </w:tcPr>
          <w:p>
            <w:pPr>
              <w:autoSpaceDE w:val="0"/>
              <w:autoSpaceDN w:val="0"/>
              <w:rPr>
                <w:rFonts w:ascii="宋体" w:hAnsi="宋体" w:cs="宋体"/>
                <w:color w:val="auto"/>
                <w:sz w:val="24"/>
                <w:szCs w:val="24"/>
              </w:rPr>
            </w:pPr>
          </w:p>
        </w:tc>
        <w:tc>
          <w:tcPr>
            <w:tcW w:w="788" w:type="dxa"/>
            <w:vMerge w:val="continue"/>
            <w:vAlign w:val="center"/>
          </w:tcPr>
          <w:p>
            <w:pPr>
              <w:rPr>
                <w:rFonts w:ascii="宋体" w:hAnsi="宋体" w:cs="宋体"/>
                <w:bCs/>
                <w:color w:val="auto"/>
                <w:sz w:val="24"/>
                <w:szCs w:val="24"/>
              </w:rPr>
            </w:pPr>
          </w:p>
        </w:tc>
        <w:tc>
          <w:tcPr>
            <w:tcW w:w="4740" w:type="dxa"/>
            <w:gridSpan w:val="4"/>
            <w:vAlign w:val="center"/>
          </w:tcPr>
          <w:p>
            <w:pPr>
              <w:rPr>
                <w:rFonts w:ascii="宋体" w:hAnsi="宋体" w:cs="宋体"/>
                <w:bCs/>
                <w:color w:val="auto"/>
                <w:sz w:val="24"/>
                <w:szCs w:val="24"/>
              </w:rPr>
            </w:pPr>
            <w:r>
              <w:rPr>
                <w:rFonts w:hint="eastAsia" w:ascii="宋体" w:hAnsi="宋体" w:cs="宋体"/>
                <w:bCs/>
                <w:color w:val="auto"/>
                <w:sz w:val="24"/>
                <w:szCs w:val="24"/>
                <w:lang w:bidi="ar"/>
              </w:rPr>
              <w:t>供应商应当具备的其他资格条件</w:t>
            </w:r>
            <w:r>
              <w:rPr>
                <w:rFonts w:hint="eastAsia" w:ascii="宋体" w:hAnsi="宋体"/>
                <w:bCs/>
                <w:color w:val="auto"/>
                <w:sz w:val="24"/>
                <w:szCs w:val="24"/>
                <w:lang w:bidi="ar"/>
              </w:rPr>
              <w:t>（</w:t>
            </w:r>
            <w:r>
              <w:rPr>
                <w:rFonts w:hint="eastAsia" w:ascii="Calibri" w:hAnsi="Calibri"/>
                <w:color w:val="auto"/>
                <w:sz w:val="24"/>
                <w:szCs w:val="24"/>
                <w:lang w:bidi="ar"/>
              </w:rPr>
              <w:t>投标人自行查阅本文件《投标邀请》的“二、申请人的资格要求”，如要求，投标人须按招标文件的规定提供证明文件）</w:t>
            </w:r>
          </w:p>
        </w:tc>
        <w:tc>
          <w:tcPr>
            <w:tcW w:w="1220" w:type="dxa"/>
            <w:vAlign w:val="center"/>
          </w:tcPr>
          <w:p>
            <w:pPr>
              <w:autoSpaceDE w:val="0"/>
              <w:autoSpaceDN w:val="0"/>
              <w:jc w:val="center"/>
              <w:rPr>
                <w:rFonts w:ascii="宋体" w:hAnsi="宋体" w:cs="Calibri"/>
                <w:color w:val="auto"/>
                <w:sz w:val="24"/>
                <w:szCs w:val="24"/>
              </w:rPr>
            </w:pPr>
            <w:r>
              <w:rPr>
                <w:rFonts w:hint="eastAsia" w:ascii="宋体" w:hAnsi="宋体" w:cs="宋体"/>
                <w:color w:val="auto"/>
                <w:sz w:val="24"/>
                <w:szCs w:val="24"/>
                <w:lang w:bidi="ar"/>
              </w:rPr>
              <w:t>□通  过</w:t>
            </w:r>
          </w:p>
          <w:p>
            <w:pPr>
              <w:autoSpaceDE w:val="0"/>
              <w:autoSpaceDN w:val="0"/>
              <w:jc w:val="center"/>
              <w:rPr>
                <w:rFonts w:ascii="宋体" w:hAnsi="宋体" w:cs="宋体"/>
                <w:color w:val="auto"/>
                <w:sz w:val="24"/>
                <w:szCs w:val="24"/>
              </w:rPr>
            </w:pPr>
            <w:r>
              <w:rPr>
                <w:rFonts w:hint="eastAsia" w:ascii="宋体" w:hAnsi="宋体" w:cs="宋体"/>
                <w:color w:val="auto"/>
                <w:sz w:val="24"/>
                <w:szCs w:val="24"/>
                <w:lang w:bidi="ar"/>
              </w:rPr>
              <w:t>□不通过</w:t>
            </w:r>
          </w:p>
          <w:p>
            <w:pPr>
              <w:autoSpaceDE w:val="0"/>
              <w:autoSpaceDN w:val="0"/>
              <w:jc w:val="center"/>
              <w:rPr>
                <w:rFonts w:ascii="宋体" w:hAnsi="宋体" w:cs="宋体"/>
                <w:color w:val="auto"/>
                <w:sz w:val="24"/>
                <w:szCs w:val="24"/>
              </w:rPr>
            </w:pPr>
            <w:r>
              <w:rPr>
                <w:rFonts w:hint="eastAsia" w:ascii="宋体" w:hAnsi="宋体" w:cs="宋体"/>
                <w:color w:val="auto"/>
                <w:sz w:val="24"/>
                <w:szCs w:val="24"/>
                <w:lang w:bidi="ar"/>
              </w:rPr>
              <w:t>□不适用</w:t>
            </w:r>
          </w:p>
        </w:tc>
        <w:tc>
          <w:tcPr>
            <w:tcW w:w="1473" w:type="dxa"/>
            <w:vAlign w:val="center"/>
          </w:tcPr>
          <w:p>
            <w:pPr>
              <w:autoSpaceDE w:val="0"/>
              <w:autoSpaceDN w:val="0"/>
              <w:jc w:val="center"/>
              <w:rPr>
                <w:rFonts w:ascii="宋体" w:hAnsi="宋体" w:cs="宋体"/>
                <w:color w:val="auto"/>
                <w:sz w:val="24"/>
                <w:szCs w:val="24"/>
              </w:rPr>
            </w:pPr>
            <w:r>
              <w:rPr>
                <w:rFonts w:hint="eastAsia" w:ascii="宋体" w:hAnsi="宋体" w:cs="宋体"/>
                <w:color w:val="auto"/>
                <w:sz w:val="24"/>
                <w:szCs w:val="24"/>
                <w:lang w:bidi="ar"/>
              </w:rPr>
              <w:t>第（  ）页</w:t>
            </w:r>
          </w:p>
        </w:tc>
      </w:tr>
    </w:tbl>
    <w:p>
      <w:pPr>
        <w:autoSpaceDE w:val="0"/>
        <w:autoSpaceDN w:val="0"/>
        <w:spacing w:line="360" w:lineRule="auto"/>
        <w:rPr>
          <w:rFonts w:ascii="宋体" w:hAnsi="宋体"/>
          <w:color w:val="auto"/>
          <w:sz w:val="24"/>
          <w:szCs w:val="24"/>
        </w:rPr>
      </w:pPr>
    </w:p>
    <w:p>
      <w:pPr>
        <w:autoSpaceDE w:val="0"/>
        <w:autoSpaceDN w:val="0"/>
        <w:rPr>
          <w:rFonts w:ascii="宋体" w:hAnsi="宋体"/>
          <w:b/>
          <w:color w:val="auto"/>
          <w:sz w:val="24"/>
          <w:szCs w:val="24"/>
        </w:rPr>
      </w:pPr>
      <w:r>
        <w:rPr>
          <w:rFonts w:hint="eastAsia" w:ascii="宋体" w:hAnsi="宋体"/>
          <w:b/>
          <w:color w:val="auto"/>
          <w:sz w:val="24"/>
          <w:szCs w:val="24"/>
        </w:rPr>
        <w:t>备注：</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1.以上材料将作为投标人资格性审核的重要内容之一，投标人应当严格按照其内容及序列要求在投标文件中对应如实提供，对资格证明文件的任何缺漏和不符合项将会直接导致无效投标！</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2.请根据自身响应情况勾选（在□内打√）“自查结论”栏目相应结论。</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3.供应商资格条件详见招标公告及本文件《投标邀请》“二、申请人的资格要求”，</w:t>
      </w:r>
      <w:r>
        <w:rPr>
          <w:rFonts w:hint="eastAsia" w:ascii="宋体" w:hAnsi="宋体"/>
          <w:b/>
          <w:color w:val="auto"/>
          <w:sz w:val="24"/>
          <w:szCs w:val="24"/>
        </w:rPr>
        <w:t>有关证明材料按投标文件格式第4.条的说明提供。</w:t>
      </w:r>
    </w:p>
    <w:p>
      <w:pPr>
        <w:autoSpaceDE w:val="0"/>
        <w:autoSpaceDN w:val="0"/>
        <w:spacing w:line="360" w:lineRule="auto"/>
        <w:rPr>
          <w:rFonts w:ascii="宋体" w:hAnsi="宋体"/>
          <w:color w:val="auto"/>
          <w:sz w:val="24"/>
          <w:szCs w:val="24"/>
        </w:rPr>
      </w:pPr>
    </w:p>
    <w:p>
      <w:pPr>
        <w:pStyle w:val="6"/>
        <w:numPr>
          <w:ilvl w:val="0"/>
          <w:numId w:val="0"/>
        </w:numPr>
        <w:tabs>
          <w:tab w:val="left" w:pos="945"/>
        </w:tabs>
        <w:rPr>
          <w:rFonts w:ascii="宋体" w:hAnsi="宋体"/>
          <w:color w:val="auto"/>
          <w:szCs w:val="24"/>
        </w:rPr>
      </w:pPr>
      <w:r>
        <w:rPr>
          <w:rFonts w:hint="eastAsia" w:ascii="宋体" w:hAnsi="宋体"/>
          <w:color w:val="auto"/>
          <w:szCs w:val="24"/>
        </w:rPr>
        <w:br w:type="page"/>
      </w:r>
      <w:r>
        <w:rPr>
          <w:rFonts w:hint="eastAsia" w:ascii="宋体" w:hAnsi="宋体"/>
          <w:color w:val="auto"/>
          <w:szCs w:val="24"/>
        </w:rPr>
        <w:t>1.2符合性自查表</w:t>
      </w:r>
    </w:p>
    <w:p>
      <w:pPr>
        <w:autoSpaceDE w:val="0"/>
        <w:autoSpaceDN w:val="0"/>
        <w:spacing w:line="360" w:lineRule="auto"/>
        <w:jc w:val="center"/>
        <w:rPr>
          <w:rFonts w:ascii="宋体" w:hAnsi="宋体"/>
          <w:b/>
          <w:color w:val="auto"/>
          <w:sz w:val="32"/>
          <w:szCs w:val="32"/>
        </w:rPr>
      </w:pPr>
      <w:r>
        <w:rPr>
          <w:rFonts w:hint="eastAsia" w:ascii="宋体" w:hAnsi="宋体"/>
          <w:b/>
          <w:color w:val="auto"/>
          <w:sz w:val="32"/>
          <w:szCs w:val="32"/>
        </w:rPr>
        <w:t>符合性自查表</w:t>
      </w:r>
    </w:p>
    <w:p>
      <w:pPr>
        <w:autoSpaceDE w:val="0"/>
        <w:autoSpaceDN w:val="0"/>
        <w:spacing w:line="360" w:lineRule="auto"/>
        <w:rPr>
          <w:rFonts w:hint="eastAsia" w:ascii="宋体" w:hAnsi="宋体" w:eastAsia="宋体"/>
          <w:color w:val="auto"/>
          <w:sz w:val="24"/>
          <w:szCs w:val="24"/>
          <w:lang w:eastAsia="zh-CN"/>
        </w:rPr>
      </w:pPr>
      <w:r>
        <w:rPr>
          <w:rFonts w:hint="eastAsia" w:ascii="宋体" w:hAnsi="宋体"/>
          <w:color w:val="auto"/>
          <w:sz w:val="24"/>
          <w:szCs w:val="24"/>
        </w:rPr>
        <w:t>采购项目名称：</w:t>
      </w:r>
      <w:r>
        <w:rPr>
          <w:rFonts w:hint="eastAsia" w:ascii="宋体" w:hAnsi="宋体"/>
          <w:color w:val="auto"/>
          <w:sz w:val="24"/>
          <w:szCs w:val="24"/>
          <w:lang w:eastAsia="zh-CN"/>
        </w:rPr>
        <w:t>工业和信息化部电子第五研究所动力电池配套使用环境试验箱采购项目</w:t>
      </w:r>
    </w:p>
    <w:p>
      <w:pPr>
        <w:autoSpaceDE w:val="0"/>
        <w:autoSpaceDN w:val="0"/>
        <w:spacing w:line="360" w:lineRule="auto"/>
        <w:rPr>
          <w:rFonts w:ascii="宋体" w:hAnsi="宋体"/>
          <w:color w:val="auto"/>
          <w:sz w:val="24"/>
          <w:szCs w:val="24"/>
        </w:rPr>
      </w:pPr>
      <w:r>
        <w:rPr>
          <w:rFonts w:hint="eastAsia" w:ascii="宋体" w:hAnsi="宋体"/>
          <w:color w:val="auto"/>
          <w:sz w:val="24"/>
          <w:szCs w:val="24"/>
        </w:rPr>
        <w:t>采购包号：</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5449"/>
        <w:gridCol w:w="1350"/>
        <w:gridCol w:w="1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936" w:type="dxa"/>
            <w:vAlign w:val="center"/>
          </w:tcPr>
          <w:p>
            <w:pPr>
              <w:autoSpaceDE w:val="0"/>
              <w:autoSpaceDN w:val="0"/>
              <w:spacing w:line="312" w:lineRule="auto"/>
              <w:jc w:val="center"/>
              <w:rPr>
                <w:rFonts w:ascii="宋体" w:hAnsi="宋体"/>
                <w:b/>
                <w:color w:val="auto"/>
                <w:sz w:val="24"/>
                <w:szCs w:val="24"/>
              </w:rPr>
            </w:pPr>
            <w:r>
              <w:rPr>
                <w:rFonts w:hint="eastAsia" w:ascii="宋体" w:hAnsi="宋体"/>
                <w:b/>
                <w:color w:val="auto"/>
                <w:sz w:val="24"/>
                <w:szCs w:val="24"/>
              </w:rPr>
              <w:t>序号</w:t>
            </w:r>
          </w:p>
        </w:tc>
        <w:tc>
          <w:tcPr>
            <w:tcW w:w="5449" w:type="dxa"/>
            <w:vAlign w:val="center"/>
          </w:tcPr>
          <w:p>
            <w:pPr>
              <w:autoSpaceDE w:val="0"/>
              <w:autoSpaceDN w:val="0"/>
              <w:spacing w:line="312" w:lineRule="auto"/>
              <w:jc w:val="center"/>
              <w:rPr>
                <w:rFonts w:ascii="宋体" w:hAnsi="宋体"/>
                <w:b/>
                <w:color w:val="auto"/>
                <w:sz w:val="24"/>
                <w:szCs w:val="24"/>
              </w:rPr>
            </w:pPr>
            <w:r>
              <w:rPr>
                <w:rFonts w:hint="eastAsia" w:ascii="宋体" w:hAnsi="宋体"/>
                <w:b/>
                <w:color w:val="auto"/>
                <w:sz w:val="24"/>
                <w:szCs w:val="24"/>
              </w:rPr>
              <w:t>审查项目</w:t>
            </w:r>
          </w:p>
          <w:p>
            <w:pPr>
              <w:autoSpaceDE w:val="0"/>
              <w:autoSpaceDN w:val="0"/>
              <w:spacing w:line="312" w:lineRule="auto"/>
              <w:jc w:val="center"/>
              <w:rPr>
                <w:rFonts w:ascii="宋体" w:hAnsi="宋体"/>
                <w:b/>
                <w:color w:val="auto"/>
                <w:sz w:val="24"/>
                <w:szCs w:val="24"/>
              </w:rPr>
            </w:pPr>
            <w:r>
              <w:rPr>
                <w:rFonts w:hint="eastAsia" w:ascii="宋体" w:hAnsi="宋体" w:cs="宋体"/>
                <w:color w:val="auto"/>
                <w:sz w:val="24"/>
                <w:szCs w:val="24"/>
              </w:rPr>
              <w:t>（按《评标办法》的附表2《符合性审查表》各项）</w:t>
            </w:r>
          </w:p>
        </w:tc>
        <w:tc>
          <w:tcPr>
            <w:tcW w:w="1350" w:type="dxa"/>
            <w:vAlign w:val="center"/>
          </w:tcPr>
          <w:p>
            <w:pPr>
              <w:autoSpaceDE w:val="0"/>
              <w:autoSpaceDN w:val="0"/>
              <w:spacing w:line="312" w:lineRule="auto"/>
              <w:jc w:val="center"/>
              <w:rPr>
                <w:rFonts w:ascii="宋体" w:hAnsi="宋体"/>
                <w:b/>
                <w:color w:val="auto"/>
                <w:sz w:val="24"/>
                <w:szCs w:val="24"/>
              </w:rPr>
            </w:pPr>
            <w:r>
              <w:rPr>
                <w:rFonts w:ascii="宋体" w:hAnsi="宋体"/>
                <w:b/>
                <w:color w:val="auto"/>
                <w:sz w:val="24"/>
                <w:szCs w:val="24"/>
              </w:rPr>
              <w:t>自查结论</w:t>
            </w:r>
          </w:p>
        </w:tc>
        <w:tc>
          <w:tcPr>
            <w:tcW w:w="1487" w:type="dxa"/>
            <w:vAlign w:val="center"/>
          </w:tcPr>
          <w:p>
            <w:pPr>
              <w:autoSpaceDE w:val="0"/>
              <w:autoSpaceDN w:val="0"/>
              <w:spacing w:line="312" w:lineRule="auto"/>
              <w:jc w:val="center"/>
              <w:rPr>
                <w:rFonts w:ascii="宋体" w:hAnsi="宋体"/>
                <w:b/>
                <w:color w:val="auto"/>
                <w:sz w:val="24"/>
                <w:szCs w:val="24"/>
              </w:rPr>
            </w:pPr>
            <w:r>
              <w:rPr>
                <w:rFonts w:ascii="宋体" w:hAnsi="宋体"/>
                <w:b/>
                <w:color w:val="auto"/>
                <w:sz w:val="24"/>
                <w:szCs w:val="24"/>
              </w:rPr>
              <w:t>证明资料</w:t>
            </w:r>
            <w:r>
              <w:rPr>
                <w:rFonts w:hint="eastAsia" w:ascii="宋体" w:hAnsi="宋体"/>
                <w:b/>
                <w:color w:val="auto"/>
                <w:sz w:val="24"/>
                <w:szCs w:val="24"/>
              </w:rPr>
              <w:t>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936" w:type="dxa"/>
            <w:vAlign w:val="center"/>
          </w:tcPr>
          <w:p>
            <w:pPr>
              <w:numPr>
                <w:ilvl w:val="0"/>
                <w:numId w:val="92"/>
              </w:numPr>
              <w:autoSpaceDE w:val="0"/>
              <w:autoSpaceDN w:val="0"/>
              <w:spacing w:line="312" w:lineRule="auto"/>
              <w:ind w:left="0" w:firstLine="0"/>
              <w:jc w:val="center"/>
              <w:rPr>
                <w:rFonts w:ascii="宋体" w:hAnsi="宋体"/>
                <w:color w:val="auto"/>
                <w:sz w:val="24"/>
                <w:szCs w:val="24"/>
              </w:rPr>
            </w:pPr>
          </w:p>
        </w:tc>
        <w:tc>
          <w:tcPr>
            <w:tcW w:w="5449" w:type="dxa"/>
            <w:vAlign w:val="center"/>
          </w:tcPr>
          <w:p>
            <w:pPr>
              <w:autoSpaceDE w:val="0"/>
              <w:autoSpaceDN w:val="0"/>
              <w:spacing w:line="312" w:lineRule="auto"/>
              <w:rPr>
                <w:rFonts w:ascii="宋体" w:hAnsi="宋体"/>
                <w:color w:val="auto"/>
                <w:sz w:val="24"/>
                <w:szCs w:val="24"/>
              </w:rPr>
            </w:pPr>
            <w:r>
              <w:rPr>
                <w:rFonts w:hint="eastAsia" w:ascii="宋体" w:hAnsi="宋体"/>
                <w:color w:val="auto"/>
                <w:sz w:val="24"/>
                <w:szCs w:val="24"/>
              </w:rPr>
              <w:t>投标函</w:t>
            </w:r>
          </w:p>
        </w:tc>
        <w:tc>
          <w:tcPr>
            <w:tcW w:w="1350" w:type="dxa"/>
            <w:vAlign w:val="center"/>
          </w:tcPr>
          <w:p>
            <w:pPr>
              <w:autoSpaceDE w:val="0"/>
              <w:autoSpaceDN w:val="0"/>
              <w:spacing w:line="312" w:lineRule="auto"/>
              <w:jc w:val="center"/>
              <w:rPr>
                <w:rFonts w:ascii="宋体" w:hAnsi="宋体"/>
                <w:color w:val="auto"/>
                <w:sz w:val="24"/>
                <w:szCs w:val="24"/>
              </w:rPr>
            </w:pPr>
            <w:r>
              <w:rPr>
                <w:rFonts w:ascii="宋体" w:hAnsi="宋体" w:cs="Arial"/>
                <w:color w:val="auto"/>
                <w:sz w:val="24"/>
                <w:szCs w:val="24"/>
              </w:rPr>
              <w:t>□</w:t>
            </w:r>
            <w:r>
              <w:rPr>
                <w:rFonts w:ascii="宋体" w:hAnsi="宋体"/>
                <w:color w:val="auto"/>
                <w:sz w:val="24"/>
                <w:szCs w:val="24"/>
              </w:rPr>
              <w:t>通</w:t>
            </w:r>
            <w:r>
              <w:rPr>
                <w:rFonts w:hint="eastAsia" w:ascii="宋体" w:hAnsi="宋体"/>
                <w:color w:val="auto"/>
                <w:sz w:val="24"/>
                <w:szCs w:val="24"/>
              </w:rPr>
              <w:t xml:space="preserve">  </w:t>
            </w:r>
            <w:r>
              <w:rPr>
                <w:rFonts w:ascii="宋体" w:hAnsi="宋体"/>
                <w:color w:val="auto"/>
                <w:sz w:val="24"/>
                <w:szCs w:val="24"/>
              </w:rPr>
              <w:t>过</w:t>
            </w:r>
          </w:p>
          <w:p>
            <w:pPr>
              <w:autoSpaceDE w:val="0"/>
              <w:autoSpaceDN w:val="0"/>
              <w:spacing w:line="312" w:lineRule="auto"/>
              <w:jc w:val="center"/>
              <w:rPr>
                <w:rFonts w:ascii="宋体" w:hAnsi="宋体"/>
                <w:color w:val="auto"/>
                <w:sz w:val="24"/>
                <w:szCs w:val="24"/>
              </w:rPr>
            </w:pPr>
            <w:r>
              <w:rPr>
                <w:rFonts w:ascii="宋体" w:hAnsi="宋体" w:cs="Arial"/>
                <w:color w:val="auto"/>
                <w:sz w:val="24"/>
                <w:szCs w:val="24"/>
              </w:rPr>
              <w:t>□</w:t>
            </w:r>
            <w:r>
              <w:rPr>
                <w:rFonts w:ascii="宋体" w:hAnsi="宋体"/>
                <w:color w:val="auto"/>
                <w:sz w:val="24"/>
                <w:szCs w:val="24"/>
              </w:rPr>
              <w:t>不通过</w:t>
            </w:r>
          </w:p>
        </w:tc>
        <w:tc>
          <w:tcPr>
            <w:tcW w:w="1487" w:type="dxa"/>
            <w:vAlign w:val="center"/>
          </w:tcPr>
          <w:p>
            <w:pPr>
              <w:autoSpaceDE w:val="0"/>
              <w:autoSpaceDN w:val="0"/>
              <w:spacing w:line="312" w:lineRule="auto"/>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936" w:type="dxa"/>
            <w:vAlign w:val="center"/>
          </w:tcPr>
          <w:p>
            <w:pPr>
              <w:numPr>
                <w:ilvl w:val="0"/>
                <w:numId w:val="92"/>
              </w:numPr>
              <w:autoSpaceDE w:val="0"/>
              <w:autoSpaceDN w:val="0"/>
              <w:spacing w:line="312" w:lineRule="auto"/>
              <w:ind w:left="0" w:firstLine="0"/>
              <w:jc w:val="center"/>
              <w:rPr>
                <w:rFonts w:ascii="宋体" w:hAnsi="宋体"/>
                <w:color w:val="auto"/>
                <w:sz w:val="24"/>
                <w:szCs w:val="24"/>
              </w:rPr>
            </w:pPr>
          </w:p>
        </w:tc>
        <w:tc>
          <w:tcPr>
            <w:tcW w:w="5449" w:type="dxa"/>
            <w:vAlign w:val="center"/>
          </w:tcPr>
          <w:p>
            <w:pPr>
              <w:autoSpaceDE w:val="0"/>
              <w:autoSpaceDN w:val="0"/>
              <w:spacing w:line="312" w:lineRule="auto"/>
              <w:rPr>
                <w:rFonts w:ascii="宋体" w:hAnsi="宋体"/>
                <w:color w:val="auto"/>
                <w:sz w:val="24"/>
                <w:szCs w:val="24"/>
              </w:rPr>
            </w:pPr>
            <w:r>
              <w:rPr>
                <w:rFonts w:hint="eastAsia" w:ascii="宋体" w:hAnsi="宋体"/>
                <w:color w:val="auto"/>
                <w:sz w:val="24"/>
                <w:szCs w:val="24"/>
              </w:rPr>
              <w:t>授权文件（如适用）</w:t>
            </w:r>
          </w:p>
        </w:tc>
        <w:tc>
          <w:tcPr>
            <w:tcW w:w="1350" w:type="dxa"/>
            <w:vAlign w:val="center"/>
          </w:tcPr>
          <w:p>
            <w:pPr>
              <w:autoSpaceDE w:val="0"/>
              <w:autoSpaceDN w:val="0"/>
              <w:spacing w:line="312" w:lineRule="auto"/>
              <w:jc w:val="center"/>
              <w:rPr>
                <w:rFonts w:ascii="宋体" w:hAnsi="宋体"/>
                <w:color w:val="auto"/>
                <w:sz w:val="24"/>
                <w:szCs w:val="24"/>
              </w:rPr>
            </w:pPr>
            <w:r>
              <w:rPr>
                <w:rFonts w:ascii="宋体" w:hAnsi="宋体" w:cs="Arial"/>
                <w:color w:val="auto"/>
                <w:sz w:val="24"/>
                <w:szCs w:val="24"/>
              </w:rPr>
              <w:t>□</w:t>
            </w:r>
            <w:r>
              <w:rPr>
                <w:rFonts w:ascii="宋体" w:hAnsi="宋体"/>
                <w:color w:val="auto"/>
                <w:sz w:val="24"/>
                <w:szCs w:val="24"/>
              </w:rPr>
              <w:t>通</w:t>
            </w:r>
            <w:r>
              <w:rPr>
                <w:rFonts w:hint="eastAsia" w:ascii="宋体" w:hAnsi="宋体"/>
                <w:color w:val="auto"/>
                <w:sz w:val="24"/>
                <w:szCs w:val="24"/>
              </w:rPr>
              <w:t xml:space="preserve">  </w:t>
            </w:r>
            <w:r>
              <w:rPr>
                <w:rFonts w:ascii="宋体" w:hAnsi="宋体"/>
                <w:color w:val="auto"/>
                <w:sz w:val="24"/>
                <w:szCs w:val="24"/>
              </w:rPr>
              <w:t>过</w:t>
            </w:r>
          </w:p>
          <w:p>
            <w:pPr>
              <w:autoSpaceDE w:val="0"/>
              <w:autoSpaceDN w:val="0"/>
              <w:spacing w:line="312" w:lineRule="auto"/>
              <w:jc w:val="center"/>
              <w:rPr>
                <w:rFonts w:ascii="宋体" w:hAnsi="宋体"/>
                <w:color w:val="auto"/>
                <w:sz w:val="24"/>
                <w:szCs w:val="24"/>
              </w:rPr>
            </w:pPr>
            <w:r>
              <w:rPr>
                <w:rFonts w:ascii="宋体" w:hAnsi="宋体" w:cs="Arial"/>
                <w:color w:val="auto"/>
                <w:sz w:val="24"/>
                <w:szCs w:val="24"/>
              </w:rPr>
              <w:t>□</w:t>
            </w:r>
            <w:r>
              <w:rPr>
                <w:rFonts w:ascii="宋体" w:hAnsi="宋体"/>
                <w:color w:val="auto"/>
                <w:sz w:val="24"/>
                <w:szCs w:val="24"/>
              </w:rPr>
              <w:t>不通过</w:t>
            </w:r>
          </w:p>
        </w:tc>
        <w:tc>
          <w:tcPr>
            <w:tcW w:w="1487" w:type="dxa"/>
            <w:vAlign w:val="center"/>
          </w:tcPr>
          <w:p>
            <w:pPr>
              <w:autoSpaceDE w:val="0"/>
              <w:autoSpaceDN w:val="0"/>
              <w:spacing w:line="312" w:lineRule="auto"/>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936" w:type="dxa"/>
            <w:vAlign w:val="center"/>
          </w:tcPr>
          <w:p>
            <w:pPr>
              <w:numPr>
                <w:ilvl w:val="0"/>
                <w:numId w:val="92"/>
              </w:numPr>
              <w:autoSpaceDE w:val="0"/>
              <w:autoSpaceDN w:val="0"/>
              <w:spacing w:line="312" w:lineRule="auto"/>
              <w:ind w:left="0" w:firstLine="0"/>
              <w:jc w:val="center"/>
              <w:rPr>
                <w:rFonts w:ascii="宋体" w:hAnsi="宋体"/>
                <w:color w:val="auto"/>
                <w:sz w:val="24"/>
                <w:szCs w:val="24"/>
              </w:rPr>
            </w:pPr>
          </w:p>
        </w:tc>
        <w:tc>
          <w:tcPr>
            <w:tcW w:w="5449" w:type="dxa"/>
            <w:vAlign w:val="center"/>
          </w:tcPr>
          <w:p>
            <w:pPr>
              <w:autoSpaceDE w:val="0"/>
              <w:autoSpaceDN w:val="0"/>
              <w:spacing w:line="312" w:lineRule="auto"/>
              <w:rPr>
                <w:rFonts w:ascii="宋体" w:hAnsi="宋体"/>
                <w:color w:val="auto"/>
                <w:sz w:val="24"/>
                <w:szCs w:val="24"/>
              </w:rPr>
            </w:pPr>
            <w:r>
              <w:rPr>
                <w:rFonts w:hint="eastAsia" w:ascii="宋体" w:hAnsi="宋体"/>
                <w:color w:val="auto"/>
                <w:sz w:val="24"/>
                <w:szCs w:val="24"/>
              </w:rPr>
              <w:t>投标文件内容</w:t>
            </w:r>
          </w:p>
        </w:tc>
        <w:tc>
          <w:tcPr>
            <w:tcW w:w="1350" w:type="dxa"/>
            <w:vAlign w:val="center"/>
          </w:tcPr>
          <w:p>
            <w:pPr>
              <w:autoSpaceDE w:val="0"/>
              <w:autoSpaceDN w:val="0"/>
              <w:spacing w:line="312" w:lineRule="auto"/>
              <w:jc w:val="center"/>
              <w:rPr>
                <w:rFonts w:ascii="宋体" w:hAnsi="宋体"/>
                <w:color w:val="auto"/>
                <w:sz w:val="24"/>
                <w:szCs w:val="24"/>
              </w:rPr>
            </w:pPr>
            <w:r>
              <w:rPr>
                <w:rFonts w:ascii="宋体" w:hAnsi="宋体" w:cs="Arial"/>
                <w:color w:val="auto"/>
                <w:sz w:val="24"/>
                <w:szCs w:val="24"/>
              </w:rPr>
              <w:t>□</w:t>
            </w:r>
            <w:r>
              <w:rPr>
                <w:rFonts w:ascii="宋体" w:hAnsi="宋体"/>
                <w:color w:val="auto"/>
                <w:sz w:val="24"/>
                <w:szCs w:val="24"/>
              </w:rPr>
              <w:t>通</w:t>
            </w:r>
            <w:r>
              <w:rPr>
                <w:rFonts w:hint="eastAsia" w:ascii="宋体" w:hAnsi="宋体"/>
                <w:color w:val="auto"/>
                <w:sz w:val="24"/>
                <w:szCs w:val="24"/>
              </w:rPr>
              <w:t xml:space="preserve">  </w:t>
            </w:r>
            <w:r>
              <w:rPr>
                <w:rFonts w:ascii="宋体" w:hAnsi="宋体"/>
                <w:color w:val="auto"/>
                <w:sz w:val="24"/>
                <w:szCs w:val="24"/>
              </w:rPr>
              <w:t>过</w:t>
            </w:r>
          </w:p>
          <w:p>
            <w:pPr>
              <w:autoSpaceDE w:val="0"/>
              <w:autoSpaceDN w:val="0"/>
              <w:spacing w:line="312" w:lineRule="auto"/>
              <w:jc w:val="center"/>
              <w:rPr>
                <w:rFonts w:ascii="宋体" w:hAnsi="宋体"/>
                <w:color w:val="auto"/>
                <w:sz w:val="24"/>
                <w:szCs w:val="24"/>
              </w:rPr>
            </w:pPr>
            <w:r>
              <w:rPr>
                <w:rFonts w:ascii="宋体" w:hAnsi="宋体" w:cs="Arial"/>
                <w:color w:val="auto"/>
                <w:sz w:val="24"/>
                <w:szCs w:val="24"/>
              </w:rPr>
              <w:t>□</w:t>
            </w:r>
            <w:r>
              <w:rPr>
                <w:rFonts w:ascii="宋体" w:hAnsi="宋体"/>
                <w:color w:val="auto"/>
                <w:sz w:val="24"/>
                <w:szCs w:val="24"/>
              </w:rPr>
              <w:t>不通过</w:t>
            </w:r>
          </w:p>
        </w:tc>
        <w:tc>
          <w:tcPr>
            <w:tcW w:w="1487" w:type="dxa"/>
            <w:vAlign w:val="center"/>
          </w:tcPr>
          <w:p>
            <w:pPr>
              <w:autoSpaceDE w:val="0"/>
              <w:autoSpaceDN w:val="0"/>
              <w:spacing w:line="312" w:lineRule="auto"/>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936" w:type="dxa"/>
            <w:vAlign w:val="center"/>
          </w:tcPr>
          <w:p>
            <w:pPr>
              <w:numPr>
                <w:ilvl w:val="0"/>
                <w:numId w:val="92"/>
              </w:numPr>
              <w:autoSpaceDE w:val="0"/>
              <w:autoSpaceDN w:val="0"/>
              <w:spacing w:line="312" w:lineRule="auto"/>
              <w:ind w:left="0" w:firstLine="0"/>
              <w:jc w:val="center"/>
              <w:rPr>
                <w:rFonts w:ascii="宋体" w:hAnsi="宋体"/>
                <w:color w:val="auto"/>
                <w:sz w:val="24"/>
                <w:szCs w:val="24"/>
              </w:rPr>
            </w:pPr>
          </w:p>
        </w:tc>
        <w:tc>
          <w:tcPr>
            <w:tcW w:w="5449" w:type="dxa"/>
            <w:vAlign w:val="center"/>
          </w:tcPr>
          <w:p>
            <w:pPr>
              <w:autoSpaceDE w:val="0"/>
              <w:autoSpaceDN w:val="0"/>
              <w:spacing w:line="312" w:lineRule="auto"/>
              <w:rPr>
                <w:rFonts w:ascii="宋体" w:hAnsi="宋体"/>
                <w:color w:val="auto"/>
                <w:sz w:val="24"/>
                <w:szCs w:val="24"/>
              </w:rPr>
            </w:pPr>
            <w:r>
              <w:rPr>
                <w:rFonts w:hint="eastAsia" w:ascii="宋体" w:hAnsi="宋体"/>
                <w:color w:val="auto"/>
                <w:sz w:val="24"/>
                <w:szCs w:val="24"/>
              </w:rPr>
              <w:t>实质性要求</w:t>
            </w:r>
          </w:p>
        </w:tc>
        <w:tc>
          <w:tcPr>
            <w:tcW w:w="1350" w:type="dxa"/>
            <w:vAlign w:val="center"/>
          </w:tcPr>
          <w:p>
            <w:pPr>
              <w:autoSpaceDE w:val="0"/>
              <w:autoSpaceDN w:val="0"/>
              <w:spacing w:line="312" w:lineRule="auto"/>
              <w:jc w:val="center"/>
              <w:rPr>
                <w:rFonts w:ascii="宋体" w:hAnsi="宋体"/>
                <w:color w:val="auto"/>
                <w:sz w:val="24"/>
                <w:szCs w:val="24"/>
              </w:rPr>
            </w:pPr>
            <w:r>
              <w:rPr>
                <w:rFonts w:ascii="宋体" w:hAnsi="宋体" w:cs="Arial"/>
                <w:color w:val="auto"/>
                <w:sz w:val="24"/>
                <w:szCs w:val="24"/>
              </w:rPr>
              <w:t>□</w:t>
            </w:r>
            <w:r>
              <w:rPr>
                <w:rFonts w:ascii="宋体" w:hAnsi="宋体"/>
                <w:color w:val="auto"/>
                <w:sz w:val="24"/>
                <w:szCs w:val="24"/>
              </w:rPr>
              <w:t>通</w:t>
            </w:r>
            <w:r>
              <w:rPr>
                <w:rFonts w:hint="eastAsia" w:ascii="宋体" w:hAnsi="宋体"/>
                <w:color w:val="auto"/>
                <w:sz w:val="24"/>
                <w:szCs w:val="24"/>
              </w:rPr>
              <w:t xml:space="preserve">  </w:t>
            </w:r>
            <w:r>
              <w:rPr>
                <w:rFonts w:ascii="宋体" w:hAnsi="宋体"/>
                <w:color w:val="auto"/>
                <w:sz w:val="24"/>
                <w:szCs w:val="24"/>
              </w:rPr>
              <w:t>过</w:t>
            </w:r>
          </w:p>
          <w:p>
            <w:pPr>
              <w:autoSpaceDE w:val="0"/>
              <w:autoSpaceDN w:val="0"/>
              <w:spacing w:line="312" w:lineRule="auto"/>
              <w:jc w:val="center"/>
              <w:rPr>
                <w:rFonts w:ascii="宋体" w:hAnsi="宋体"/>
                <w:color w:val="auto"/>
                <w:sz w:val="24"/>
                <w:szCs w:val="24"/>
              </w:rPr>
            </w:pPr>
            <w:r>
              <w:rPr>
                <w:rFonts w:ascii="宋体" w:hAnsi="宋体" w:cs="Arial"/>
                <w:color w:val="auto"/>
                <w:sz w:val="24"/>
                <w:szCs w:val="24"/>
              </w:rPr>
              <w:t>□</w:t>
            </w:r>
            <w:r>
              <w:rPr>
                <w:rFonts w:ascii="宋体" w:hAnsi="宋体"/>
                <w:color w:val="auto"/>
                <w:sz w:val="24"/>
                <w:szCs w:val="24"/>
              </w:rPr>
              <w:t>不通过</w:t>
            </w:r>
          </w:p>
        </w:tc>
        <w:tc>
          <w:tcPr>
            <w:tcW w:w="1487" w:type="dxa"/>
            <w:vAlign w:val="center"/>
          </w:tcPr>
          <w:p>
            <w:pPr>
              <w:autoSpaceDE w:val="0"/>
              <w:autoSpaceDN w:val="0"/>
              <w:spacing w:line="312" w:lineRule="auto"/>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936" w:type="dxa"/>
            <w:vAlign w:val="center"/>
          </w:tcPr>
          <w:p>
            <w:pPr>
              <w:numPr>
                <w:ilvl w:val="0"/>
                <w:numId w:val="92"/>
              </w:numPr>
              <w:autoSpaceDE w:val="0"/>
              <w:autoSpaceDN w:val="0"/>
              <w:spacing w:line="312" w:lineRule="auto"/>
              <w:ind w:left="0" w:firstLine="0"/>
              <w:jc w:val="center"/>
              <w:rPr>
                <w:rFonts w:ascii="宋体" w:hAnsi="宋体"/>
                <w:color w:val="auto"/>
                <w:sz w:val="24"/>
                <w:szCs w:val="24"/>
              </w:rPr>
            </w:pPr>
          </w:p>
        </w:tc>
        <w:tc>
          <w:tcPr>
            <w:tcW w:w="5449" w:type="dxa"/>
            <w:vAlign w:val="center"/>
          </w:tcPr>
          <w:p>
            <w:pPr>
              <w:autoSpaceDE w:val="0"/>
              <w:autoSpaceDN w:val="0"/>
              <w:spacing w:line="312" w:lineRule="auto"/>
              <w:rPr>
                <w:rFonts w:ascii="宋体" w:hAnsi="宋体"/>
                <w:color w:val="auto"/>
                <w:sz w:val="24"/>
                <w:szCs w:val="24"/>
              </w:rPr>
            </w:pPr>
            <w:r>
              <w:rPr>
                <w:rFonts w:hint="eastAsia" w:ascii="宋体" w:hAnsi="宋体"/>
                <w:color w:val="auto"/>
                <w:sz w:val="24"/>
                <w:szCs w:val="24"/>
              </w:rPr>
              <w:t>进口产品（如适用）</w:t>
            </w:r>
          </w:p>
        </w:tc>
        <w:tc>
          <w:tcPr>
            <w:tcW w:w="1350" w:type="dxa"/>
            <w:vAlign w:val="center"/>
          </w:tcPr>
          <w:p>
            <w:pPr>
              <w:autoSpaceDE w:val="0"/>
              <w:autoSpaceDN w:val="0"/>
              <w:spacing w:line="312" w:lineRule="auto"/>
              <w:jc w:val="center"/>
              <w:rPr>
                <w:rFonts w:ascii="宋体" w:hAnsi="宋体"/>
                <w:color w:val="auto"/>
                <w:sz w:val="24"/>
                <w:szCs w:val="24"/>
              </w:rPr>
            </w:pPr>
            <w:r>
              <w:rPr>
                <w:rFonts w:ascii="宋体" w:hAnsi="宋体" w:cs="Arial"/>
                <w:color w:val="auto"/>
                <w:sz w:val="24"/>
                <w:szCs w:val="24"/>
              </w:rPr>
              <w:t>□</w:t>
            </w:r>
            <w:r>
              <w:rPr>
                <w:rFonts w:ascii="宋体" w:hAnsi="宋体"/>
                <w:color w:val="auto"/>
                <w:sz w:val="24"/>
                <w:szCs w:val="24"/>
              </w:rPr>
              <w:t>通</w:t>
            </w:r>
            <w:r>
              <w:rPr>
                <w:rFonts w:hint="eastAsia" w:ascii="宋体" w:hAnsi="宋体"/>
                <w:color w:val="auto"/>
                <w:sz w:val="24"/>
                <w:szCs w:val="24"/>
              </w:rPr>
              <w:t xml:space="preserve">  </w:t>
            </w:r>
            <w:r>
              <w:rPr>
                <w:rFonts w:ascii="宋体" w:hAnsi="宋体"/>
                <w:color w:val="auto"/>
                <w:sz w:val="24"/>
                <w:szCs w:val="24"/>
              </w:rPr>
              <w:t>过</w:t>
            </w:r>
          </w:p>
          <w:p>
            <w:pPr>
              <w:autoSpaceDE w:val="0"/>
              <w:autoSpaceDN w:val="0"/>
              <w:spacing w:line="312" w:lineRule="auto"/>
              <w:jc w:val="center"/>
              <w:rPr>
                <w:rFonts w:ascii="宋体" w:hAnsi="宋体" w:cs="Arial"/>
                <w:color w:val="auto"/>
                <w:sz w:val="24"/>
                <w:szCs w:val="24"/>
              </w:rPr>
            </w:pPr>
            <w:r>
              <w:rPr>
                <w:rFonts w:ascii="宋体" w:hAnsi="宋体" w:cs="Arial"/>
                <w:color w:val="auto"/>
                <w:sz w:val="24"/>
                <w:szCs w:val="24"/>
              </w:rPr>
              <w:t>□</w:t>
            </w:r>
            <w:r>
              <w:rPr>
                <w:rFonts w:ascii="宋体" w:hAnsi="宋体"/>
                <w:color w:val="auto"/>
                <w:sz w:val="24"/>
                <w:szCs w:val="24"/>
              </w:rPr>
              <w:t>不通过</w:t>
            </w:r>
          </w:p>
        </w:tc>
        <w:tc>
          <w:tcPr>
            <w:tcW w:w="1487" w:type="dxa"/>
            <w:vAlign w:val="center"/>
          </w:tcPr>
          <w:p>
            <w:pPr>
              <w:autoSpaceDE w:val="0"/>
              <w:autoSpaceDN w:val="0"/>
              <w:spacing w:line="312" w:lineRule="auto"/>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936" w:type="dxa"/>
            <w:vAlign w:val="center"/>
          </w:tcPr>
          <w:p>
            <w:pPr>
              <w:numPr>
                <w:ilvl w:val="0"/>
                <w:numId w:val="92"/>
              </w:numPr>
              <w:autoSpaceDE w:val="0"/>
              <w:autoSpaceDN w:val="0"/>
              <w:spacing w:line="312" w:lineRule="auto"/>
              <w:ind w:left="0" w:firstLine="0"/>
              <w:jc w:val="center"/>
              <w:rPr>
                <w:rFonts w:ascii="宋体" w:hAnsi="宋体"/>
                <w:color w:val="auto"/>
                <w:sz w:val="24"/>
                <w:szCs w:val="24"/>
              </w:rPr>
            </w:pPr>
          </w:p>
        </w:tc>
        <w:tc>
          <w:tcPr>
            <w:tcW w:w="5449" w:type="dxa"/>
            <w:vAlign w:val="center"/>
          </w:tcPr>
          <w:p>
            <w:pPr>
              <w:autoSpaceDE w:val="0"/>
              <w:autoSpaceDN w:val="0"/>
              <w:spacing w:line="312" w:lineRule="auto"/>
              <w:rPr>
                <w:rFonts w:ascii="宋体" w:hAnsi="宋体"/>
                <w:color w:val="auto"/>
                <w:sz w:val="24"/>
                <w:szCs w:val="24"/>
              </w:rPr>
            </w:pPr>
            <w:r>
              <w:rPr>
                <w:rFonts w:hint="eastAsia" w:ascii="宋体" w:hAnsi="宋体"/>
                <w:color w:val="auto"/>
                <w:sz w:val="24"/>
                <w:szCs w:val="24"/>
              </w:rPr>
              <w:t>投标方案</w:t>
            </w:r>
          </w:p>
        </w:tc>
        <w:tc>
          <w:tcPr>
            <w:tcW w:w="1350" w:type="dxa"/>
            <w:vAlign w:val="center"/>
          </w:tcPr>
          <w:p>
            <w:pPr>
              <w:autoSpaceDE w:val="0"/>
              <w:autoSpaceDN w:val="0"/>
              <w:spacing w:line="312" w:lineRule="auto"/>
              <w:jc w:val="center"/>
              <w:rPr>
                <w:rFonts w:ascii="宋体" w:hAnsi="宋体"/>
                <w:color w:val="auto"/>
                <w:sz w:val="24"/>
                <w:szCs w:val="24"/>
              </w:rPr>
            </w:pPr>
            <w:r>
              <w:rPr>
                <w:rFonts w:ascii="宋体" w:hAnsi="宋体" w:cs="Arial"/>
                <w:color w:val="auto"/>
                <w:sz w:val="24"/>
                <w:szCs w:val="24"/>
              </w:rPr>
              <w:t>□</w:t>
            </w:r>
            <w:r>
              <w:rPr>
                <w:rFonts w:ascii="宋体" w:hAnsi="宋体"/>
                <w:color w:val="auto"/>
                <w:sz w:val="24"/>
                <w:szCs w:val="24"/>
              </w:rPr>
              <w:t>通</w:t>
            </w:r>
            <w:r>
              <w:rPr>
                <w:rFonts w:hint="eastAsia" w:ascii="宋体" w:hAnsi="宋体"/>
                <w:color w:val="auto"/>
                <w:sz w:val="24"/>
                <w:szCs w:val="24"/>
              </w:rPr>
              <w:t xml:space="preserve">  </w:t>
            </w:r>
            <w:r>
              <w:rPr>
                <w:rFonts w:ascii="宋体" w:hAnsi="宋体"/>
                <w:color w:val="auto"/>
                <w:sz w:val="24"/>
                <w:szCs w:val="24"/>
              </w:rPr>
              <w:t>过</w:t>
            </w:r>
          </w:p>
          <w:p>
            <w:pPr>
              <w:autoSpaceDE w:val="0"/>
              <w:autoSpaceDN w:val="0"/>
              <w:spacing w:line="312" w:lineRule="auto"/>
              <w:jc w:val="center"/>
              <w:rPr>
                <w:rFonts w:ascii="宋体" w:hAnsi="宋体" w:cs="Arial"/>
                <w:color w:val="auto"/>
                <w:sz w:val="24"/>
                <w:szCs w:val="24"/>
              </w:rPr>
            </w:pPr>
            <w:r>
              <w:rPr>
                <w:rFonts w:ascii="宋体" w:hAnsi="宋体" w:cs="Arial"/>
                <w:color w:val="auto"/>
                <w:sz w:val="24"/>
                <w:szCs w:val="24"/>
              </w:rPr>
              <w:t>□</w:t>
            </w:r>
            <w:r>
              <w:rPr>
                <w:rFonts w:ascii="宋体" w:hAnsi="宋体"/>
                <w:color w:val="auto"/>
                <w:sz w:val="24"/>
                <w:szCs w:val="24"/>
              </w:rPr>
              <w:t>不通过</w:t>
            </w:r>
          </w:p>
        </w:tc>
        <w:tc>
          <w:tcPr>
            <w:tcW w:w="1487" w:type="dxa"/>
            <w:vAlign w:val="center"/>
          </w:tcPr>
          <w:p>
            <w:pPr>
              <w:autoSpaceDE w:val="0"/>
              <w:autoSpaceDN w:val="0"/>
              <w:spacing w:line="312" w:lineRule="auto"/>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936" w:type="dxa"/>
            <w:vAlign w:val="center"/>
          </w:tcPr>
          <w:p>
            <w:pPr>
              <w:numPr>
                <w:ilvl w:val="0"/>
                <w:numId w:val="92"/>
              </w:numPr>
              <w:autoSpaceDE w:val="0"/>
              <w:autoSpaceDN w:val="0"/>
              <w:spacing w:line="312" w:lineRule="auto"/>
              <w:ind w:left="0" w:firstLine="0"/>
              <w:jc w:val="center"/>
              <w:rPr>
                <w:rFonts w:ascii="宋体" w:hAnsi="宋体"/>
                <w:color w:val="auto"/>
                <w:sz w:val="24"/>
                <w:szCs w:val="24"/>
              </w:rPr>
            </w:pPr>
          </w:p>
        </w:tc>
        <w:tc>
          <w:tcPr>
            <w:tcW w:w="5449" w:type="dxa"/>
            <w:vAlign w:val="center"/>
          </w:tcPr>
          <w:p>
            <w:pPr>
              <w:autoSpaceDE w:val="0"/>
              <w:autoSpaceDN w:val="0"/>
              <w:spacing w:line="312" w:lineRule="auto"/>
              <w:rPr>
                <w:rFonts w:ascii="宋体" w:hAnsi="宋体"/>
                <w:color w:val="auto"/>
                <w:sz w:val="24"/>
                <w:szCs w:val="24"/>
              </w:rPr>
            </w:pPr>
            <w:r>
              <w:rPr>
                <w:rFonts w:hint="eastAsia" w:ascii="宋体" w:hAnsi="宋体"/>
                <w:color w:val="auto"/>
                <w:sz w:val="24"/>
                <w:szCs w:val="24"/>
              </w:rPr>
              <w:t>投标保证金</w:t>
            </w:r>
          </w:p>
          <w:p>
            <w:pPr>
              <w:autoSpaceDE w:val="0"/>
              <w:autoSpaceDN w:val="0"/>
              <w:spacing w:line="312" w:lineRule="auto"/>
              <w:rPr>
                <w:rFonts w:ascii="宋体" w:hAnsi="宋体"/>
                <w:color w:val="auto"/>
                <w:sz w:val="24"/>
                <w:szCs w:val="24"/>
              </w:rPr>
            </w:pPr>
            <w:r>
              <w:rPr>
                <w:rFonts w:hint="eastAsia" w:ascii="宋体" w:hAnsi="宋体"/>
                <w:color w:val="auto"/>
                <w:sz w:val="24"/>
                <w:szCs w:val="24"/>
              </w:rPr>
              <w:t>（如适用）</w:t>
            </w:r>
          </w:p>
        </w:tc>
        <w:tc>
          <w:tcPr>
            <w:tcW w:w="1350" w:type="dxa"/>
            <w:vAlign w:val="center"/>
          </w:tcPr>
          <w:p>
            <w:pPr>
              <w:autoSpaceDE w:val="0"/>
              <w:autoSpaceDN w:val="0"/>
              <w:spacing w:line="312" w:lineRule="auto"/>
              <w:jc w:val="center"/>
              <w:rPr>
                <w:rFonts w:ascii="宋体" w:hAnsi="宋体"/>
                <w:color w:val="auto"/>
                <w:sz w:val="24"/>
                <w:szCs w:val="24"/>
              </w:rPr>
            </w:pPr>
            <w:r>
              <w:rPr>
                <w:rFonts w:ascii="宋体" w:hAnsi="宋体" w:cs="Arial"/>
                <w:color w:val="auto"/>
                <w:sz w:val="24"/>
                <w:szCs w:val="24"/>
              </w:rPr>
              <w:t>□</w:t>
            </w:r>
            <w:r>
              <w:rPr>
                <w:rFonts w:ascii="宋体" w:hAnsi="宋体"/>
                <w:color w:val="auto"/>
                <w:sz w:val="24"/>
                <w:szCs w:val="24"/>
              </w:rPr>
              <w:t>通</w:t>
            </w:r>
            <w:r>
              <w:rPr>
                <w:rFonts w:hint="eastAsia" w:ascii="宋体" w:hAnsi="宋体"/>
                <w:color w:val="auto"/>
                <w:sz w:val="24"/>
                <w:szCs w:val="24"/>
              </w:rPr>
              <w:t xml:space="preserve">  </w:t>
            </w:r>
            <w:r>
              <w:rPr>
                <w:rFonts w:ascii="宋体" w:hAnsi="宋体"/>
                <w:color w:val="auto"/>
                <w:sz w:val="24"/>
                <w:szCs w:val="24"/>
              </w:rPr>
              <w:t>过</w:t>
            </w:r>
          </w:p>
          <w:p>
            <w:pPr>
              <w:autoSpaceDE w:val="0"/>
              <w:autoSpaceDN w:val="0"/>
              <w:spacing w:line="312" w:lineRule="auto"/>
              <w:jc w:val="center"/>
              <w:rPr>
                <w:rFonts w:ascii="宋体" w:hAnsi="宋体" w:cs="Arial"/>
                <w:color w:val="auto"/>
                <w:sz w:val="24"/>
                <w:szCs w:val="24"/>
              </w:rPr>
            </w:pPr>
            <w:r>
              <w:rPr>
                <w:rFonts w:ascii="宋体" w:hAnsi="宋体" w:cs="Arial"/>
                <w:color w:val="auto"/>
                <w:sz w:val="24"/>
                <w:szCs w:val="24"/>
              </w:rPr>
              <w:t>□</w:t>
            </w:r>
            <w:r>
              <w:rPr>
                <w:rFonts w:ascii="宋体" w:hAnsi="宋体"/>
                <w:color w:val="auto"/>
                <w:sz w:val="24"/>
                <w:szCs w:val="24"/>
              </w:rPr>
              <w:t>不通过</w:t>
            </w:r>
          </w:p>
        </w:tc>
        <w:tc>
          <w:tcPr>
            <w:tcW w:w="1487" w:type="dxa"/>
            <w:vAlign w:val="center"/>
          </w:tcPr>
          <w:p>
            <w:pPr>
              <w:autoSpaceDE w:val="0"/>
              <w:autoSpaceDN w:val="0"/>
              <w:spacing w:line="312" w:lineRule="auto"/>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936" w:type="dxa"/>
            <w:vAlign w:val="center"/>
          </w:tcPr>
          <w:p>
            <w:pPr>
              <w:numPr>
                <w:ilvl w:val="0"/>
                <w:numId w:val="92"/>
              </w:numPr>
              <w:autoSpaceDE w:val="0"/>
              <w:autoSpaceDN w:val="0"/>
              <w:spacing w:line="312" w:lineRule="auto"/>
              <w:ind w:left="0" w:firstLine="0"/>
              <w:jc w:val="center"/>
              <w:rPr>
                <w:rFonts w:ascii="宋体" w:hAnsi="宋体"/>
                <w:color w:val="auto"/>
                <w:sz w:val="24"/>
                <w:szCs w:val="24"/>
              </w:rPr>
            </w:pPr>
          </w:p>
        </w:tc>
        <w:tc>
          <w:tcPr>
            <w:tcW w:w="5449" w:type="dxa"/>
            <w:vAlign w:val="center"/>
          </w:tcPr>
          <w:p>
            <w:pPr>
              <w:autoSpaceDE w:val="0"/>
              <w:autoSpaceDN w:val="0"/>
              <w:spacing w:line="312" w:lineRule="auto"/>
              <w:rPr>
                <w:rFonts w:ascii="宋体" w:hAnsi="宋体"/>
                <w:color w:val="auto"/>
                <w:sz w:val="24"/>
                <w:szCs w:val="24"/>
              </w:rPr>
            </w:pPr>
            <w:r>
              <w:rPr>
                <w:rFonts w:hint="eastAsia" w:ascii="宋体" w:hAnsi="宋体"/>
                <w:color w:val="auto"/>
                <w:sz w:val="24"/>
                <w:szCs w:val="24"/>
              </w:rPr>
              <w:t>投标报价</w:t>
            </w:r>
          </w:p>
        </w:tc>
        <w:tc>
          <w:tcPr>
            <w:tcW w:w="1350" w:type="dxa"/>
            <w:vAlign w:val="center"/>
          </w:tcPr>
          <w:p>
            <w:pPr>
              <w:autoSpaceDE w:val="0"/>
              <w:autoSpaceDN w:val="0"/>
              <w:spacing w:line="312" w:lineRule="auto"/>
              <w:jc w:val="center"/>
              <w:rPr>
                <w:rFonts w:ascii="宋体" w:hAnsi="宋体"/>
                <w:color w:val="auto"/>
                <w:sz w:val="24"/>
                <w:szCs w:val="24"/>
              </w:rPr>
            </w:pPr>
            <w:r>
              <w:rPr>
                <w:rFonts w:ascii="宋体" w:hAnsi="宋体" w:cs="Arial"/>
                <w:color w:val="auto"/>
                <w:sz w:val="24"/>
                <w:szCs w:val="24"/>
              </w:rPr>
              <w:t>□</w:t>
            </w:r>
            <w:r>
              <w:rPr>
                <w:rFonts w:ascii="宋体" w:hAnsi="宋体"/>
                <w:color w:val="auto"/>
                <w:sz w:val="24"/>
                <w:szCs w:val="24"/>
              </w:rPr>
              <w:t>通</w:t>
            </w:r>
            <w:r>
              <w:rPr>
                <w:rFonts w:hint="eastAsia" w:ascii="宋体" w:hAnsi="宋体"/>
                <w:color w:val="auto"/>
                <w:sz w:val="24"/>
                <w:szCs w:val="24"/>
              </w:rPr>
              <w:t xml:space="preserve">  </w:t>
            </w:r>
            <w:r>
              <w:rPr>
                <w:rFonts w:ascii="宋体" w:hAnsi="宋体"/>
                <w:color w:val="auto"/>
                <w:sz w:val="24"/>
                <w:szCs w:val="24"/>
              </w:rPr>
              <w:t>过</w:t>
            </w:r>
          </w:p>
          <w:p>
            <w:pPr>
              <w:autoSpaceDE w:val="0"/>
              <w:autoSpaceDN w:val="0"/>
              <w:spacing w:line="312" w:lineRule="auto"/>
              <w:jc w:val="center"/>
              <w:rPr>
                <w:rFonts w:ascii="宋体" w:hAnsi="宋体" w:cs="Arial"/>
                <w:color w:val="auto"/>
                <w:sz w:val="24"/>
                <w:szCs w:val="24"/>
              </w:rPr>
            </w:pPr>
            <w:r>
              <w:rPr>
                <w:rFonts w:ascii="宋体" w:hAnsi="宋体" w:cs="Arial"/>
                <w:color w:val="auto"/>
                <w:sz w:val="24"/>
                <w:szCs w:val="24"/>
              </w:rPr>
              <w:t>□</w:t>
            </w:r>
            <w:r>
              <w:rPr>
                <w:rFonts w:ascii="宋体" w:hAnsi="宋体"/>
                <w:color w:val="auto"/>
                <w:sz w:val="24"/>
                <w:szCs w:val="24"/>
              </w:rPr>
              <w:t>不通过</w:t>
            </w:r>
          </w:p>
        </w:tc>
        <w:tc>
          <w:tcPr>
            <w:tcW w:w="1487" w:type="dxa"/>
            <w:vAlign w:val="center"/>
          </w:tcPr>
          <w:p>
            <w:pPr>
              <w:autoSpaceDE w:val="0"/>
              <w:autoSpaceDN w:val="0"/>
              <w:spacing w:line="312" w:lineRule="auto"/>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936" w:type="dxa"/>
            <w:vAlign w:val="center"/>
          </w:tcPr>
          <w:p>
            <w:pPr>
              <w:numPr>
                <w:ilvl w:val="0"/>
                <w:numId w:val="92"/>
              </w:numPr>
              <w:autoSpaceDE w:val="0"/>
              <w:autoSpaceDN w:val="0"/>
              <w:spacing w:line="312" w:lineRule="auto"/>
              <w:ind w:left="0" w:firstLine="0"/>
              <w:jc w:val="center"/>
              <w:rPr>
                <w:rFonts w:ascii="宋体" w:hAnsi="宋体"/>
                <w:color w:val="auto"/>
                <w:sz w:val="24"/>
                <w:szCs w:val="24"/>
              </w:rPr>
            </w:pPr>
          </w:p>
        </w:tc>
        <w:tc>
          <w:tcPr>
            <w:tcW w:w="5449" w:type="dxa"/>
            <w:vAlign w:val="center"/>
          </w:tcPr>
          <w:p>
            <w:pPr>
              <w:autoSpaceDE w:val="0"/>
              <w:autoSpaceDN w:val="0"/>
              <w:spacing w:line="312" w:lineRule="auto"/>
              <w:rPr>
                <w:rFonts w:ascii="宋体" w:hAnsi="宋体"/>
                <w:color w:val="auto"/>
                <w:sz w:val="24"/>
                <w:szCs w:val="24"/>
              </w:rPr>
            </w:pPr>
            <w:r>
              <w:rPr>
                <w:rFonts w:hint="eastAsia" w:ascii="宋体" w:hAnsi="宋体"/>
                <w:color w:val="auto"/>
                <w:sz w:val="24"/>
                <w:szCs w:val="24"/>
              </w:rPr>
              <w:t>无效情形（根据投标函第（十）点的声明情况进行评审）</w:t>
            </w:r>
          </w:p>
        </w:tc>
        <w:tc>
          <w:tcPr>
            <w:tcW w:w="1350" w:type="dxa"/>
            <w:vAlign w:val="center"/>
          </w:tcPr>
          <w:p>
            <w:pPr>
              <w:autoSpaceDE w:val="0"/>
              <w:autoSpaceDN w:val="0"/>
              <w:spacing w:line="312" w:lineRule="auto"/>
              <w:jc w:val="center"/>
              <w:rPr>
                <w:rFonts w:ascii="宋体" w:hAnsi="宋体"/>
                <w:color w:val="auto"/>
                <w:sz w:val="24"/>
                <w:szCs w:val="24"/>
              </w:rPr>
            </w:pPr>
            <w:r>
              <w:rPr>
                <w:rFonts w:ascii="宋体" w:hAnsi="宋体" w:cs="Arial"/>
                <w:color w:val="auto"/>
                <w:sz w:val="24"/>
                <w:szCs w:val="24"/>
              </w:rPr>
              <w:t>□</w:t>
            </w:r>
            <w:r>
              <w:rPr>
                <w:rFonts w:ascii="宋体" w:hAnsi="宋体"/>
                <w:color w:val="auto"/>
                <w:sz w:val="24"/>
                <w:szCs w:val="24"/>
              </w:rPr>
              <w:t>通</w:t>
            </w:r>
            <w:r>
              <w:rPr>
                <w:rFonts w:hint="eastAsia" w:ascii="宋体" w:hAnsi="宋体"/>
                <w:color w:val="auto"/>
                <w:sz w:val="24"/>
                <w:szCs w:val="24"/>
              </w:rPr>
              <w:t xml:space="preserve">  </w:t>
            </w:r>
            <w:r>
              <w:rPr>
                <w:rFonts w:ascii="宋体" w:hAnsi="宋体"/>
                <w:color w:val="auto"/>
                <w:sz w:val="24"/>
                <w:szCs w:val="24"/>
              </w:rPr>
              <w:t>过</w:t>
            </w:r>
          </w:p>
          <w:p>
            <w:pPr>
              <w:autoSpaceDE w:val="0"/>
              <w:autoSpaceDN w:val="0"/>
              <w:spacing w:line="312" w:lineRule="auto"/>
              <w:jc w:val="center"/>
              <w:rPr>
                <w:rFonts w:ascii="宋体" w:hAnsi="宋体" w:cs="Arial"/>
                <w:color w:val="auto"/>
                <w:sz w:val="24"/>
                <w:szCs w:val="24"/>
              </w:rPr>
            </w:pPr>
            <w:r>
              <w:rPr>
                <w:rFonts w:ascii="宋体" w:hAnsi="宋体" w:cs="Arial"/>
                <w:color w:val="auto"/>
                <w:sz w:val="24"/>
                <w:szCs w:val="24"/>
              </w:rPr>
              <w:t>□</w:t>
            </w:r>
            <w:r>
              <w:rPr>
                <w:rFonts w:ascii="宋体" w:hAnsi="宋体"/>
                <w:color w:val="auto"/>
                <w:sz w:val="24"/>
                <w:szCs w:val="24"/>
              </w:rPr>
              <w:t>不通过</w:t>
            </w:r>
          </w:p>
        </w:tc>
        <w:tc>
          <w:tcPr>
            <w:tcW w:w="1487" w:type="dxa"/>
            <w:vAlign w:val="center"/>
          </w:tcPr>
          <w:p>
            <w:pPr>
              <w:autoSpaceDE w:val="0"/>
              <w:autoSpaceDN w:val="0"/>
              <w:spacing w:line="312" w:lineRule="auto"/>
              <w:jc w:val="center"/>
              <w:rPr>
                <w:rFonts w:ascii="宋体" w:hAnsi="宋体"/>
                <w:color w:val="auto"/>
                <w:sz w:val="24"/>
                <w:szCs w:val="24"/>
              </w:rPr>
            </w:pPr>
          </w:p>
        </w:tc>
      </w:tr>
    </w:tbl>
    <w:p>
      <w:pPr>
        <w:autoSpaceDE w:val="0"/>
        <w:autoSpaceDN w:val="0"/>
        <w:spacing w:line="360" w:lineRule="auto"/>
        <w:rPr>
          <w:rFonts w:ascii="宋体" w:hAnsi="宋体"/>
          <w:color w:val="auto"/>
          <w:sz w:val="24"/>
          <w:szCs w:val="24"/>
        </w:rPr>
      </w:pPr>
    </w:p>
    <w:p>
      <w:pPr>
        <w:autoSpaceDE w:val="0"/>
        <w:autoSpaceDN w:val="0"/>
        <w:rPr>
          <w:rFonts w:ascii="宋体" w:hAnsi="宋体"/>
          <w:b/>
          <w:color w:val="auto"/>
          <w:sz w:val="24"/>
          <w:szCs w:val="24"/>
        </w:rPr>
      </w:pPr>
      <w:r>
        <w:rPr>
          <w:rFonts w:hint="eastAsia" w:ascii="宋体" w:hAnsi="宋体"/>
          <w:b/>
          <w:color w:val="auto"/>
          <w:sz w:val="24"/>
          <w:szCs w:val="24"/>
        </w:rPr>
        <w:t>备注：</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1.以上材料将作为投标人有效性审核的重要内容之一，投标人应当严格按照其内容及序列要求在投标文件中对应如实提供，对符合性证明文件的任何缺漏和不符合项将会直接导致无效投标！</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2.请根据自身响应情况勾选（在□内打√）“自查结论”栏目相应结论。</w:t>
      </w:r>
    </w:p>
    <w:p>
      <w:pPr>
        <w:autoSpaceDE w:val="0"/>
        <w:autoSpaceDN w:val="0"/>
        <w:spacing w:line="360" w:lineRule="auto"/>
        <w:rPr>
          <w:rFonts w:ascii="宋体" w:hAnsi="宋体"/>
          <w:color w:val="auto"/>
          <w:sz w:val="24"/>
          <w:szCs w:val="24"/>
        </w:rPr>
      </w:pPr>
    </w:p>
    <w:p>
      <w:pPr>
        <w:pStyle w:val="6"/>
        <w:numPr>
          <w:ilvl w:val="0"/>
          <w:numId w:val="0"/>
        </w:numPr>
        <w:tabs>
          <w:tab w:val="left" w:pos="945"/>
        </w:tabs>
        <w:rPr>
          <w:rFonts w:ascii="宋体" w:hAnsi="宋体"/>
          <w:color w:val="auto"/>
          <w:szCs w:val="24"/>
        </w:rPr>
      </w:pPr>
      <w:bookmarkStart w:id="386" w:name="_Toc22806194"/>
      <w:r>
        <w:rPr>
          <w:rFonts w:ascii="宋体" w:hAnsi="宋体"/>
          <w:color w:val="auto"/>
          <w:szCs w:val="24"/>
        </w:rPr>
        <w:br w:type="page"/>
      </w:r>
      <w:r>
        <w:rPr>
          <w:rFonts w:hint="eastAsia" w:ascii="宋体" w:hAnsi="宋体"/>
          <w:color w:val="auto"/>
          <w:szCs w:val="24"/>
        </w:rPr>
        <w:t>1.3实质性条款响应自查表</w:t>
      </w:r>
      <w:bookmarkEnd w:id="386"/>
      <w:r>
        <w:rPr>
          <w:rFonts w:hint="eastAsia" w:ascii="宋体" w:hAnsi="宋体"/>
          <w:color w:val="auto"/>
          <w:szCs w:val="24"/>
        </w:rPr>
        <w:t>（实质性响应一览表）</w:t>
      </w:r>
    </w:p>
    <w:p>
      <w:pPr>
        <w:autoSpaceDE w:val="0"/>
        <w:autoSpaceDN w:val="0"/>
        <w:spacing w:line="360" w:lineRule="auto"/>
        <w:jc w:val="center"/>
        <w:rPr>
          <w:rFonts w:ascii="宋体" w:hAnsi="宋体"/>
          <w:b/>
          <w:color w:val="auto"/>
          <w:sz w:val="32"/>
          <w:szCs w:val="32"/>
        </w:rPr>
      </w:pPr>
      <w:r>
        <w:rPr>
          <w:rFonts w:hint="eastAsia" w:ascii="宋体" w:hAnsi="宋体"/>
          <w:b/>
          <w:color w:val="auto"/>
          <w:sz w:val="32"/>
          <w:szCs w:val="32"/>
        </w:rPr>
        <w:t>实质性条款响应自查表（实质性响应一览表）</w:t>
      </w:r>
    </w:p>
    <w:p>
      <w:pPr>
        <w:autoSpaceDE w:val="0"/>
        <w:autoSpaceDN w:val="0"/>
        <w:spacing w:line="360" w:lineRule="auto"/>
        <w:rPr>
          <w:rFonts w:hint="eastAsia" w:ascii="宋体" w:hAnsi="宋体" w:eastAsia="宋体"/>
          <w:color w:val="auto"/>
          <w:sz w:val="24"/>
          <w:szCs w:val="24"/>
          <w:lang w:eastAsia="zh-CN"/>
        </w:rPr>
      </w:pPr>
      <w:r>
        <w:rPr>
          <w:rFonts w:hint="eastAsia" w:ascii="宋体" w:hAnsi="宋体"/>
          <w:color w:val="auto"/>
          <w:sz w:val="24"/>
          <w:szCs w:val="24"/>
        </w:rPr>
        <w:t>采购项目名称：</w:t>
      </w:r>
      <w:r>
        <w:rPr>
          <w:rFonts w:hint="eastAsia" w:ascii="宋体" w:hAnsi="宋体"/>
          <w:color w:val="auto"/>
          <w:sz w:val="24"/>
          <w:szCs w:val="24"/>
          <w:lang w:eastAsia="zh-CN"/>
        </w:rPr>
        <w:t>工业和信息化部电子第五研究所动力电池配套使用环境试验箱采购项目</w:t>
      </w:r>
    </w:p>
    <w:p>
      <w:pPr>
        <w:autoSpaceDE w:val="0"/>
        <w:autoSpaceDN w:val="0"/>
        <w:spacing w:line="360" w:lineRule="auto"/>
        <w:rPr>
          <w:rFonts w:ascii="宋体" w:hAnsi="宋体"/>
          <w:color w:val="auto"/>
          <w:sz w:val="24"/>
          <w:szCs w:val="24"/>
        </w:rPr>
      </w:pPr>
      <w:r>
        <w:rPr>
          <w:rFonts w:hint="eastAsia" w:ascii="宋体" w:hAnsi="宋体"/>
          <w:color w:val="auto"/>
          <w:sz w:val="24"/>
          <w:szCs w:val="24"/>
        </w:rPr>
        <w:t>采购包号：</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4159"/>
        <w:gridCol w:w="1561"/>
        <w:gridCol w:w="1187"/>
        <w:gridCol w:w="1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color w:val="auto"/>
                <w:sz w:val="24"/>
                <w:szCs w:val="24"/>
              </w:rPr>
            </w:pPr>
            <w:r>
              <w:rPr>
                <w:rFonts w:hint="eastAsia" w:ascii="宋体" w:hAnsi="宋体"/>
                <w:b/>
                <w:bCs/>
                <w:color w:val="auto"/>
                <w:sz w:val="24"/>
                <w:szCs w:val="24"/>
              </w:rPr>
              <w:t>序号</w:t>
            </w:r>
          </w:p>
        </w:tc>
        <w:tc>
          <w:tcPr>
            <w:tcW w:w="415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color w:val="auto"/>
                <w:sz w:val="24"/>
                <w:szCs w:val="24"/>
              </w:rPr>
            </w:pPr>
            <w:r>
              <w:rPr>
                <w:rFonts w:hint="eastAsia" w:ascii="宋体" w:hAnsi="宋体"/>
                <w:b/>
                <w:bCs/>
                <w:color w:val="auto"/>
                <w:sz w:val="24"/>
                <w:szCs w:val="24"/>
                <w:lang w:val="en-GB"/>
              </w:rPr>
              <w:t>实质性</w:t>
            </w:r>
            <w:r>
              <w:rPr>
                <w:rFonts w:hint="eastAsia" w:ascii="宋体" w:hAnsi="宋体"/>
                <w:b/>
                <w:bCs/>
                <w:color w:val="auto"/>
                <w:sz w:val="24"/>
                <w:szCs w:val="24"/>
              </w:rPr>
              <w:t>条款要求</w:t>
            </w:r>
          </w:p>
        </w:tc>
        <w:tc>
          <w:tcPr>
            <w:tcW w:w="156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color w:val="auto"/>
                <w:sz w:val="24"/>
                <w:szCs w:val="24"/>
              </w:rPr>
            </w:pPr>
            <w:r>
              <w:rPr>
                <w:rFonts w:hint="eastAsia" w:ascii="宋体" w:hAnsi="宋体"/>
                <w:b/>
                <w:bCs/>
                <w:color w:val="auto"/>
                <w:sz w:val="24"/>
                <w:szCs w:val="24"/>
              </w:rPr>
              <w:t>实质性条款响应情况</w:t>
            </w:r>
          </w:p>
        </w:tc>
        <w:tc>
          <w:tcPr>
            <w:tcW w:w="118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color w:val="auto"/>
                <w:sz w:val="24"/>
                <w:szCs w:val="24"/>
              </w:rPr>
            </w:pPr>
            <w:r>
              <w:rPr>
                <w:rFonts w:hint="eastAsia" w:ascii="宋体" w:hAnsi="宋体"/>
                <w:b/>
                <w:bCs/>
                <w:color w:val="auto"/>
                <w:sz w:val="24"/>
                <w:szCs w:val="24"/>
              </w:rPr>
              <w:t>自查结论</w:t>
            </w:r>
          </w:p>
        </w:tc>
        <w:tc>
          <w:tcPr>
            <w:tcW w:w="149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color w:val="auto"/>
                <w:sz w:val="24"/>
                <w:szCs w:val="24"/>
              </w:rPr>
            </w:pPr>
            <w:r>
              <w:rPr>
                <w:rFonts w:hint="eastAsia" w:ascii="宋体" w:hAnsi="宋体"/>
                <w:b/>
                <w:bCs/>
                <w:color w:val="auto"/>
                <w:sz w:val="24"/>
                <w:szCs w:val="24"/>
              </w:rPr>
              <w:t>证明文件所在页码范围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numPr>
                <w:ilvl w:val="1"/>
                <w:numId w:val="93"/>
              </w:numPr>
              <w:jc w:val="center"/>
              <w:rPr>
                <w:rFonts w:ascii="宋体" w:hAnsi="宋体"/>
                <w:color w:val="auto"/>
                <w:sz w:val="24"/>
                <w:szCs w:val="24"/>
              </w:rPr>
            </w:pPr>
          </w:p>
        </w:tc>
        <w:tc>
          <w:tcPr>
            <w:tcW w:w="4159"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4"/>
                <w:szCs w:val="24"/>
              </w:rPr>
            </w:pPr>
            <w:r>
              <w:rPr>
                <w:rFonts w:hint="eastAsia" w:ascii="宋体" w:hAnsi="宋体"/>
                <w:color w:val="auto"/>
                <w:sz w:val="24"/>
                <w:szCs w:val="24"/>
              </w:rPr>
              <w:t>合同履行期限</w:t>
            </w:r>
          </w:p>
        </w:tc>
        <w:tc>
          <w:tcPr>
            <w:tcW w:w="1561"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4"/>
                <w:szCs w:val="24"/>
              </w:rPr>
            </w:pPr>
          </w:p>
        </w:tc>
        <w:tc>
          <w:tcPr>
            <w:tcW w:w="118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r>
              <w:rPr>
                <w:rFonts w:hint="eastAsia" w:ascii="宋体" w:hAnsi="宋体"/>
                <w:color w:val="auto"/>
                <w:sz w:val="24"/>
                <w:szCs w:val="24"/>
              </w:rPr>
              <w:t>□正偏离</w:t>
            </w:r>
          </w:p>
          <w:p>
            <w:pPr>
              <w:jc w:val="center"/>
              <w:rPr>
                <w:rFonts w:ascii="宋体" w:hAnsi="宋体"/>
                <w:color w:val="auto"/>
                <w:sz w:val="24"/>
                <w:szCs w:val="24"/>
              </w:rPr>
            </w:pPr>
            <w:r>
              <w:rPr>
                <w:rFonts w:hint="eastAsia" w:ascii="宋体" w:hAnsi="宋体"/>
                <w:color w:val="auto"/>
                <w:sz w:val="24"/>
                <w:szCs w:val="24"/>
              </w:rPr>
              <w:t>□无偏离</w:t>
            </w:r>
          </w:p>
          <w:p>
            <w:pPr>
              <w:jc w:val="center"/>
              <w:rPr>
                <w:rFonts w:ascii="宋体" w:hAnsi="宋体"/>
                <w:color w:val="auto"/>
                <w:sz w:val="24"/>
                <w:szCs w:val="24"/>
              </w:rPr>
            </w:pPr>
            <w:r>
              <w:rPr>
                <w:rFonts w:hint="eastAsia" w:ascii="宋体" w:hAnsi="宋体"/>
                <w:color w:val="auto"/>
                <w:sz w:val="24"/>
                <w:szCs w:val="24"/>
              </w:rPr>
              <w:t>□负偏离</w:t>
            </w:r>
          </w:p>
        </w:tc>
        <w:tc>
          <w:tcPr>
            <w:tcW w:w="1491"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numPr>
                <w:ilvl w:val="1"/>
                <w:numId w:val="93"/>
              </w:numPr>
              <w:jc w:val="center"/>
              <w:rPr>
                <w:rFonts w:ascii="宋体" w:hAnsi="宋体"/>
                <w:color w:val="auto"/>
                <w:sz w:val="24"/>
                <w:szCs w:val="24"/>
              </w:rPr>
            </w:pPr>
          </w:p>
        </w:tc>
        <w:tc>
          <w:tcPr>
            <w:tcW w:w="4159"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4"/>
                <w:szCs w:val="24"/>
              </w:rPr>
            </w:pPr>
            <w:r>
              <w:rPr>
                <w:rFonts w:hint="eastAsia" w:ascii="宋体" w:hAnsi="宋体"/>
                <w:color w:val="auto"/>
                <w:sz w:val="24"/>
                <w:szCs w:val="24"/>
              </w:rPr>
              <w:t>质保期（服务期）（如有）</w:t>
            </w:r>
          </w:p>
        </w:tc>
        <w:tc>
          <w:tcPr>
            <w:tcW w:w="1561"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4"/>
                <w:szCs w:val="24"/>
              </w:rPr>
            </w:pPr>
          </w:p>
        </w:tc>
        <w:tc>
          <w:tcPr>
            <w:tcW w:w="118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r>
              <w:rPr>
                <w:rFonts w:hint="eastAsia" w:ascii="宋体" w:hAnsi="宋体"/>
                <w:color w:val="auto"/>
                <w:sz w:val="24"/>
                <w:szCs w:val="24"/>
              </w:rPr>
              <w:t>□正偏离</w:t>
            </w:r>
          </w:p>
          <w:p>
            <w:pPr>
              <w:jc w:val="center"/>
              <w:rPr>
                <w:rFonts w:ascii="宋体" w:hAnsi="宋体"/>
                <w:color w:val="auto"/>
                <w:sz w:val="24"/>
                <w:szCs w:val="24"/>
              </w:rPr>
            </w:pPr>
            <w:r>
              <w:rPr>
                <w:rFonts w:hint="eastAsia" w:ascii="宋体" w:hAnsi="宋体"/>
                <w:color w:val="auto"/>
                <w:sz w:val="24"/>
                <w:szCs w:val="24"/>
              </w:rPr>
              <w:t>□无偏离</w:t>
            </w:r>
          </w:p>
          <w:p>
            <w:pPr>
              <w:jc w:val="center"/>
              <w:rPr>
                <w:rFonts w:ascii="宋体" w:hAnsi="宋体"/>
                <w:color w:val="auto"/>
                <w:sz w:val="24"/>
                <w:szCs w:val="24"/>
              </w:rPr>
            </w:pPr>
            <w:r>
              <w:rPr>
                <w:rFonts w:hint="eastAsia" w:ascii="宋体" w:hAnsi="宋体"/>
                <w:color w:val="auto"/>
                <w:sz w:val="24"/>
                <w:szCs w:val="24"/>
              </w:rPr>
              <w:t>□负偏离</w:t>
            </w:r>
          </w:p>
        </w:tc>
        <w:tc>
          <w:tcPr>
            <w:tcW w:w="1491"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numPr>
                <w:ilvl w:val="1"/>
                <w:numId w:val="93"/>
              </w:numPr>
              <w:jc w:val="center"/>
              <w:rPr>
                <w:rFonts w:ascii="宋体" w:hAnsi="宋体"/>
                <w:color w:val="auto"/>
                <w:sz w:val="24"/>
                <w:szCs w:val="24"/>
              </w:rPr>
            </w:pPr>
          </w:p>
        </w:tc>
        <w:tc>
          <w:tcPr>
            <w:tcW w:w="4159"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4"/>
                <w:szCs w:val="24"/>
              </w:rPr>
            </w:pPr>
            <w:r>
              <w:rPr>
                <w:rFonts w:hint="eastAsia" w:ascii="宋体" w:hAnsi="宋体"/>
                <w:color w:val="auto"/>
                <w:sz w:val="24"/>
                <w:szCs w:val="24"/>
              </w:rPr>
              <w:t>付款方式</w:t>
            </w:r>
          </w:p>
        </w:tc>
        <w:tc>
          <w:tcPr>
            <w:tcW w:w="1561"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4"/>
                <w:szCs w:val="24"/>
              </w:rPr>
            </w:pPr>
          </w:p>
        </w:tc>
        <w:tc>
          <w:tcPr>
            <w:tcW w:w="118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r>
              <w:rPr>
                <w:rFonts w:hint="eastAsia" w:ascii="宋体" w:hAnsi="宋体"/>
                <w:color w:val="auto"/>
                <w:sz w:val="24"/>
                <w:szCs w:val="24"/>
              </w:rPr>
              <w:t>□正偏离</w:t>
            </w:r>
          </w:p>
          <w:p>
            <w:pPr>
              <w:jc w:val="center"/>
              <w:rPr>
                <w:rFonts w:ascii="宋体" w:hAnsi="宋体"/>
                <w:color w:val="auto"/>
                <w:sz w:val="24"/>
                <w:szCs w:val="24"/>
              </w:rPr>
            </w:pPr>
            <w:r>
              <w:rPr>
                <w:rFonts w:hint="eastAsia" w:ascii="宋体" w:hAnsi="宋体"/>
                <w:color w:val="auto"/>
                <w:sz w:val="24"/>
                <w:szCs w:val="24"/>
              </w:rPr>
              <w:t>□无偏离</w:t>
            </w:r>
          </w:p>
          <w:p>
            <w:pPr>
              <w:jc w:val="center"/>
              <w:rPr>
                <w:rFonts w:ascii="宋体" w:hAnsi="宋体"/>
                <w:color w:val="auto"/>
                <w:sz w:val="24"/>
                <w:szCs w:val="24"/>
              </w:rPr>
            </w:pPr>
            <w:r>
              <w:rPr>
                <w:rFonts w:hint="eastAsia" w:ascii="宋体" w:hAnsi="宋体"/>
                <w:color w:val="auto"/>
                <w:sz w:val="24"/>
                <w:szCs w:val="24"/>
              </w:rPr>
              <w:t>□负偏离</w:t>
            </w:r>
          </w:p>
        </w:tc>
        <w:tc>
          <w:tcPr>
            <w:tcW w:w="1491"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4"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numPr>
                <w:ilvl w:val="1"/>
                <w:numId w:val="93"/>
              </w:numPr>
              <w:jc w:val="center"/>
              <w:rPr>
                <w:rFonts w:ascii="宋体" w:hAnsi="宋体"/>
                <w:color w:val="auto"/>
                <w:sz w:val="24"/>
                <w:szCs w:val="24"/>
              </w:rPr>
            </w:pPr>
          </w:p>
        </w:tc>
        <w:tc>
          <w:tcPr>
            <w:tcW w:w="4159"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4"/>
                <w:szCs w:val="24"/>
              </w:rPr>
            </w:pPr>
            <w:r>
              <w:rPr>
                <w:rFonts w:hint="eastAsia" w:ascii="宋体" w:hAnsi="宋体"/>
                <w:color w:val="auto"/>
                <w:sz w:val="24"/>
                <w:szCs w:val="24"/>
              </w:rPr>
              <w:t>属于政府采购节能产品强制采购产品类别的产品认证或实施强制性产品认证的产品认证（如适用）</w:t>
            </w:r>
          </w:p>
        </w:tc>
        <w:tc>
          <w:tcPr>
            <w:tcW w:w="1561"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4"/>
                <w:szCs w:val="24"/>
              </w:rPr>
            </w:pPr>
          </w:p>
        </w:tc>
        <w:tc>
          <w:tcPr>
            <w:tcW w:w="118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r>
              <w:rPr>
                <w:rFonts w:hint="eastAsia" w:ascii="宋体" w:hAnsi="宋体"/>
                <w:color w:val="auto"/>
                <w:sz w:val="24"/>
                <w:szCs w:val="24"/>
              </w:rPr>
              <w:t>□正偏离</w:t>
            </w:r>
          </w:p>
          <w:p>
            <w:pPr>
              <w:jc w:val="center"/>
              <w:rPr>
                <w:rFonts w:ascii="宋体" w:hAnsi="宋体"/>
                <w:color w:val="auto"/>
                <w:sz w:val="24"/>
                <w:szCs w:val="24"/>
              </w:rPr>
            </w:pPr>
            <w:r>
              <w:rPr>
                <w:rFonts w:hint="eastAsia" w:ascii="宋体" w:hAnsi="宋体"/>
                <w:color w:val="auto"/>
                <w:sz w:val="24"/>
                <w:szCs w:val="24"/>
              </w:rPr>
              <w:t>□无偏离</w:t>
            </w:r>
          </w:p>
          <w:p>
            <w:pPr>
              <w:jc w:val="center"/>
              <w:rPr>
                <w:rFonts w:ascii="宋体" w:hAnsi="宋体"/>
                <w:color w:val="auto"/>
                <w:sz w:val="24"/>
                <w:szCs w:val="24"/>
              </w:rPr>
            </w:pPr>
            <w:r>
              <w:rPr>
                <w:rFonts w:hint="eastAsia" w:ascii="宋体" w:hAnsi="宋体"/>
                <w:color w:val="auto"/>
                <w:sz w:val="24"/>
                <w:szCs w:val="24"/>
              </w:rPr>
              <w:t>□负偏离</w:t>
            </w:r>
          </w:p>
          <w:p>
            <w:pPr>
              <w:jc w:val="center"/>
              <w:rPr>
                <w:rFonts w:ascii="宋体" w:hAnsi="宋体"/>
                <w:color w:val="auto"/>
                <w:sz w:val="24"/>
                <w:szCs w:val="24"/>
              </w:rPr>
            </w:pPr>
            <w:r>
              <w:rPr>
                <w:rFonts w:hint="eastAsia" w:ascii="宋体" w:hAnsi="宋体"/>
                <w:color w:val="auto"/>
                <w:sz w:val="24"/>
                <w:szCs w:val="24"/>
              </w:rPr>
              <w:t>□不适用</w:t>
            </w:r>
          </w:p>
        </w:tc>
        <w:tc>
          <w:tcPr>
            <w:tcW w:w="1491"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numPr>
                <w:ilvl w:val="1"/>
                <w:numId w:val="93"/>
              </w:numPr>
              <w:jc w:val="center"/>
              <w:rPr>
                <w:rFonts w:ascii="宋体" w:hAnsi="宋体"/>
                <w:color w:val="auto"/>
                <w:sz w:val="24"/>
                <w:szCs w:val="24"/>
              </w:rPr>
            </w:pPr>
          </w:p>
        </w:tc>
        <w:tc>
          <w:tcPr>
            <w:tcW w:w="4159" w:type="dxa"/>
            <w:tcBorders>
              <w:top w:val="single" w:color="auto" w:sz="4" w:space="0"/>
              <w:left w:val="single" w:color="auto" w:sz="4" w:space="0"/>
              <w:bottom w:val="single" w:color="auto" w:sz="4" w:space="0"/>
              <w:right w:val="single" w:color="auto" w:sz="4" w:space="0"/>
            </w:tcBorders>
            <w:vAlign w:val="center"/>
          </w:tcPr>
          <w:p>
            <w:pPr>
              <w:rPr>
                <w:rFonts w:ascii="宋体" w:hAnsi="宋体"/>
                <w:iCs/>
                <w:color w:val="auto"/>
                <w:sz w:val="24"/>
                <w:szCs w:val="24"/>
              </w:rPr>
            </w:pPr>
            <w:r>
              <w:rPr>
                <w:rFonts w:hint="eastAsia" w:ascii="宋体" w:hAnsi="宋体"/>
                <w:color w:val="auto"/>
                <w:sz w:val="24"/>
                <w:szCs w:val="24"/>
              </w:rPr>
              <w:t>招标文件中标记“★”号的要求（如有，请逐条填写）</w:t>
            </w:r>
          </w:p>
        </w:tc>
        <w:tc>
          <w:tcPr>
            <w:tcW w:w="1561"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4"/>
                <w:szCs w:val="24"/>
              </w:rPr>
            </w:pPr>
          </w:p>
        </w:tc>
        <w:tc>
          <w:tcPr>
            <w:tcW w:w="118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r>
              <w:rPr>
                <w:rFonts w:hint="eastAsia" w:ascii="宋体" w:hAnsi="宋体"/>
                <w:color w:val="auto"/>
                <w:sz w:val="24"/>
                <w:szCs w:val="24"/>
              </w:rPr>
              <w:t>□正偏离</w:t>
            </w:r>
          </w:p>
          <w:p>
            <w:pPr>
              <w:jc w:val="center"/>
              <w:rPr>
                <w:rFonts w:ascii="宋体" w:hAnsi="宋体"/>
                <w:color w:val="auto"/>
                <w:sz w:val="24"/>
                <w:szCs w:val="24"/>
              </w:rPr>
            </w:pPr>
            <w:r>
              <w:rPr>
                <w:rFonts w:hint="eastAsia" w:ascii="宋体" w:hAnsi="宋体"/>
                <w:color w:val="auto"/>
                <w:sz w:val="24"/>
                <w:szCs w:val="24"/>
              </w:rPr>
              <w:t>□无偏离</w:t>
            </w:r>
          </w:p>
          <w:p>
            <w:pPr>
              <w:jc w:val="center"/>
              <w:rPr>
                <w:rFonts w:ascii="宋体" w:hAnsi="宋体"/>
                <w:color w:val="auto"/>
                <w:sz w:val="24"/>
                <w:szCs w:val="24"/>
              </w:rPr>
            </w:pPr>
            <w:r>
              <w:rPr>
                <w:rFonts w:hint="eastAsia" w:ascii="宋体" w:hAnsi="宋体"/>
                <w:color w:val="auto"/>
                <w:sz w:val="24"/>
                <w:szCs w:val="24"/>
              </w:rPr>
              <w:t>□负偏离</w:t>
            </w:r>
          </w:p>
        </w:tc>
        <w:tc>
          <w:tcPr>
            <w:tcW w:w="1491"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816" w:type="dxa"/>
            <w:tcBorders>
              <w:top w:val="single" w:color="auto" w:sz="4" w:space="0"/>
              <w:left w:val="single" w:color="auto" w:sz="4" w:space="0"/>
              <w:bottom w:val="single" w:color="auto" w:sz="4" w:space="0"/>
              <w:right w:val="single" w:color="auto" w:sz="4" w:space="0"/>
            </w:tcBorders>
            <w:vAlign w:val="center"/>
          </w:tcPr>
          <w:p>
            <w:pPr>
              <w:ind w:left="170"/>
              <w:rPr>
                <w:rFonts w:ascii="宋体" w:hAnsi="宋体"/>
                <w:color w:val="auto"/>
                <w:sz w:val="24"/>
                <w:szCs w:val="24"/>
              </w:rPr>
            </w:pPr>
            <w:r>
              <w:rPr>
                <w:rFonts w:hint="eastAsia" w:ascii="宋体" w:hAnsi="宋体"/>
                <w:color w:val="auto"/>
                <w:sz w:val="24"/>
                <w:szCs w:val="24"/>
              </w:rPr>
              <w:t>5.1</w:t>
            </w:r>
          </w:p>
        </w:tc>
        <w:tc>
          <w:tcPr>
            <w:tcW w:w="4159"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4"/>
                <w:szCs w:val="24"/>
              </w:rPr>
            </w:pPr>
            <w:r>
              <w:rPr>
                <w:rFonts w:ascii="宋体" w:hAnsi="宋体"/>
                <w:color w:val="auto"/>
                <w:sz w:val="24"/>
                <w:szCs w:val="24"/>
              </w:rPr>
              <w:t>……</w:t>
            </w:r>
          </w:p>
        </w:tc>
        <w:tc>
          <w:tcPr>
            <w:tcW w:w="1561" w:type="dxa"/>
            <w:tcBorders>
              <w:top w:val="single" w:color="auto" w:sz="4" w:space="0"/>
              <w:left w:val="single" w:color="auto" w:sz="4" w:space="0"/>
              <w:bottom w:val="single" w:color="auto" w:sz="4" w:space="0"/>
              <w:right w:val="single" w:color="auto" w:sz="4" w:space="0"/>
            </w:tcBorders>
            <w:vAlign w:val="center"/>
          </w:tcPr>
          <w:p>
            <w:pPr>
              <w:rPr>
                <w:rFonts w:ascii="宋体" w:hAnsi="宋体"/>
                <w:color w:val="auto"/>
                <w:sz w:val="24"/>
                <w:szCs w:val="24"/>
              </w:rPr>
            </w:pPr>
          </w:p>
        </w:tc>
        <w:tc>
          <w:tcPr>
            <w:tcW w:w="118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r>
              <w:rPr>
                <w:rFonts w:hint="eastAsia" w:ascii="宋体" w:hAnsi="宋体"/>
                <w:color w:val="auto"/>
                <w:sz w:val="24"/>
                <w:szCs w:val="24"/>
              </w:rPr>
              <w:t>□正偏离</w:t>
            </w:r>
          </w:p>
          <w:p>
            <w:pPr>
              <w:jc w:val="center"/>
              <w:rPr>
                <w:rFonts w:ascii="宋体" w:hAnsi="宋体"/>
                <w:color w:val="auto"/>
                <w:sz w:val="24"/>
                <w:szCs w:val="24"/>
              </w:rPr>
            </w:pPr>
            <w:r>
              <w:rPr>
                <w:rFonts w:hint="eastAsia" w:ascii="宋体" w:hAnsi="宋体"/>
                <w:color w:val="auto"/>
                <w:sz w:val="24"/>
                <w:szCs w:val="24"/>
              </w:rPr>
              <w:t>□无偏离</w:t>
            </w:r>
          </w:p>
          <w:p>
            <w:pPr>
              <w:jc w:val="center"/>
              <w:rPr>
                <w:rFonts w:ascii="宋体" w:hAnsi="宋体"/>
                <w:color w:val="auto"/>
                <w:sz w:val="24"/>
                <w:szCs w:val="24"/>
              </w:rPr>
            </w:pPr>
            <w:r>
              <w:rPr>
                <w:rFonts w:hint="eastAsia" w:ascii="宋体" w:hAnsi="宋体"/>
                <w:color w:val="auto"/>
                <w:sz w:val="24"/>
                <w:szCs w:val="24"/>
              </w:rPr>
              <w:t>□负偏离</w:t>
            </w:r>
          </w:p>
        </w:tc>
        <w:tc>
          <w:tcPr>
            <w:tcW w:w="1491"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hAnsi="宋体"/>
                <w:color w:val="auto"/>
                <w:sz w:val="24"/>
                <w:szCs w:val="24"/>
              </w:rPr>
            </w:pPr>
            <w:r>
              <w:rPr>
                <w:rFonts w:ascii="宋体" w:hAnsi="宋体"/>
                <w:color w:val="auto"/>
                <w:sz w:val="24"/>
                <w:szCs w:val="24"/>
              </w:rPr>
              <w:t>第（</w:t>
            </w:r>
            <w:r>
              <w:rPr>
                <w:rFonts w:hint="eastAsia" w:ascii="宋体" w:hAnsi="宋体"/>
                <w:color w:val="auto"/>
                <w:sz w:val="24"/>
                <w:szCs w:val="24"/>
              </w:rPr>
              <w:t xml:space="preserve">  </w:t>
            </w:r>
            <w:r>
              <w:rPr>
                <w:rFonts w:ascii="宋体" w:hAnsi="宋体"/>
                <w:color w:val="auto"/>
                <w:sz w:val="24"/>
                <w:szCs w:val="24"/>
              </w:rPr>
              <w:t>）页</w:t>
            </w:r>
          </w:p>
        </w:tc>
      </w:tr>
    </w:tbl>
    <w:p>
      <w:pPr>
        <w:autoSpaceDE w:val="0"/>
        <w:autoSpaceDN w:val="0"/>
        <w:spacing w:line="312" w:lineRule="auto"/>
        <w:rPr>
          <w:rFonts w:ascii="宋体" w:hAnsi="宋体"/>
          <w:color w:val="auto"/>
          <w:sz w:val="24"/>
          <w:szCs w:val="24"/>
        </w:rPr>
      </w:pPr>
      <w:r>
        <w:rPr>
          <w:rFonts w:hint="eastAsia" w:ascii="宋体" w:hAnsi="宋体"/>
          <w:color w:val="auto"/>
          <w:sz w:val="24"/>
          <w:szCs w:val="24"/>
        </w:rPr>
        <w:t>投标人名称（加盖公章）：</w:t>
      </w:r>
      <w:r>
        <w:rPr>
          <w:rFonts w:hint="eastAsia" w:ascii="宋体" w:hAnsi="宋体"/>
          <w:color w:val="auto"/>
          <w:sz w:val="24"/>
          <w:szCs w:val="24"/>
          <w:u w:val="single"/>
        </w:rPr>
        <w:t xml:space="preserve">                                   </w:t>
      </w:r>
    </w:p>
    <w:p>
      <w:pPr>
        <w:autoSpaceDE w:val="0"/>
        <w:autoSpaceDN w:val="0"/>
        <w:spacing w:line="312" w:lineRule="auto"/>
        <w:rPr>
          <w:rFonts w:ascii="宋体" w:hAnsi="宋体"/>
          <w:color w:val="auto"/>
          <w:sz w:val="24"/>
          <w:szCs w:val="24"/>
        </w:rPr>
      </w:pPr>
      <w:r>
        <w:rPr>
          <w:rFonts w:hint="eastAsia" w:ascii="宋体" w:hAnsi="宋体"/>
          <w:color w:val="auto"/>
          <w:sz w:val="24"/>
          <w:szCs w:val="24"/>
        </w:rPr>
        <w:t>投标人法定代表人或授权代表（签字或盖章）：</w:t>
      </w:r>
      <w:r>
        <w:rPr>
          <w:rFonts w:hint="eastAsia" w:ascii="宋体" w:hAnsi="宋体"/>
          <w:color w:val="auto"/>
          <w:sz w:val="24"/>
          <w:szCs w:val="24"/>
          <w:u w:val="single"/>
        </w:rPr>
        <w:t xml:space="preserve">                 </w:t>
      </w:r>
    </w:p>
    <w:p>
      <w:pPr>
        <w:autoSpaceDE w:val="0"/>
        <w:autoSpaceDN w:val="0"/>
        <w:spacing w:line="312" w:lineRule="auto"/>
        <w:rPr>
          <w:rFonts w:ascii="宋体" w:hAnsi="宋体"/>
          <w:color w:val="auto"/>
          <w:sz w:val="24"/>
          <w:szCs w:val="24"/>
        </w:rPr>
      </w:pPr>
      <w:r>
        <w:rPr>
          <w:rFonts w:hint="eastAsia" w:ascii="宋体" w:hAnsi="宋体"/>
          <w:color w:val="auto"/>
          <w:sz w:val="24"/>
          <w:szCs w:val="24"/>
        </w:rPr>
        <w:t>日期：</w:t>
      </w:r>
      <w:r>
        <w:rPr>
          <w:rFonts w:hint="eastAsia" w:ascii="宋体" w:hAnsi="宋体"/>
          <w:color w:val="auto"/>
          <w:sz w:val="24"/>
          <w:szCs w:val="24"/>
          <w:u w:val="single"/>
        </w:rPr>
        <w:t xml:space="preserve">        </w:t>
      </w:r>
      <w:r>
        <w:rPr>
          <w:rFonts w:hint="eastAsia" w:ascii="宋体" w:hAnsi="宋体"/>
          <w:color w:val="auto"/>
          <w:sz w:val="24"/>
          <w:szCs w:val="24"/>
        </w:rPr>
        <w:t>年</w:t>
      </w:r>
      <w:r>
        <w:rPr>
          <w:rFonts w:hint="eastAsia" w:ascii="宋体" w:hAnsi="宋体"/>
          <w:color w:val="auto"/>
          <w:sz w:val="24"/>
          <w:szCs w:val="24"/>
          <w:u w:val="single"/>
        </w:rPr>
        <w:t xml:space="preserve">    </w:t>
      </w:r>
      <w:r>
        <w:rPr>
          <w:rFonts w:hint="eastAsia" w:ascii="宋体" w:hAnsi="宋体"/>
          <w:color w:val="auto"/>
          <w:sz w:val="24"/>
          <w:szCs w:val="24"/>
        </w:rPr>
        <w:t>月</w:t>
      </w:r>
      <w:r>
        <w:rPr>
          <w:rFonts w:hint="eastAsia" w:ascii="宋体" w:hAnsi="宋体"/>
          <w:color w:val="auto"/>
          <w:sz w:val="24"/>
          <w:szCs w:val="24"/>
          <w:u w:val="single"/>
        </w:rPr>
        <w:t xml:space="preserve">    </w:t>
      </w:r>
      <w:r>
        <w:rPr>
          <w:rFonts w:hint="eastAsia" w:ascii="宋体" w:hAnsi="宋体"/>
          <w:color w:val="auto"/>
          <w:sz w:val="24"/>
          <w:szCs w:val="24"/>
        </w:rPr>
        <w:t>日</w:t>
      </w:r>
    </w:p>
    <w:p>
      <w:pPr>
        <w:autoSpaceDE w:val="0"/>
        <w:autoSpaceDN w:val="0"/>
        <w:rPr>
          <w:rFonts w:ascii="宋体" w:hAnsi="宋体"/>
          <w:b/>
          <w:color w:val="auto"/>
          <w:sz w:val="24"/>
          <w:szCs w:val="24"/>
        </w:rPr>
      </w:pPr>
    </w:p>
    <w:p>
      <w:pPr>
        <w:autoSpaceDE w:val="0"/>
        <w:autoSpaceDN w:val="0"/>
        <w:rPr>
          <w:rFonts w:ascii="宋体" w:hAnsi="宋体"/>
          <w:color w:val="auto"/>
          <w:sz w:val="24"/>
          <w:szCs w:val="24"/>
        </w:rPr>
      </w:pPr>
      <w:r>
        <w:rPr>
          <w:rFonts w:hint="eastAsia" w:ascii="宋体" w:hAnsi="宋体"/>
          <w:b/>
          <w:color w:val="auto"/>
          <w:sz w:val="24"/>
          <w:szCs w:val="24"/>
        </w:rPr>
        <w:t>备注：</w:t>
      </w:r>
      <w:r>
        <w:rPr>
          <w:rFonts w:hint="eastAsia" w:ascii="宋体" w:hAnsi="宋体"/>
          <w:color w:val="auto"/>
          <w:sz w:val="24"/>
          <w:szCs w:val="24"/>
        </w:rPr>
        <w:t>1.此表内容应当与投标文件中其他部分描述的内容保持一致。</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2.请根据自身响应情况勾选（在□内打√）“自查结论”栏目相应结论。</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3.响应情况（含偏离内容）在“实质性条款响应情况”栏目中说明。投标人应当如实填写上表“实质性条款响应情况”处内容，对采购文件提出的要求和条件作出明确响应，并列明具体响应数值或内容，不能照搬采购文件的内容，只注明符合、满足等无具体内容表述的，将视为未实质性满足招标文件要求。投标人需要说明的内容若需特殊表达，应先在本表中进行相应说明，再另页应答，否则投标无效。</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4.“自查结论”项下应按下列规定填写：优于的，填写“正偏离”；符合的，填写“无偏离”；低于的，填写“负偏离”。</w:t>
      </w:r>
    </w:p>
    <w:p>
      <w:pPr>
        <w:pStyle w:val="5"/>
        <w:numPr>
          <w:ilvl w:val="0"/>
          <w:numId w:val="0"/>
        </w:numPr>
        <w:tabs>
          <w:tab w:val="left" w:pos="945"/>
        </w:tabs>
        <w:spacing w:before="0" w:after="0" w:line="360" w:lineRule="auto"/>
        <w:ind w:left="1285" w:hanging="1280" w:hangingChars="400"/>
        <w:rPr>
          <w:rFonts w:ascii="宋体" w:hAnsi="宋体"/>
          <w:color w:val="auto"/>
          <w:sz w:val="24"/>
          <w:szCs w:val="24"/>
        </w:rPr>
      </w:pPr>
      <w:bookmarkStart w:id="387" w:name="_Toc22806196"/>
      <w:r>
        <w:rPr>
          <w:rFonts w:ascii="宋体" w:hAnsi="宋体"/>
          <w:color w:val="auto"/>
          <w:szCs w:val="24"/>
        </w:rPr>
        <w:br w:type="page"/>
      </w:r>
      <w:bookmarkStart w:id="388" w:name="_Toc26797"/>
      <w:bookmarkStart w:id="389" w:name="_Toc54335474"/>
      <w:r>
        <w:rPr>
          <w:rFonts w:hint="eastAsia" w:ascii="宋体" w:hAnsi="宋体"/>
          <w:color w:val="auto"/>
          <w:sz w:val="24"/>
          <w:szCs w:val="24"/>
        </w:rPr>
        <w:t>2.自评表</w:t>
      </w:r>
      <w:bookmarkEnd w:id="388"/>
      <w:bookmarkEnd w:id="389"/>
    </w:p>
    <w:p>
      <w:pPr>
        <w:pStyle w:val="6"/>
        <w:numPr>
          <w:ilvl w:val="0"/>
          <w:numId w:val="0"/>
        </w:numPr>
        <w:tabs>
          <w:tab w:val="left" w:pos="945"/>
        </w:tabs>
        <w:rPr>
          <w:rFonts w:ascii="宋体" w:hAnsi="宋体"/>
          <w:color w:val="auto"/>
          <w:szCs w:val="24"/>
        </w:rPr>
      </w:pPr>
      <w:r>
        <w:rPr>
          <w:rFonts w:hint="eastAsia" w:ascii="宋体" w:hAnsi="宋体"/>
          <w:color w:val="auto"/>
          <w:szCs w:val="24"/>
        </w:rPr>
        <w:t>2.1技术得分自评表</w:t>
      </w:r>
      <w:bookmarkEnd w:id="387"/>
    </w:p>
    <w:p>
      <w:pPr>
        <w:autoSpaceDE w:val="0"/>
        <w:autoSpaceDN w:val="0"/>
        <w:spacing w:line="360" w:lineRule="auto"/>
        <w:jc w:val="center"/>
        <w:rPr>
          <w:rFonts w:ascii="宋体" w:hAnsi="宋体"/>
          <w:b/>
          <w:color w:val="auto"/>
          <w:sz w:val="32"/>
          <w:szCs w:val="32"/>
        </w:rPr>
      </w:pPr>
      <w:r>
        <w:rPr>
          <w:rFonts w:hint="eastAsia" w:ascii="宋体" w:hAnsi="宋体"/>
          <w:b/>
          <w:color w:val="auto"/>
          <w:sz w:val="32"/>
          <w:szCs w:val="32"/>
        </w:rPr>
        <w:t>技术得分自评表</w:t>
      </w:r>
    </w:p>
    <w:p>
      <w:pPr>
        <w:autoSpaceDE w:val="0"/>
        <w:autoSpaceDN w:val="0"/>
        <w:spacing w:line="360" w:lineRule="auto"/>
        <w:rPr>
          <w:rFonts w:hint="eastAsia" w:ascii="宋体" w:hAnsi="宋体" w:eastAsia="宋体"/>
          <w:color w:val="auto"/>
          <w:sz w:val="24"/>
          <w:szCs w:val="24"/>
          <w:lang w:eastAsia="zh-CN"/>
        </w:rPr>
      </w:pPr>
      <w:r>
        <w:rPr>
          <w:rFonts w:hint="eastAsia" w:ascii="宋体" w:hAnsi="宋体"/>
          <w:color w:val="auto"/>
          <w:sz w:val="24"/>
          <w:szCs w:val="24"/>
        </w:rPr>
        <w:t>采购项目名称：</w:t>
      </w:r>
      <w:r>
        <w:rPr>
          <w:rFonts w:hint="eastAsia" w:ascii="宋体" w:hAnsi="宋体"/>
          <w:color w:val="auto"/>
          <w:sz w:val="24"/>
          <w:szCs w:val="24"/>
          <w:lang w:eastAsia="zh-CN"/>
        </w:rPr>
        <w:t>工业和信息化部电子第五研究所动力电池配套使用环境试验箱采购项目</w:t>
      </w:r>
    </w:p>
    <w:p>
      <w:pPr>
        <w:autoSpaceDE w:val="0"/>
        <w:autoSpaceDN w:val="0"/>
        <w:spacing w:line="360" w:lineRule="auto"/>
        <w:rPr>
          <w:rFonts w:ascii="宋体" w:hAnsi="宋体"/>
          <w:color w:val="auto"/>
          <w:sz w:val="24"/>
          <w:szCs w:val="24"/>
        </w:rPr>
      </w:pPr>
      <w:r>
        <w:rPr>
          <w:rFonts w:hint="eastAsia" w:ascii="宋体" w:hAnsi="宋体"/>
          <w:color w:val="auto"/>
          <w:sz w:val="24"/>
          <w:szCs w:val="24"/>
        </w:rPr>
        <w:t>采购包号：</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350"/>
        <w:gridCol w:w="2066"/>
        <w:gridCol w:w="2848"/>
        <w:gridCol w:w="852"/>
        <w:gridCol w:w="1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pPr>
              <w:rPr>
                <w:rFonts w:ascii="宋体" w:hAnsi="宋体"/>
                <w:b/>
                <w:color w:val="auto"/>
                <w:sz w:val="24"/>
                <w:szCs w:val="24"/>
              </w:rPr>
            </w:pPr>
            <w:r>
              <w:rPr>
                <w:rFonts w:hint="eastAsia" w:ascii="宋体" w:hAnsi="宋体"/>
                <w:b/>
                <w:color w:val="auto"/>
                <w:sz w:val="24"/>
                <w:szCs w:val="24"/>
              </w:rPr>
              <w:t>序号</w:t>
            </w:r>
          </w:p>
        </w:tc>
        <w:tc>
          <w:tcPr>
            <w:tcW w:w="13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auto"/>
                <w:sz w:val="24"/>
                <w:szCs w:val="24"/>
              </w:rPr>
            </w:pPr>
            <w:r>
              <w:rPr>
                <w:rFonts w:hint="eastAsia" w:ascii="宋体" w:hAnsi="宋体"/>
                <w:b/>
                <w:color w:val="auto"/>
                <w:sz w:val="24"/>
                <w:szCs w:val="24"/>
              </w:rPr>
              <w:t>评审因素</w:t>
            </w:r>
          </w:p>
        </w:tc>
        <w:tc>
          <w:tcPr>
            <w:tcW w:w="206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auto"/>
                <w:sz w:val="24"/>
                <w:szCs w:val="24"/>
              </w:rPr>
            </w:pPr>
            <w:r>
              <w:rPr>
                <w:rFonts w:hint="eastAsia" w:ascii="宋体" w:hAnsi="宋体"/>
                <w:b/>
                <w:color w:val="auto"/>
                <w:sz w:val="24"/>
                <w:szCs w:val="24"/>
              </w:rPr>
              <w:t>评审标准</w:t>
            </w:r>
          </w:p>
        </w:tc>
        <w:tc>
          <w:tcPr>
            <w:tcW w:w="28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auto"/>
                <w:sz w:val="24"/>
                <w:szCs w:val="24"/>
              </w:rPr>
            </w:pPr>
            <w:r>
              <w:rPr>
                <w:rFonts w:hint="eastAsia" w:ascii="宋体" w:hAnsi="宋体"/>
                <w:b/>
                <w:color w:val="auto"/>
                <w:sz w:val="24"/>
                <w:szCs w:val="24"/>
              </w:rPr>
              <w:t>投标人响应内容简述</w:t>
            </w:r>
          </w:p>
          <w:p>
            <w:pPr>
              <w:jc w:val="center"/>
              <w:rPr>
                <w:rFonts w:ascii="宋体" w:hAnsi="宋体"/>
                <w:b/>
                <w:color w:val="auto"/>
                <w:sz w:val="24"/>
                <w:szCs w:val="24"/>
              </w:rPr>
            </w:pPr>
            <w:r>
              <w:rPr>
                <w:rFonts w:hint="eastAsia" w:ascii="宋体" w:hAnsi="宋体"/>
                <w:b/>
                <w:color w:val="auto"/>
                <w:sz w:val="24"/>
                <w:szCs w:val="24"/>
              </w:rPr>
              <w:t>（可选）</w:t>
            </w:r>
          </w:p>
        </w:tc>
        <w:tc>
          <w:tcPr>
            <w:tcW w:w="85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auto"/>
                <w:sz w:val="24"/>
                <w:szCs w:val="24"/>
              </w:rPr>
            </w:pPr>
            <w:r>
              <w:rPr>
                <w:rFonts w:hint="eastAsia" w:ascii="宋体" w:hAnsi="宋体"/>
                <w:b/>
                <w:color w:val="auto"/>
                <w:sz w:val="24"/>
                <w:szCs w:val="24"/>
              </w:rPr>
              <w:t>自评得分</w:t>
            </w:r>
          </w:p>
        </w:tc>
        <w:tc>
          <w:tcPr>
            <w:tcW w:w="14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auto"/>
                <w:sz w:val="24"/>
                <w:szCs w:val="24"/>
              </w:rPr>
            </w:pPr>
            <w:r>
              <w:rPr>
                <w:rFonts w:hint="eastAsia" w:ascii="宋体" w:hAnsi="宋体"/>
                <w:b/>
                <w:color w:val="auto"/>
                <w:sz w:val="24"/>
                <w:szCs w:val="24"/>
              </w:rPr>
              <w:t>证明文件所在页码范围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r>
              <w:rPr>
                <w:rFonts w:hint="eastAsia" w:ascii="宋体" w:hAnsi="宋体"/>
                <w:color w:val="auto"/>
                <w:sz w:val="24"/>
                <w:szCs w:val="24"/>
              </w:rPr>
              <w:t>1</w:t>
            </w:r>
          </w:p>
        </w:tc>
        <w:tc>
          <w:tcPr>
            <w:tcW w:w="13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p>
        </w:tc>
        <w:tc>
          <w:tcPr>
            <w:tcW w:w="206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p>
        </w:tc>
        <w:tc>
          <w:tcPr>
            <w:tcW w:w="28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p>
        </w:tc>
        <w:tc>
          <w:tcPr>
            <w:tcW w:w="85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p>
        </w:tc>
        <w:tc>
          <w:tcPr>
            <w:tcW w:w="14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r>
              <w:rPr>
                <w:rFonts w:hint="eastAsia" w:ascii="宋体" w:hAnsi="宋体"/>
                <w:color w:val="auto"/>
                <w:sz w:val="24"/>
                <w:szCs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r>
              <w:rPr>
                <w:rFonts w:hint="eastAsia" w:ascii="宋体" w:hAnsi="宋体"/>
                <w:color w:val="auto"/>
                <w:sz w:val="24"/>
                <w:szCs w:val="24"/>
              </w:rPr>
              <w:t>2</w:t>
            </w:r>
          </w:p>
        </w:tc>
        <w:tc>
          <w:tcPr>
            <w:tcW w:w="13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p>
        </w:tc>
        <w:tc>
          <w:tcPr>
            <w:tcW w:w="206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p>
        </w:tc>
        <w:tc>
          <w:tcPr>
            <w:tcW w:w="28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p>
        </w:tc>
        <w:tc>
          <w:tcPr>
            <w:tcW w:w="85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p>
        </w:tc>
        <w:tc>
          <w:tcPr>
            <w:tcW w:w="14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r>
              <w:rPr>
                <w:rFonts w:hint="eastAsia" w:ascii="宋体" w:hAnsi="宋体"/>
                <w:color w:val="auto"/>
                <w:sz w:val="24"/>
                <w:szCs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r>
              <w:rPr>
                <w:rFonts w:hint="eastAsia" w:ascii="宋体" w:hAnsi="宋体"/>
                <w:color w:val="auto"/>
                <w:sz w:val="24"/>
                <w:szCs w:val="24"/>
              </w:rPr>
              <w:t>...</w:t>
            </w:r>
          </w:p>
        </w:tc>
        <w:tc>
          <w:tcPr>
            <w:tcW w:w="13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p>
        </w:tc>
        <w:tc>
          <w:tcPr>
            <w:tcW w:w="206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p>
        </w:tc>
        <w:tc>
          <w:tcPr>
            <w:tcW w:w="284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p>
        </w:tc>
        <w:tc>
          <w:tcPr>
            <w:tcW w:w="85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p>
        </w:tc>
        <w:tc>
          <w:tcPr>
            <w:tcW w:w="143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r>
              <w:rPr>
                <w:rFonts w:hint="eastAsia" w:ascii="宋体" w:hAnsi="宋体"/>
                <w:color w:val="auto"/>
                <w:sz w:val="24"/>
                <w:szCs w:val="24"/>
              </w:rPr>
              <w:t>第（  ）页</w:t>
            </w:r>
          </w:p>
        </w:tc>
      </w:tr>
    </w:tbl>
    <w:p>
      <w:pPr>
        <w:autoSpaceDE w:val="0"/>
        <w:autoSpaceDN w:val="0"/>
        <w:spacing w:line="360" w:lineRule="auto"/>
        <w:rPr>
          <w:rFonts w:ascii="宋体" w:hAnsi="宋体"/>
          <w:color w:val="auto"/>
          <w:sz w:val="24"/>
          <w:szCs w:val="24"/>
        </w:rPr>
      </w:pPr>
    </w:p>
    <w:p>
      <w:pPr>
        <w:autoSpaceDE w:val="0"/>
        <w:autoSpaceDN w:val="0"/>
        <w:rPr>
          <w:rFonts w:ascii="宋体" w:hAnsi="宋体"/>
          <w:b/>
          <w:color w:val="auto"/>
          <w:sz w:val="24"/>
          <w:szCs w:val="24"/>
        </w:rPr>
      </w:pPr>
      <w:r>
        <w:rPr>
          <w:rFonts w:hint="eastAsia" w:ascii="宋体" w:hAnsi="宋体"/>
          <w:b/>
          <w:color w:val="auto"/>
          <w:sz w:val="24"/>
          <w:szCs w:val="24"/>
        </w:rPr>
        <w:t>备注：</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1.此表内容应当根据招标文件要求及投标文件响应情况如实填写。</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2.此表评审因素和评审标准分别对应招标文件《评标办法》中相关采购包《技术评审表》中相应栏目内容，并请逐一填写；投标人可以自行增减表格行数。</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3.请根据自身响应情况在自评得分栏目中填报自评得分值。</w:t>
      </w:r>
    </w:p>
    <w:p>
      <w:pPr>
        <w:autoSpaceDE w:val="0"/>
        <w:autoSpaceDN w:val="0"/>
        <w:ind w:firstLine="480" w:firstLineChars="200"/>
        <w:rPr>
          <w:rFonts w:ascii="宋体" w:hAnsi="宋体"/>
          <w:color w:val="auto"/>
          <w:sz w:val="24"/>
          <w:szCs w:val="24"/>
        </w:rPr>
      </w:pPr>
    </w:p>
    <w:p>
      <w:pPr>
        <w:autoSpaceDE w:val="0"/>
        <w:autoSpaceDN w:val="0"/>
        <w:ind w:firstLine="480" w:firstLineChars="200"/>
        <w:rPr>
          <w:rFonts w:ascii="宋体" w:hAnsi="宋体"/>
          <w:color w:val="auto"/>
          <w:sz w:val="24"/>
          <w:szCs w:val="24"/>
        </w:rPr>
      </w:pPr>
    </w:p>
    <w:p>
      <w:pPr>
        <w:autoSpaceDE w:val="0"/>
        <w:autoSpaceDN w:val="0"/>
        <w:ind w:firstLine="480" w:firstLineChars="200"/>
        <w:rPr>
          <w:rFonts w:ascii="宋体" w:hAnsi="宋体"/>
          <w:color w:val="auto"/>
          <w:sz w:val="24"/>
          <w:szCs w:val="24"/>
        </w:rPr>
      </w:pPr>
    </w:p>
    <w:p>
      <w:pPr>
        <w:autoSpaceDE w:val="0"/>
        <w:autoSpaceDN w:val="0"/>
        <w:ind w:firstLine="480" w:firstLineChars="200"/>
        <w:rPr>
          <w:rFonts w:ascii="宋体" w:hAnsi="宋体"/>
          <w:color w:val="auto"/>
          <w:sz w:val="24"/>
          <w:szCs w:val="24"/>
        </w:rPr>
      </w:pPr>
    </w:p>
    <w:p>
      <w:pPr>
        <w:pStyle w:val="6"/>
        <w:numPr>
          <w:ilvl w:val="0"/>
          <w:numId w:val="0"/>
        </w:numPr>
        <w:tabs>
          <w:tab w:val="left" w:pos="945"/>
        </w:tabs>
        <w:rPr>
          <w:rFonts w:ascii="宋体" w:hAnsi="宋体"/>
          <w:color w:val="auto"/>
          <w:szCs w:val="24"/>
        </w:rPr>
      </w:pPr>
      <w:bookmarkStart w:id="390" w:name="_Toc22806197"/>
      <w:r>
        <w:rPr>
          <w:rFonts w:hint="eastAsia" w:ascii="宋体" w:hAnsi="宋体"/>
          <w:color w:val="auto"/>
          <w:szCs w:val="24"/>
        </w:rPr>
        <w:t>2.2商务得分自评表</w:t>
      </w:r>
      <w:bookmarkEnd w:id="390"/>
    </w:p>
    <w:p>
      <w:pPr>
        <w:autoSpaceDE w:val="0"/>
        <w:autoSpaceDN w:val="0"/>
        <w:spacing w:line="360" w:lineRule="auto"/>
        <w:jc w:val="center"/>
        <w:rPr>
          <w:rFonts w:ascii="宋体" w:hAnsi="宋体"/>
          <w:b/>
          <w:color w:val="auto"/>
          <w:sz w:val="32"/>
          <w:szCs w:val="32"/>
        </w:rPr>
      </w:pPr>
      <w:r>
        <w:rPr>
          <w:rFonts w:hint="eastAsia" w:ascii="宋体" w:hAnsi="宋体"/>
          <w:b/>
          <w:color w:val="auto"/>
          <w:sz w:val="32"/>
          <w:szCs w:val="32"/>
        </w:rPr>
        <w:t>商务得分自评表</w:t>
      </w:r>
    </w:p>
    <w:p>
      <w:pPr>
        <w:autoSpaceDE w:val="0"/>
        <w:autoSpaceDN w:val="0"/>
        <w:spacing w:line="360" w:lineRule="auto"/>
        <w:rPr>
          <w:rFonts w:hint="eastAsia" w:ascii="宋体" w:hAnsi="宋体" w:eastAsia="宋体"/>
          <w:color w:val="auto"/>
          <w:sz w:val="24"/>
          <w:szCs w:val="24"/>
          <w:lang w:eastAsia="zh-CN"/>
        </w:rPr>
      </w:pPr>
      <w:r>
        <w:rPr>
          <w:rFonts w:hint="eastAsia" w:ascii="宋体" w:hAnsi="宋体"/>
          <w:color w:val="auto"/>
          <w:sz w:val="24"/>
          <w:szCs w:val="24"/>
        </w:rPr>
        <w:t>采购项目名称：</w:t>
      </w:r>
      <w:r>
        <w:rPr>
          <w:rFonts w:hint="eastAsia" w:ascii="宋体" w:hAnsi="宋体"/>
          <w:color w:val="auto"/>
          <w:sz w:val="24"/>
          <w:szCs w:val="24"/>
          <w:lang w:eastAsia="zh-CN"/>
        </w:rPr>
        <w:t>工业和信息化部电子第五研究所动力电池配套使用环境试验箱采购项目</w:t>
      </w:r>
    </w:p>
    <w:p>
      <w:pPr>
        <w:autoSpaceDE w:val="0"/>
        <w:autoSpaceDN w:val="0"/>
        <w:spacing w:line="360" w:lineRule="auto"/>
        <w:rPr>
          <w:rFonts w:ascii="宋体" w:hAnsi="宋体"/>
          <w:color w:val="auto"/>
          <w:sz w:val="24"/>
          <w:szCs w:val="24"/>
        </w:rPr>
      </w:pPr>
      <w:r>
        <w:rPr>
          <w:rFonts w:hint="eastAsia" w:ascii="宋体" w:hAnsi="宋体"/>
          <w:color w:val="auto"/>
          <w:sz w:val="24"/>
          <w:szCs w:val="24"/>
        </w:rPr>
        <w:t>采购包号：</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211"/>
        <w:gridCol w:w="2256"/>
        <w:gridCol w:w="2796"/>
        <w:gridCol w:w="850"/>
        <w:gridCol w:w="1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auto"/>
                <w:sz w:val="24"/>
                <w:szCs w:val="24"/>
              </w:rPr>
            </w:pPr>
            <w:r>
              <w:rPr>
                <w:rFonts w:hint="eastAsia" w:ascii="宋体" w:hAnsi="宋体"/>
                <w:b/>
                <w:color w:val="auto"/>
                <w:sz w:val="24"/>
                <w:szCs w:val="24"/>
              </w:rPr>
              <w:t>序号</w:t>
            </w:r>
          </w:p>
        </w:tc>
        <w:tc>
          <w:tcPr>
            <w:tcW w:w="121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auto"/>
                <w:sz w:val="24"/>
                <w:szCs w:val="24"/>
              </w:rPr>
            </w:pPr>
            <w:r>
              <w:rPr>
                <w:rFonts w:hint="eastAsia" w:ascii="宋体" w:hAnsi="宋体"/>
                <w:b/>
                <w:color w:val="auto"/>
                <w:sz w:val="24"/>
                <w:szCs w:val="24"/>
              </w:rPr>
              <w:t>评审因素</w:t>
            </w:r>
          </w:p>
        </w:tc>
        <w:tc>
          <w:tcPr>
            <w:tcW w:w="22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auto"/>
                <w:sz w:val="24"/>
                <w:szCs w:val="24"/>
              </w:rPr>
            </w:pPr>
            <w:r>
              <w:rPr>
                <w:rFonts w:hint="eastAsia" w:ascii="宋体" w:hAnsi="宋体"/>
                <w:b/>
                <w:color w:val="auto"/>
                <w:sz w:val="24"/>
                <w:szCs w:val="24"/>
              </w:rPr>
              <w:t>评审标准</w:t>
            </w:r>
          </w:p>
        </w:tc>
        <w:tc>
          <w:tcPr>
            <w:tcW w:w="279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auto"/>
                <w:sz w:val="24"/>
                <w:szCs w:val="24"/>
              </w:rPr>
            </w:pPr>
            <w:r>
              <w:rPr>
                <w:rFonts w:hint="eastAsia" w:ascii="宋体" w:hAnsi="宋体"/>
                <w:b/>
                <w:color w:val="auto"/>
                <w:sz w:val="24"/>
                <w:szCs w:val="24"/>
              </w:rPr>
              <w:t>投标人响应内容简述</w:t>
            </w:r>
          </w:p>
          <w:p>
            <w:pPr>
              <w:jc w:val="center"/>
              <w:rPr>
                <w:rFonts w:ascii="宋体" w:hAnsi="宋体"/>
                <w:b/>
                <w:color w:val="auto"/>
                <w:sz w:val="24"/>
                <w:szCs w:val="24"/>
              </w:rPr>
            </w:pPr>
            <w:r>
              <w:rPr>
                <w:rFonts w:hint="eastAsia" w:ascii="宋体" w:hAnsi="宋体"/>
                <w:b/>
                <w:color w:val="auto"/>
                <w:sz w:val="24"/>
                <w:szCs w:val="24"/>
              </w:rPr>
              <w:t>（可选）</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auto"/>
                <w:sz w:val="24"/>
                <w:szCs w:val="24"/>
              </w:rPr>
            </w:pPr>
            <w:r>
              <w:rPr>
                <w:rFonts w:hint="eastAsia" w:ascii="宋体" w:hAnsi="宋体"/>
                <w:b/>
                <w:color w:val="auto"/>
                <w:sz w:val="24"/>
                <w:szCs w:val="24"/>
              </w:rPr>
              <w:t>自评得分</w:t>
            </w:r>
          </w:p>
        </w:tc>
        <w:tc>
          <w:tcPr>
            <w:tcW w:w="143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color w:val="auto"/>
                <w:sz w:val="24"/>
                <w:szCs w:val="24"/>
              </w:rPr>
            </w:pPr>
            <w:r>
              <w:rPr>
                <w:rFonts w:hint="eastAsia" w:ascii="宋体" w:hAnsi="宋体"/>
                <w:b/>
                <w:color w:val="auto"/>
                <w:sz w:val="24"/>
                <w:szCs w:val="24"/>
              </w:rPr>
              <w:t>证明文件所在页码范围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r>
              <w:rPr>
                <w:rFonts w:hint="eastAsia" w:ascii="宋体" w:hAnsi="宋体"/>
                <w:color w:val="auto"/>
                <w:sz w:val="24"/>
                <w:szCs w:val="24"/>
              </w:rPr>
              <w:t>1</w:t>
            </w:r>
          </w:p>
        </w:tc>
        <w:tc>
          <w:tcPr>
            <w:tcW w:w="121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p>
        </w:tc>
        <w:tc>
          <w:tcPr>
            <w:tcW w:w="22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p>
        </w:tc>
        <w:tc>
          <w:tcPr>
            <w:tcW w:w="279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p>
        </w:tc>
        <w:tc>
          <w:tcPr>
            <w:tcW w:w="143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r>
              <w:rPr>
                <w:rFonts w:hint="eastAsia" w:ascii="宋体" w:hAnsi="宋体"/>
                <w:color w:val="auto"/>
                <w:sz w:val="24"/>
                <w:szCs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r>
              <w:rPr>
                <w:rFonts w:hint="eastAsia" w:ascii="宋体" w:hAnsi="宋体"/>
                <w:color w:val="auto"/>
                <w:sz w:val="24"/>
                <w:szCs w:val="24"/>
              </w:rPr>
              <w:t>2</w:t>
            </w:r>
          </w:p>
        </w:tc>
        <w:tc>
          <w:tcPr>
            <w:tcW w:w="121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p>
        </w:tc>
        <w:tc>
          <w:tcPr>
            <w:tcW w:w="22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p>
        </w:tc>
        <w:tc>
          <w:tcPr>
            <w:tcW w:w="279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p>
        </w:tc>
        <w:tc>
          <w:tcPr>
            <w:tcW w:w="143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r>
              <w:rPr>
                <w:rFonts w:hint="eastAsia" w:ascii="宋体" w:hAnsi="宋体"/>
                <w:color w:val="auto"/>
                <w:sz w:val="24"/>
                <w:szCs w:val="24"/>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r>
              <w:rPr>
                <w:rFonts w:hint="eastAsia" w:ascii="宋体" w:hAnsi="宋体"/>
                <w:color w:val="auto"/>
                <w:sz w:val="24"/>
                <w:szCs w:val="24"/>
              </w:rPr>
              <w:t>...</w:t>
            </w:r>
          </w:p>
        </w:tc>
        <w:tc>
          <w:tcPr>
            <w:tcW w:w="121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p>
        </w:tc>
        <w:tc>
          <w:tcPr>
            <w:tcW w:w="22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p>
        </w:tc>
        <w:tc>
          <w:tcPr>
            <w:tcW w:w="279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p>
        </w:tc>
        <w:tc>
          <w:tcPr>
            <w:tcW w:w="143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auto"/>
                <w:sz w:val="24"/>
                <w:szCs w:val="24"/>
              </w:rPr>
            </w:pPr>
            <w:r>
              <w:rPr>
                <w:rFonts w:hint="eastAsia" w:ascii="宋体" w:hAnsi="宋体"/>
                <w:color w:val="auto"/>
                <w:sz w:val="24"/>
                <w:szCs w:val="24"/>
              </w:rPr>
              <w:t>第（  ）页</w:t>
            </w:r>
          </w:p>
        </w:tc>
      </w:tr>
    </w:tbl>
    <w:p>
      <w:pPr>
        <w:autoSpaceDE w:val="0"/>
        <w:autoSpaceDN w:val="0"/>
        <w:spacing w:line="360" w:lineRule="auto"/>
        <w:rPr>
          <w:rFonts w:ascii="宋体" w:hAnsi="宋体"/>
          <w:color w:val="auto"/>
          <w:sz w:val="24"/>
          <w:szCs w:val="24"/>
        </w:rPr>
      </w:pPr>
    </w:p>
    <w:p>
      <w:pPr>
        <w:autoSpaceDE w:val="0"/>
        <w:autoSpaceDN w:val="0"/>
        <w:rPr>
          <w:rFonts w:ascii="宋体" w:hAnsi="宋体"/>
          <w:b/>
          <w:color w:val="auto"/>
          <w:sz w:val="24"/>
          <w:szCs w:val="24"/>
        </w:rPr>
      </w:pPr>
      <w:r>
        <w:rPr>
          <w:rFonts w:hint="eastAsia" w:ascii="宋体" w:hAnsi="宋体"/>
          <w:b/>
          <w:color w:val="auto"/>
          <w:sz w:val="24"/>
          <w:szCs w:val="24"/>
        </w:rPr>
        <w:t>备注：</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1.此表内容应当根据招标文件要求及投标文件响应情况如实填写。</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2.此表评审因素和评审标准分别对应招标文件《评标办法》中相关采购包《商务评审表》中相应栏目内容，并请逐一填写；投标人可以自行增减表格行数。</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3.请根据自身响应情况在自评得分栏目中填报自评得分值。</w:t>
      </w:r>
    </w:p>
    <w:p>
      <w:pPr>
        <w:pStyle w:val="4"/>
        <w:numPr>
          <w:ilvl w:val="0"/>
          <w:numId w:val="91"/>
        </w:numPr>
        <w:tabs>
          <w:tab w:val="left" w:pos="945"/>
        </w:tabs>
        <w:spacing w:before="0" w:after="0" w:line="360" w:lineRule="auto"/>
        <w:ind w:left="984" w:hanging="980" w:hangingChars="350"/>
        <w:rPr>
          <w:rFonts w:ascii="宋体" w:hAnsi="宋体"/>
          <w:color w:val="auto"/>
          <w:sz w:val="28"/>
          <w:szCs w:val="28"/>
        </w:rPr>
      </w:pPr>
      <w:bookmarkStart w:id="391" w:name="_Toc14507"/>
      <w:bookmarkStart w:id="392" w:name="_Toc22806198"/>
      <w:bookmarkStart w:id="393" w:name="_Toc54335475"/>
      <w:r>
        <w:rPr>
          <w:rFonts w:hint="eastAsia" w:ascii="宋体" w:hAnsi="宋体"/>
          <w:color w:val="auto"/>
          <w:sz w:val="28"/>
          <w:szCs w:val="28"/>
        </w:rPr>
        <w:t>资格、资信证明文件</w:t>
      </w:r>
      <w:bookmarkEnd w:id="391"/>
      <w:bookmarkEnd w:id="392"/>
      <w:bookmarkEnd w:id="393"/>
    </w:p>
    <w:p>
      <w:pPr>
        <w:pStyle w:val="5"/>
        <w:numPr>
          <w:ilvl w:val="0"/>
          <w:numId w:val="94"/>
        </w:numPr>
        <w:tabs>
          <w:tab w:val="left" w:pos="945"/>
        </w:tabs>
        <w:spacing w:before="0" w:after="0" w:line="360" w:lineRule="auto"/>
        <w:rPr>
          <w:color w:val="auto"/>
          <w:sz w:val="24"/>
          <w:szCs w:val="24"/>
        </w:rPr>
      </w:pPr>
      <w:bookmarkStart w:id="394" w:name="_Toc22806199"/>
      <w:bookmarkStart w:id="395" w:name="_Toc54335476"/>
      <w:bookmarkStart w:id="396" w:name="_Toc323"/>
      <w:r>
        <w:rPr>
          <w:rFonts w:hint="eastAsia"/>
          <w:color w:val="auto"/>
          <w:sz w:val="24"/>
          <w:szCs w:val="24"/>
        </w:rPr>
        <w:t>投标函</w:t>
      </w:r>
      <w:bookmarkEnd w:id="394"/>
      <w:r>
        <w:rPr>
          <w:rFonts w:hint="eastAsia"/>
          <w:color w:val="auto"/>
          <w:sz w:val="24"/>
          <w:szCs w:val="24"/>
        </w:rPr>
        <w:t>和供应商资格申明函</w:t>
      </w:r>
      <w:bookmarkEnd w:id="395"/>
      <w:bookmarkEnd w:id="396"/>
    </w:p>
    <w:p>
      <w:pPr>
        <w:pStyle w:val="6"/>
        <w:numPr>
          <w:ilvl w:val="1"/>
          <w:numId w:val="95"/>
        </w:numPr>
        <w:tabs>
          <w:tab w:val="left" w:pos="945"/>
        </w:tabs>
        <w:ind w:left="964" w:hanging="960" w:hangingChars="400"/>
        <w:rPr>
          <w:rFonts w:ascii="宋体" w:hAnsi="宋体"/>
          <w:color w:val="auto"/>
          <w:szCs w:val="24"/>
        </w:rPr>
      </w:pPr>
      <w:r>
        <w:rPr>
          <w:rFonts w:hint="eastAsia" w:ascii="宋体" w:hAnsi="宋体"/>
          <w:color w:val="auto"/>
          <w:szCs w:val="24"/>
        </w:rPr>
        <w:t>投标函</w:t>
      </w:r>
    </w:p>
    <w:p>
      <w:pPr>
        <w:pStyle w:val="13"/>
        <w:spacing w:line="360" w:lineRule="auto"/>
        <w:jc w:val="center"/>
        <w:rPr>
          <w:rFonts w:hAnsi="宋体"/>
          <w:b/>
          <w:color w:val="auto"/>
          <w:sz w:val="32"/>
          <w:szCs w:val="32"/>
        </w:rPr>
      </w:pPr>
      <w:r>
        <w:rPr>
          <w:rFonts w:hint="eastAsia" w:hAnsi="宋体"/>
          <w:b/>
          <w:color w:val="auto"/>
          <w:sz w:val="32"/>
          <w:szCs w:val="32"/>
        </w:rPr>
        <w:t>投标函</w:t>
      </w:r>
    </w:p>
    <w:p>
      <w:pPr>
        <w:spacing w:line="360" w:lineRule="auto"/>
        <w:rPr>
          <w:rFonts w:ascii="宋体" w:hAnsi="宋体"/>
          <w:b/>
          <w:color w:val="auto"/>
          <w:sz w:val="24"/>
          <w:szCs w:val="24"/>
        </w:rPr>
      </w:pPr>
      <w:r>
        <w:rPr>
          <w:rFonts w:hint="eastAsia" w:ascii="宋体" w:hAnsi="宋体"/>
          <w:color w:val="auto"/>
          <w:sz w:val="24"/>
          <w:szCs w:val="24"/>
        </w:rPr>
        <w:t>致：</w:t>
      </w:r>
      <w:r>
        <w:rPr>
          <w:rFonts w:hint="eastAsia" w:ascii="宋体" w:hAnsi="宋体"/>
          <w:b/>
          <w:color w:val="auto"/>
          <w:sz w:val="24"/>
          <w:szCs w:val="24"/>
        </w:rPr>
        <w:t>广东华伦招标有限公司</w:t>
      </w:r>
    </w:p>
    <w:p>
      <w:pPr>
        <w:pStyle w:val="13"/>
        <w:spacing w:line="360" w:lineRule="auto"/>
        <w:ind w:firstLine="480" w:firstLineChars="200"/>
        <w:rPr>
          <w:rFonts w:hAnsi="宋体"/>
          <w:color w:val="auto"/>
          <w:sz w:val="24"/>
          <w:szCs w:val="24"/>
        </w:rPr>
      </w:pPr>
      <w:r>
        <w:rPr>
          <w:rFonts w:hint="eastAsia" w:hAnsi="宋体"/>
          <w:color w:val="auto"/>
          <w:sz w:val="24"/>
          <w:szCs w:val="24"/>
        </w:rPr>
        <w:t>我方确认收到贵方</w:t>
      </w:r>
      <w:r>
        <w:rPr>
          <w:rFonts w:hint="eastAsia" w:hAnsi="宋体"/>
          <w:color w:val="auto"/>
          <w:sz w:val="24"/>
          <w:szCs w:val="24"/>
          <w:u w:val="single"/>
          <w:lang w:eastAsia="zh-CN"/>
        </w:rPr>
        <w:t>工业和信息化部电子第五研究所动力电池配套使用环境试验箱采购项目</w:t>
      </w:r>
      <w:r>
        <w:rPr>
          <w:rFonts w:hint="eastAsia" w:hAnsi="宋体"/>
          <w:color w:val="auto"/>
          <w:sz w:val="24"/>
          <w:szCs w:val="24"/>
        </w:rPr>
        <w:t>的招标文件[采购文件编号为：</w:t>
      </w:r>
      <w:r>
        <w:rPr>
          <w:rFonts w:hint="eastAsia" w:hAnsi="宋体"/>
          <w:color w:val="auto"/>
          <w:sz w:val="24"/>
          <w:szCs w:val="24"/>
          <w:u w:val="single"/>
          <w:lang w:eastAsia="zh-CN"/>
        </w:rPr>
        <w:t>0809-2241GZG14036</w:t>
      </w:r>
      <w:r>
        <w:rPr>
          <w:rFonts w:hint="eastAsia" w:hAnsi="宋体"/>
          <w:color w:val="auto"/>
          <w:sz w:val="24"/>
          <w:szCs w:val="24"/>
        </w:rPr>
        <w:t>]的全部内容。我方已详细研究了招标文件的所有内容，包括澄清、修改文件（如果有）和所有已提供的参考资料以及有关附件，我方完全明白并认为此招标文件没有倾向性，也不存在排斥潜在投标供应商的内容，我方同意招标文件的相关条款，放弃对招标文件提出误解和质疑的一切权力。</w:t>
      </w:r>
    </w:p>
    <w:p>
      <w:pPr>
        <w:pStyle w:val="13"/>
        <w:spacing w:line="360" w:lineRule="auto"/>
        <w:ind w:firstLine="480" w:firstLineChars="200"/>
        <w:rPr>
          <w:rFonts w:hAnsi="宋体"/>
          <w:color w:val="auto"/>
          <w:sz w:val="24"/>
          <w:szCs w:val="24"/>
        </w:rPr>
      </w:pPr>
      <w:r>
        <w:rPr>
          <w:rFonts w:hint="eastAsia" w:hAnsi="宋体"/>
          <w:color w:val="auto"/>
          <w:sz w:val="24"/>
          <w:szCs w:val="24"/>
        </w:rPr>
        <w:t>我方已完全明白招标文件的所有条款要求，自愿参加投标，并声明如下：</w:t>
      </w:r>
    </w:p>
    <w:p>
      <w:pPr>
        <w:pStyle w:val="13"/>
        <w:spacing w:line="360" w:lineRule="auto"/>
        <w:ind w:firstLine="480" w:firstLineChars="200"/>
        <w:rPr>
          <w:rFonts w:hAnsi="宋体"/>
          <w:color w:val="auto"/>
          <w:sz w:val="24"/>
          <w:szCs w:val="24"/>
        </w:rPr>
      </w:pPr>
      <w:r>
        <w:rPr>
          <w:rFonts w:hint="eastAsia" w:hAnsi="宋体"/>
          <w:color w:val="auto"/>
          <w:sz w:val="24"/>
          <w:szCs w:val="24"/>
        </w:rPr>
        <w:t>（一）按招标文件提供的全部标的的投标报价详见《开标一览表》。</w:t>
      </w:r>
    </w:p>
    <w:p>
      <w:pPr>
        <w:pStyle w:val="13"/>
        <w:spacing w:line="360" w:lineRule="auto"/>
        <w:ind w:firstLine="480" w:firstLineChars="200"/>
        <w:rPr>
          <w:rFonts w:hAnsi="宋体"/>
          <w:color w:val="auto"/>
          <w:sz w:val="24"/>
          <w:szCs w:val="24"/>
        </w:rPr>
      </w:pPr>
      <w:r>
        <w:rPr>
          <w:rFonts w:hint="eastAsia" w:hAnsi="宋体"/>
          <w:color w:val="auto"/>
          <w:sz w:val="24"/>
          <w:szCs w:val="24"/>
        </w:rPr>
        <w:t>（二）本投标文件的有效期为投标截止时间起</w:t>
      </w:r>
      <w:r>
        <w:rPr>
          <w:rFonts w:hint="eastAsia" w:hAnsi="宋体"/>
          <w:b/>
          <w:i/>
          <w:color w:val="auto"/>
          <w:sz w:val="24"/>
          <w:szCs w:val="24"/>
          <w:u w:val="single"/>
        </w:rPr>
        <w:t>90</w:t>
      </w:r>
      <w:r>
        <w:rPr>
          <w:rFonts w:hint="eastAsia" w:hAnsi="宋体"/>
          <w:color w:val="auto"/>
          <w:sz w:val="24"/>
          <w:szCs w:val="24"/>
        </w:rPr>
        <w:t>天。如中标，有效期将延至合同终止日为止。在此提交的资格证明文件均至投标截止日有效，如有在投标有效期内失效的，我方承诺在中标后补齐一切手续，保证所有资格证明文件能在签订采购合同时直至采购合同终止日有效。</w:t>
      </w:r>
    </w:p>
    <w:p>
      <w:pPr>
        <w:pStyle w:val="13"/>
        <w:spacing w:line="360" w:lineRule="auto"/>
        <w:ind w:firstLine="480" w:firstLineChars="200"/>
        <w:rPr>
          <w:rFonts w:hAnsi="宋体"/>
          <w:color w:val="auto"/>
          <w:sz w:val="24"/>
          <w:szCs w:val="24"/>
        </w:rPr>
      </w:pPr>
      <w:r>
        <w:rPr>
          <w:rFonts w:hint="eastAsia" w:hAnsi="宋体"/>
          <w:color w:val="auto"/>
          <w:sz w:val="24"/>
          <w:szCs w:val="24"/>
        </w:rPr>
        <w:t>（三）我方明白并同意，在规定的开标日之后，投标有效期之内撤回投标或中标后不按规定与采购人签订合同或不提交履约保证金（如项目（采购包）要求），则我方承担违约责任（如项目</w:t>
      </w:r>
      <w:r>
        <w:rPr>
          <w:rFonts w:hAnsi="宋体"/>
          <w:color w:val="auto"/>
          <w:sz w:val="24"/>
          <w:szCs w:val="24"/>
        </w:rPr>
        <w:t>（</w:t>
      </w:r>
      <w:r>
        <w:rPr>
          <w:rFonts w:hint="eastAsia" w:hAnsi="宋体"/>
          <w:color w:val="auto"/>
          <w:sz w:val="24"/>
          <w:szCs w:val="24"/>
        </w:rPr>
        <w:t>采购包</w:t>
      </w:r>
      <w:r>
        <w:rPr>
          <w:rFonts w:hAnsi="宋体"/>
          <w:color w:val="auto"/>
          <w:sz w:val="24"/>
          <w:szCs w:val="24"/>
        </w:rPr>
        <w:t>）</w:t>
      </w:r>
      <w:r>
        <w:rPr>
          <w:rFonts w:hint="eastAsia" w:hAnsi="宋体"/>
          <w:color w:val="auto"/>
          <w:sz w:val="24"/>
          <w:szCs w:val="24"/>
        </w:rPr>
        <w:t>要求缴纳投标保证金的，</w:t>
      </w:r>
      <w:r>
        <w:rPr>
          <w:rFonts w:hAnsi="宋体"/>
          <w:color w:val="auto"/>
          <w:sz w:val="24"/>
          <w:szCs w:val="24"/>
        </w:rPr>
        <w:t>我方同意</w:t>
      </w:r>
      <w:r>
        <w:rPr>
          <w:rFonts w:hint="eastAsia" w:hAnsi="宋体"/>
          <w:color w:val="auto"/>
          <w:sz w:val="24"/>
          <w:szCs w:val="24"/>
        </w:rPr>
        <w:t>贵方不退还投标保证金）。</w:t>
      </w:r>
    </w:p>
    <w:p>
      <w:pPr>
        <w:pStyle w:val="13"/>
        <w:spacing w:line="360" w:lineRule="auto"/>
        <w:ind w:firstLine="480" w:firstLineChars="200"/>
        <w:rPr>
          <w:rFonts w:hAnsi="宋体"/>
          <w:color w:val="auto"/>
          <w:sz w:val="24"/>
          <w:szCs w:val="24"/>
        </w:rPr>
      </w:pPr>
      <w:r>
        <w:rPr>
          <w:rFonts w:hint="eastAsia" w:hAnsi="宋体"/>
          <w:color w:val="auto"/>
          <w:sz w:val="24"/>
          <w:szCs w:val="24"/>
        </w:rPr>
        <w:t>（四）我方同意按照贵方可能提出的要求而提供与投标有关的任何其它数据、信息或资料。</w:t>
      </w:r>
    </w:p>
    <w:p>
      <w:pPr>
        <w:pStyle w:val="13"/>
        <w:spacing w:line="360" w:lineRule="auto"/>
        <w:ind w:firstLine="480" w:firstLineChars="200"/>
        <w:rPr>
          <w:rFonts w:hAnsi="宋体"/>
          <w:color w:val="auto"/>
          <w:sz w:val="24"/>
          <w:szCs w:val="24"/>
        </w:rPr>
      </w:pPr>
      <w:r>
        <w:rPr>
          <w:rFonts w:hint="eastAsia" w:hAnsi="宋体"/>
          <w:color w:val="auto"/>
          <w:sz w:val="24"/>
          <w:szCs w:val="24"/>
        </w:rPr>
        <w:t>（五）我方理解贵方不一定接受最低投标价或任何贵方可能收到的投标。</w:t>
      </w:r>
    </w:p>
    <w:p>
      <w:pPr>
        <w:pStyle w:val="13"/>
        <w:spacing w:line="360" w:lineRule="auto"/>
        <w:ind w:firstLine="480" w:firstLineChars="200"/>
        <w:rPr>
          <w:rFonts w:hAnsi="宋体"/>
          <w:color w:val="auto"/>
          <w:sz w:val="24"/>
          <w:szCs w:val="24"/>
        </w:rPr>
      </w:pPr>
      <w:r>
        <w:rPr>
          <w:rFonts w:hint="eastAsia" w:hAnsi="宋体"/>
          <w:color w:val="auto"/>
          <w:sz w:val="24"/>
          <w:szCs w:val="24"/>
        </w:rPr>
        <w:t>（六）我方如果中标，将保证履行招标文件及其澄清、修改文件（如果有）中的全部责任和义务，按质、按量、按期完成《采购需求》及《合同文本》中的全部工作。</w:t>
      </w:r>
    </w:p>
    <w:p>
      <w:pPr>
        <w:pStyle w:val="13"/>
        <w:spacing w:line="360" w:lineRule="auto"/>
        <w:ind w:firstLine="480" w:firstLineChars="200"/>
        <w:rPr>
          <w:rFonts w:hAnsi="宋体"/>
          <w:color w:val="auto"/>
          <w:sz w:val="24"/>
          <w:szCs w:val="24"/>
        </w:rPr>
      </w:pPr>
      <w:r>
        <w:rPr>
          <w:rFonts w:hint="eastAsia" w:hAnsi="宋体"/>
          <w:color w:val="auto"/>
          <w:sz w:val="24"/>
          <w:szCs w:val="24"/>
        </w:rPr>
        <w:t>（七）如我方被授予合同，我方承诺按照招标文件的约定支付就本次采购应支付或将支付的采购代理服务费（详见按招标文件要求格式填写的《采购代理服务费支付承诺书》）。</w:t>
      </w:r>
    </w:p>
    <w:p>
      <w:pPr>
        <w:pStyle w:val="13"/>
        <w:spacing w:line="360" w:lineRule="auto"/>
        <w:ind w:firstLine="480" w:firstLineChars="200"/>
        <w:rPr>
          <w:rFonts w:hAnsi="宋体"/>
          <w:color w:val="auto"/>
          <w:sz w:val="24"/>
          <w:szCs w:val="24"/>
        </w:rPr>
      </w:pPr>
      <w:r>
        <w:rPr>
          <w:rFonts w:hint="eastAsia" w:hAnsi="宋体"/>
          <w:color w:val="auto"/>
          <w:sz w:val="24"/>
          <w:szCs w:val="24"/>
        </w:rPr>
        <w:t>（八）我方作为是在法律、财务和运作上独立于采购人、采购代理机构的投标供应商，在此保证所提交的所有文件和全部说明是真实的和正确的。</w:t>
      </w:r>
    </w:p>
    <w:p>
      <w:pPr>
        <w:pStyle w:val="13"/>
        <w:spacing w:line="360" w:lineRule="auto"/>
        <w:ind w:firstLine="480" w:firstLineChars="200"/>
        <w:rPr>
          <w:rFonts w:hAnsi="宋体"/>
          <w:color w:val="auto"/>
          <w:sz w:val="24"/>
          <w:szCs w:val="24"/>
        </w:rPr>
      </w:pPr>
      <w:r>
        <w:rPr>
          <w:rFonts w:hint="eastAsia" w:hAnsi="宋体"/>
          <w:color w:val="auto"/>
          <w:sz w:val="24"/>
          <w:szCs w:val="24"/>
        </w:rPr>
        <w:t>（九）我方保证，采购人在中华人民共和国境内使用我方报价货物、资料、技术、服务、工程或其任何一部分时，享有不受限制的无偿使用权，如有第三方向采购人提出侵犯其专利权、商标权或其它知识产权的主张，该责任由我方承担。我方的报价已包含所有应向所有权人支付的专利权、商标权或其它知识产权的一切相关费用。</w:t>
      </w:r>
    </w:p>
    <w:p>
      <w:pPr>
        <w:spacing w:line="360" w:lineRule="auto"/>
        <w:ind w:firstLine="410" w:firstLineChars="171"/>
        <w:rPr>
          <w:rFonts w:ascii="宋体" w:hAnsi="宋体"/>
          <w:color w:val="auto"/>
          <w:sz w:val="24"/>
          <w:szCs w:val="24"/>
        </w:rPr>
      </w:pPr>
      <w:r>
        <w:rPr>
          <w:rFonts w:hint="eastAsia" w:hAnsi="宋体"/>
          <w:color w:val="auto"/>
          <w:sz w:val="24"/>
          <w:szCs w:val="24"/>
        </w:rPr>
        <w:t>（十）</w:t>
      </w:r>
      <w:r>
        <w:rPr>
          <w:rFonts w:hint="eastAsia" w:hAnsi="宋体"/>
          <w:color w:val="auto"/>
          <w:sz w:val="24"/>
        </w:rPr>
        <w:t>我方在此声明，所递交的投标文件及有关资料内容完整、真实和准确，且不存在第四部分“评标办法”附表6《无效投标或投标无效情形汇总表》项规定的任何一种情形。如果我方未对招标文件全部要求作出实质性响应，则完全同意并接受按无效投标处理。</w:t>
      </w:r>
    </w:p>
    <w:p>
      <w:pPr>
        <w:pStyle w:val="13"/>
        <w:spacing w:line="360" w:lineRule="auto"/>
        <w:ind w:firstLine="480" w:firstLineChars="200"/>
        <w:rPr>
          <w:rFonts w:hAnsi="宋体"/>
          <w:color w:val="auto"/>
          <w:sz w:val="24"/>
          <w:szCs w:val="24"/>
        </w:rPr>
      </w:pPr>
      <w:r>
        <w:rPr>
          <w:rFonts w:hint="eastAsia" w:hAnsi="宋体"/>
          <w:color w:val="auto"/>
          <w:sz w:val="24"/>
          <w:szCs w:val="24"/>
        </w:rPr>
        <w:t>（十一）我方对在本函及投标文件中所作的所有承诺承担法律责任。</w:t>
      </w:r>
    </w:p>
    <w:p>
      <w:pPr>
        <w:pStyle w:val="13"/>
        <w:spacing w:line="360" w:lineRule="auto"/>
        <w:ind w:firstLine="480" w:firstLineChars="200"/>
        <w:rPr>
          <w:rFonts w:hAnsi="宋体"/>
          <w:color w:val="auto"/>
          <w:sz w:val="24"/>
          <w:szCs w:val="24"/>
        </w:rPr>
      </w:pPr>
      <w:r>
        <w:rPr>
          <w:rFonts w:hint="eastAsia" w:hAnsi="宋体"/>
          <w:color w:val="auto"/>
          <w:sz w:val="24"/>
          <w:szCs w:val="24"/>
        </w:rPr>
        <w:t>（十二）我方承诺中标后不将项目分包或转包给任何单位和个人（招标文件允许的分包除外），否则，采购人有权即刻终止合同，并由我方赔偿相应损失。</w:t>
      </w:r>
    </w:p>
    <w:p>
      <w:pPr>
        <w:pStyle w:val="13"/>
        <w:spacing w:line="360" w:lineRule="auto"/>
        <w:ind w:firstLine="480" w:firstLineChars="200"/>
        <w:rPr>
          <w:rFonts w:hAnsi="宋体"/>
          <w:color w:val="auto"/>
          <w:sz w:val="24"/>
          <w:szCs w:val="24"/>
        </w:rPr>
      </w:pPr>
      <w:r>
        <w:rPr>
          <w:rFonts w:hint="eastAsia" w:hAnsi="宋体"/>
          <w:color w:val="auto"/>
          <w:sz w:val="24"/>
          <w:szCs w:val="24"/>
        </w:rPr>
        <w:t>（十三）所有与本招标有关的函件请发往下列地址：</w:t>
      </w:r>
    </w:p>
    <w:p>
      <w:pPr>
        <w:pStyle w:val="13"/>
        <w:spacing w:line="360" w:lineRule="auto"/>
        <w:ind w:firstLine="480" w:firstLineChars="200"/>
        <w:rPr>
          <w:rFonts w:hAnsi="宋体"/>
          <w:color w:val="auto"/>
          <w:sz w:val="24"/>
          <w:szCs w:val="24"/>
          <w:u w:val="single"/>
        </w:rPr>
      </w:pPr>
      <w:r>
        <w:rPr>
          <w:rFonts w:hint="eastAsia" w:hAnsi="宋体"/>
          <w:color w:val="auto"/>
          <w:sz w:val="24"/>
          <w:szCs w:val="24"/>
        </w:rPr>
        <w:t>地    址：</w:t>
      </w:r>
      <w:r>
        <w:rPr>
          <w:rFonts w:hint="eastAsia" w:hAnsi="宋体"/>
          <w:color w:val="auto"/>
          <w:sz w:val="24"/>
          <w:szCs w:val="24"/>
          <w:u w:val="single"/>
        </w:rPr>
        <w:t xml:space="preserve">                        </w:t>
      </w:r>
      <w:r>
        <w:rPr>
          <w:rFonts w:hint="eastAsia" w:hAnsi="宋体"/>
          <w:color w:val="auto"/>
          <w:sz w:val="24"/>
          <w:szCs w:val="24"/>
        </w:rPr>
        <w:t>. 邮政编码：</w:t>
      </w:r>
      <w:r>
        <w:rPr>
          <w:rFonts w:hint="eastAsia" w:hAnsi="宋体"/>
          <w:color w:val="auto"/>
          <w:sz w:val="24"/>
          <w:szCs w:val="24"/>
          <w:u w:val="single"/>
        </w:rPr>
        <w:t xml:space="preserve">                        </w:t>
      </w:r>
      <w:r>
        <w:rPr>
          <w:rFonts w:hint="eastAsia" w:hAnsi="宋体"/>
          <w:color w:val="auto"/>
          <w:sz w:val="24"/>
          <w:szCs w:val="24"/>
        </w:rPr>
        <w:t>.</w:t>
      </w:r>
    </w:p>
    <w:p>
      <w:pPr>
        <w:pStyle w:val="13"/>
        <w:spacing w:line="360" w:lineRule="auto"/>
        <w:ind w:firstLine="480" w:firstLineChars="200"/>
        <w:rPr>
          <w:rFonts w:hAnsi="宋体"/>
          <w:color w:val="auto"/>
          <w:sz w:val="24"/>
          <w:szCs w:val="24"/>
        </w:rPr>
      </w:pPr>
      <w:r>
        <w:rPr>
          <w:rFonts w:hint="eastAsia" w:hAnsi="宋体"/>
          <w:color w:val="auto"/>
          <w:sz w:val="24"/>
          <w:szCs w:val="24"/>
        </w:rPr>
        <w:t>电    话：</w:t>
      </w:r>
      <w:r>
        <w:rPr>
          <w:rFonts w:hint="eastAsia" w:hAnsi="宋体"/>
          <w:color w:val="auto"/>
          <w:sz w:val="24"/>
          <w:szCs w:val="24"/>
          <w:u w:val="single"/>
        </w:rPr>
        <w:t xml:space="preserve">                        </w:t>
      </w:r>
      <w:r>
        <w:rPr>
          <w:rFonts w:hint="eastAsia" w:hAnsi="宋体"/>
          <w:color w:val="auto"/>
          <w:sz w:val="24"/>
          <w:szCs w:val="24"/>
        </w:rPr>
        <w:t>. 传    真：</w:t>
      </w:r>
      <w:r>
        <w:rPr>
          <w:rFonts w:hint="eastAsia" w:hAnsi="宋体"/>
          <w:color w:val="auto"/>
          <w:sz w:val="24"/>
          <w:szCs w:val="24"/>
          <w:u w:val="single"/>
        </w:rPr>
        <w:t xml:space="preserve">                        </w:t>
      </w:r>
      <w:r>
        <w:rPr>
          <w:rFonts w:hint="eastAsia" w:hAnsi="宋体"/>
          <w:color w:val="auto"/>
          <w:sz w:val="24"/>
          <w:szCs w:val="24"/>
        </w:rPr>
        <w:t>.</w:t>
      </w:r>
    </w:p>
    <w:p>
      <w:pPr>
        <w:pStyle w:val="13"/>
        <w:spacing w:line="360" w:lineRule="auto"/>
        <w:ind w:firstLine="480" w:firstLineChars="200"/>
        <w:rPr>
          <w:rFonts w:hAnsi="宋体"/>
          <w:color w:val="auto"/>
          <w:sz w:val="24"/>
          <w:szCs w:val="24"/>
          <w:u w:val="single"/>
        </w:rPr>
      </w:pPr>
      <w:r>
        <w:rPr>
          <w:rFonts w:hint="eastAsia" w:hAnsi="宋体"/>
          <w:color w:val="auto"/>
          <w:sz w:val="24"/>
          <w:szCs w:val="24"/>
        </w:rPr>
        <w:t>代表姓名：</w:t>
      </w:r>
      <w:r>
        <w:rPr>
          <w:rFonts w:hint="eastAsia" w:hAnsi="宋体"/>
          <w:color w:val="auto"/>
          <w:sz w:val="24"/>
          <w:szCs w:val="24"/>
          <w:u w:val="single"/>
        </w:rPr>
        <w:t xml:space="preserve">                        </w:t>
      </w:r>
      <w:r>
        <w:rPr>
          <w:rFonts w:hint="eastAsia" w:hAnsi="宋体"/>
          <w:color w:val="auto"/>
          <w:sz w:val="24"/>
          <w:szCs w:val="24"/>
        </w:rPr>
        <w:t>. 职    务：</w:t>
      </w:r>
      <w:r>
        <w:rPr>
          <w:rFonts w:hint="eastAsia" w:hAnsi="宋体"/>
          <w:color w:val="auto"/>
          <w:sz w:val="24"/>
          <w:szCs w:val="24"/>
          <w:u w:val="single"/>
        </w:rPr>
        <w:t xml:space="preserve">                        </w:t>
      </w:r>
      <w:r>
        <w:rPr>
          <w:rFonts w:hint="eastAsia" w:hAnsi="宋体"/>
          <w:color w:val="auto"/>
          <w:sz w:val="24"/>
          <w:szCs w:val="24"/>
        </w:rPr>
        <w:t>.</w:t>
      </w:r>
    </w:p>
    <w:p>
      <w:pPr>
        <w:autoSpaceDE w:val="0"/>
        <w:autoSpaceDN w:val="0"/>
        <w:spacing w:line="360" w:lineRule="auto"/>
        <w:ind w:firstLine="360" w:firstLineChars="150"/>
        <w:rPr>
          <w:rFonts w:ascii="宋体" w:hAnsi="宋体"/>
          <w:color w:val="auto"/>
          <w:sz w:val="24"/>
          <w:szCs w:val="24"/>
        </w:rPr>
      </w:pPr>
      <w:r>
        <w:rPr>
          <w:rFonts w:hint="eastAsia" w:ascii="宋体" w:hAnsi="宋体"/>
          <w:color w:val="auto"/>
          <w:sz w:val="24"/>
          <w:szCs w:val="24"/>
        </w:rPr>
        <w:t>以上内容如有虚假或与事实不符的，评审委员会可将我方做无效响应处理，我方愿意承担相应的法律责任。</w:t>
      </w: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投标人名称（加盖公章）：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投标人法定代表人或授权代表（签字或盖章）：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日期：</w:t>
      </w:r>
      <w:r>
        <w:rPr>
          <w:rFonts w:hint="eastAsia" w:ascii="宋体" w:hAnsi="宋体"/>
          <w:color w:val="auto"/>
          <w:sz w:val="24"/>
          <w:szCs w:val="24"/>
          <w:u w:val="single"/>
        </w:rPr>
        <w:t xml:space="preserve">        </w:t>
      </w:r>
      <w:r>
        <w:rPr>
          <w:rFonts w:hint="eastAsia" w:ascii="宋体" w:hAnsi="宋体"/>
          <w:color w:val="auto"/>
          <w:sz w:val="24"/>
          <w:szCs w:val="24"/>
        </w:rPr>
        <w:t>年</w:t>
      </w:r>
      <w:r>
        <w:rPr>
          <w:rFonts w:hint="eastAsia" w:ascii="宋体" w:hAnsi="宋体"/>
          <w:color w:val="auto"/>
          <w:sz w:val="24"/>
          <w:szCs w:val="24"/>
          <w:u w:val="single"/>
        </w:rPr>
        <w:t xml:space="preserve">    </w:t>
      </w:r>
      <w:r>
        <w:rPr>
          <w:rFonts w:hint="eastAsia" w:ascii="宋体" w:hAnsi="宋体"/>
          <w:color w:val="auto"/>
          <w:sz w:val="24"/>
          <w:szCs w:val="24"/>
        </w:rPr>
        <w:t>月</w:t>
      </w:r>
      <w:r>
        <w:rPr>
          <w:rFonts w:hint="eastAsia" w:ascii="宋体" w:hAnsi="宋体"/>
          <w:color w:val="auto"/>
          <w:sz w:val="24"/>
          <w:szCs w:val="24"/>
          <w:u w:val="single"/>
        </w:rPr>
        <w:t xml:space="preserve">    </w:t>
      </w:r>
      <w:r>
        <w:rPr>
          <w:rFonts w:hint="eastAsia" w:ascii="宋体" w:hAnsi="宋体"/>
          <w:color w:val="auto"/>
          <w:sz w:val="24"/>
          <w:szCs w:val="24"/>
        </w:rPr>
        <w:t>日</w:t>
      </w:r>
    </w:p>
    <w:p>
      <w:pPr>
        <w:spacing w:line="360" w:lineRule="auto"/>
        <w:rPr>
          <w:rFonts w:ascii="宋体" w:hAnsi="宋体"/>
          <w:color w:val="auto"/>
          <w:sz w:val="24"/>
          <w:szCs w:val="24"/>
        </w:rPr>
      </w:pPr>
    </w:p>
    <w:p>
      <w:pPr>
        <w:rPr>
          <w:rFonts w:ascii="宋体" w:hAnsi="宋体"/>
          <w:b/>
          <w:color w:val="auto"/>
          <w:sz w:val="24"/>
          <w:szCs w:val="24"/>
        </w:rPr>
      </w:pPr>
      <w:r>
        <w:rPr>
          <w:rFonts w:hint="eastAsia" w:ascii="宋体" w:hAnsi="宋体"/>
          <w:b/>
          <w:color w:val="auto"/>
          <w:sz w:val="24"/>
          <w:szCs w:val="24"/>
        </w:rPr>
        <w:t>备注：</w:t>
      </w:r>
    </w:p>
    <w:p>
      <w:pPr>
        <w:ind w:firstLine="480" w:firstLineChars="200"/>
        <w:rPr>
          <w:rFonts w:ascii="宋体" w:hAnsi="宋体"/>
          <w:color w:val="auto"/>
          <w:sz w:val="24"/>
        </w:rPr>
      </w:pPr>
      <w:r>
        <w:rPr>
          <w:rFonts w:hint="eastAsia" w:ascii="宋体" w:hAnsi="宋体"/>
          <w:color w:val="auto"/>
          <w:sz w:val="24"/>
          <w:szCs w:val="24"/>
        </w:rPr>
        <w:t>1.</w:t>
      </w:r>
      <w:r>
        <w:rPr>
          <w:rFonts w:hint="eastAsia" w:ascii="宋体" w:hAnsi="宋体"/>
          <w:color w:val="auto"/>
          <w:sz w:val="24"/>
        </w:rPr>
        <w:t>本格式文件承诺的投标有效期应当不少于招标文件中载明的投标有效期，其他</w:t>
      </w:r>
      <w:r>
        <w:rPr>
          <w:rFonts w:hint="eastAsia" w:ascii="宋体" w:hAnsi="宋体"/>
          <w:color w:val="auto"/>
          <w:sz w:val="24"/>
          <w:szCs w:val="24"/>
        </w:rPr>
        <w:t>内容不得擅自删改，</w:t>
      </w:r>
      <w:r>
        <w:rPr>
          <w:rFonts w:hint="eastAsia" w:ascii="宋体" w:hAnsi="宋体"/>
          <w:color w:val="auto"/>
          <w:sz w:val="24"/>
        </w:rPr>
        <w:t>否则可能被视为</w:t>
      </w:r>
      <w:r>
        <w:rPr>
          <w:rFonts w:hint="eastAsia" w:ascii="宋体" w:hAnsi="宋体"/>
          <w:b/>
          <w:color w:val="auto"/>
          <w:sz w:val="24"/>
        </w:rPr>
        <w:t>无效投标</w:t>
      </w:r>
      <w:r>
        <w:rPr>
          <w:rFonts w:hint="eastAsia" w:ascii="宋体" w:hAnsi="宋体"/>
          <w:color w:val="auto"/>
          <w:sz w:val="24"/>
        </w:rPr>
        <w:t>。</w:t>
      </w:r>
    </w:p>
    <w:p>
      <w:pPr>
        <w:spacing w:line="360" w:lineRule="auto"/>
        <w:rPr>
          <w:rFonts w:ascii="宋体" w:hAnsi="宋体"/>
          <w:color w:val="auto"/>
          <w:sz w:val="24"/>
          <w:szCs w:val="24"/>
        </w:rPr>
      </w:pPr>
      <w:bookmarkStart w:id="397" w:name="_Toc22806201"/>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pStyle w:val="6"/>
        <w:numPr>
          <w:ilvl w:val="1"/>
          <w:numId w:val="95"/>
        </w:numPr>
        <w:tabs>
          <w:tab w:val="left" w:pos="945"/>
        </w:tabs>
        <w:ind w:left="964" w:hanging="960" w:hangingChars="400"/>
        <w:rPr>
          <w:rFonts w:ascii="宋体" w:hAnsi="宋体"/>
          <w:color w:val="auto"/>
          <w:szCs w:val="24"/>
        </w:rPr>
      </w:pPr>
      <w:r>
        <w:rPr>
          <w:rFonts w:hint="eastAsia" w:ascii="宋体" w:hAnsi="宋体"/>
          <w:color w:val="auto"/>
          <w:szCs w:val="24"/>
        </w:rPr>
        <w:t>供应商资格声明函</w:t>
      </w:r>
    </w:p>
    <w:p>
      <w:pPr>
        <w:pStyle w:val="13"/>
        <w:spacing w:line="360" w:lineRule="auto"/>
        <w:jc w:val="center"/>
        <w:rPr>
          <w:rFonts w:hAnsi="宋体"/>
          <w:b/>
          <w:color w:val="auto"/>
          <w:sz w:val="32"/>
          <w:szCs w:val="32"/>
        </w:rPr>
      </w:pPr>
      <w:r>
        <w:rPr>
          <w:rFonts w:hint="eastAsia" w:hAnsi="宋体"/>
          <w:b/>
          <w:color w:val="auto"/>
          <w:sz w:val="32"/>
          <w:szCs w:val="32"/>
        </w:rPr>
        <w:t>供应商资格声明函</w:t>
      </w:r>
    </w:p>
    <w:p>
      <w:pPr>
        <w:snapToGrid w:val="0"/>
        <w:rPr>
          <w:rFonts w:ascii="宋体" w:hAnsi="宋体"/>
          <w:b/>
          <w:color w:val="auto"/>
          <w:sz w:val="24"/>
        </w:rPr>
      </w:pPr>
      <w:r>
        <w:rPr>
          <w:rFonts w:hint="eastAsia" w:ascii="宋体" w:hAnsi="宋体"/>
          <w:b/>
          <w:color w:val="auto"/>
          <w:sz w:val="24"/>
        </w:rPr>
        <w:t>广东华伦招标有限公司：</w:t>
      </w:r>
    </w:p>
    <w:p>
      <w:pPr>
        <w:snapToGrid w:val="0"/>
        <w:ind w:firstLine="480" w:firstLineChars="200"/>
        <w:rPr>
          <w:rFonts w:ascii="宋体" w:hAnsi="宋体"/>
          <w:color w:val="auto"/>
          <w:sz w:val="24"/>
        </w:rPr>
      </w:pPr>
      <w:r>
        <w:rPr>
          <w:rFonts w:hint="eastAsia" w:ascii="宋体" w:hAnsi="宋体"/>
          <w:color w:val="auto"/>
          <w:sz w:val="24"/>
        </w:rPr>
        <w:t>关于贵方发布</w:t>
      </w:r>
      <w:r>
        <w:rPr>
          <w:rFonts w:hint="eastAsia" w:ascii="宋体" w:hAnsi="宋体"/>
          <w:color w:val="auto"/>
          <w:sz w:val="24"/>
          <w:szCs w:val="24"/>
          <w:u w:val="single"/>
          <w:lang w:eastAsia="zh-CN"/>
        </w:rPr>
        <w:t>工业和信息化部电子第五研究所动力电池配套使用环境试验箱采购项目</w:t>
      </w:r>
      <w:r>
        <w:rPr>
          <w:rFonts w:hint="eastAsia" w:ascii="宋体" w:hAnsi="宋体"/>
          <w:color w:val="auto"/>
          <w:sz w:val="24"/>
        </w:rPr>
        <w:t>[采购文件编号：</w:t>
      </w:r>
      <w:r>
        <w:rPr>
          <w:rFonts w:hint="eastAsia" w:ascii="宋体" w:hAnsi="宋体"/>
          <w:color w:val="auto"/>
          <w:sz w:val="24"/>
          <w:szCs w:val="24"/>
          <w:u w:val="single"/>
          <w:lang w:eastAsia="zh-CN"/>
        </w:rPr>
        <w:t>0809-2241GZG14036</w:t>
      </w:r>
      <w:r>
        <w:rPr>
          <w:rFonts w:hint="eastAsia" w:ascii="宋体" w:hAnsi="宋体"/>
          <w:color w:val="auto"/>
          <w:sz w:val="24"/>
          <w:szCs w:val="24"/>
          <w:u w:val="single"/>
        </w:rPr>
        <w:t>]</w:t>
      </w:r>
      <w:r>
        <w:rPr>
          <w:rFonts w:hint="eastAsia" w:ascii="宋体" w:hAnsi="宋体"/>
          <w:color w:val="auto"/>
          <w:sz w:val="24"/>
        </w:rPr>
        <w:t>的招标公告，本单位愿意参加上述项目</w:t>
      </w:r>
      <w:r>
        <w:rPr>
          <w:rFonts w:hint="eastAsia" w:hAnsi="宋体"/>
          <w:color w:val="auto"/>
          <w:sz w:val="24"/>
          <w:szCs w:val="24"/>
        </w:rPr>
        <w:t>/采购包号</w:t>
      </w:r>
      <w:r>
        <w:rPr>
          <w:rFonts w:hint="eastAsia" w:hAnsi="宋体"/>
          <w:i/>
          <w:color w:val="auto"/>
          <w:sz w:val="24"/>
          <w:szCs w:val="24"/>
          <w:u w:val="single"/>
        </w:rPr>
        <w:t>（如有，填写投标采购包号）</w:t>
      </w:r>
      <w:r>
        <w:rPr>
          <w:rFonts w:hint="eastAsia" w:ascii="宋体" w:hAnsi="宋体"/>
          <w:color w:val="auto"/>
          <w:sz w:val="24"/>
        </w:rPr>
        <w:t>投标，并已清楚招标文件的要求及有关文件规定，声明如下：</w:t>
      </w:r>
    </w:p>
    <w:p>
      <w:pPr>
        <w:pStyle w:val="58"/>
        <w:tabs>
          <w:tab w:val="left" w:pos="993"/>
        </w:tabs>
        <w:snapToGrid w:val="0"/>
        <w:ind w:firstLine="480"/>
        <w:rPr>
          <w:rFonts w:ascii="宋体" w:hAnsi="宋体"/>
          <w:color w:val="auto"/>
          <w:sz w:val="24"/>
        </w:rPr>
      </w:pPr>
      <w:r>
        <w:rPr>
          <w:rFonts w:hint="eastAsia" w:ascii="宋体" w:hAnsi="宋体"/>
          <w:color w:val="auto"/>
          <w:sz w:val="24"/>
        </w:rPr>
        <w:t>（一）我方具备《中华人民共和国政府采购法》第二十二条所规定的条件：</w:t>
      </w:r>
    </w:p>
    <w:p>
      <w:pPr>
        <w:pStyle w:val="58"/>
        <w:tabs>
          <w:tab w:val="left" w:pos="993"/>
        </w:tabs>
        <w:snapToGrid w:val="0"/>
        <w:ind w:firstLine="480"/>
        <w:rPr>
          <w:rFonts w:ascii="宋体" w:hAnsi="宋体"/>
          <w:color w:val="auto"/>
          <w:sz w:val="24"/>
          <w:szCs w:val="24"/>
        </w:rPr>
      </w:pPr>
      <w:r>
        <w:rPr>
          <w:rFonts w:hint="eastAsia" w:ascii="宋体" w:hAnsi="宋体"/>
          <w:color w:val="auto"/>
          <w:sz w:val="24"/>
          <w:szCs w:val="21"/>
        </w:rPr>
        <w:t>（1）</w:t>
      </w:r>
      <w:r>
        <w:rPr>
          <w:rFonts w:hint="eastAsia" w:ascii="宋体" w:hAnsi="宋体"/>
          <w:color w:val="auto"/>
          <w:sz w:val="24"/>
          <w:szCs w:val="24"/>
        </w:rPr>
        <w:t>具有独立承担民事责任的能力；</w:t>
      </w:r>
    </w:p>
    <w:p>
      <w:pPr>
        <w:pStyle w:val="58"/>
        <w:tabs>
          <w:tab w:val="left" w:pos="993"/>
        </w:tabs>
        <w:snapToGrid w:val="0"/>
        <w:ind w:firstLine="480"/>
        <w:rPr>
          <w:rFonts w:ascii="宋体" w:hAnsi="宋体"/>
          <w:color w:val="auto"/>
          <w:sz w:val="24"/>
          <w:szCs w:val="24"/>
        </w:rPr>
      </w:pPr>
      <w:r>
        <w:rPr>
          <w:rFonts w:hint="eastAsia" w:ascii="宋体" w:hAnsi="宋体"/>
          <w:color w:val="auto"/>
          <w:sz w:val="24"/>
          <w:szCs w:val="24"/>
        </w:rPr>
        <w:t>（2）具有良好的商业信誉和健全的财务会计制度；</w:t>
      </w:r>
    </w:p>
    <w:p>
      <w:pPr>
        <w:pStyle w:val="58"/>
        <w:tabs>
          <w:tab w:val="left" w:pos="993"/>
        </w:tabs>
        <w:snapToGrid w:val="0"/>
        <w:ind w:firstLine="480"/>
        <w:rPr>
          <w:rFonts w:ascii="宋体" w:hAnsi="宋体"/>
          <w:color w:val="auto"/>
          <w:sz w:val="24"/>
          <w:szCs w:val="21"/>
        </w:rPr>
      </w:pPr>
      <w:r>
        <w:rPr>
          <w:rFonts w:hint="eastAsia" w:ascii="宋体" w:hAnsi="宋体"/>
          <w:color w:val="auto"/>
          <w:sz w:val="24"/>
          <w:szCs w:val="21"/>
        </w:rPr>
        <w:t>（3）</w:t>
      </w:r>
      <w:r>
        <w:rPr>
          <w:rFonts w:hint="eastAsia" w:ascii="宋体" w:hAnsi="宋体"/>
          <w:color w:val="auto"/>
          <w:sz w:val="24"/>
          <w:szCs w:val="24"/>
        </w:rPr>
        <w:t>有依法缴纳税收和社会保障资金的良好记录；</w:t>
      </w:r>
    </w:p>
    <w:p>
      <w:pPr>
        <w:pStyle w:val="58"/>
        <w:tabs>
          <w:tab w:val="left" w:pos="993"/>
        </w:tabs>
        <w:snapToGrid w:val="0"/>
        <w:ind w:firstLine="480"/>
        <w:rPr>
          <w:rFonts w:ascii="宋体" w:hAnsi="宋体"/>
          <w:color w:val="auto"/>
          <w:sz w:val="24"/>
          <w:szCs w:val="21"/>
        </w:rPr>
      </w:pPr>
      <w:r>
        <w:rPr>
          <w:rFonts w:hint="eastAsia" w:ascii="宋体" w:hAnsi="宋体"/>
          <w:color w:val="auto"/>
          <w:sz w:val="24"/>
          <w:szCs w:val="24"/>
        </w:rPr>
        <w:t>（4）</w:t>
      </w:r>
      <w:r>
        <w:rPr>
          <w:rFonts w:hint="eastAsia" w:ascii="宋体" w:hAnsi="宋体"/>
          <w:color w:val="auto"/>
          <w:sz w:val="24"/>
          <w:szCs w:val="21"/>
        </w:rPr>
        <w:t>具有履行合同所必需的设备和专业技术能力；</w:t>
      </w:r>
    </w:p>
    <w:p>
      <w:pPr>
        <w:pStyle w:val="58"/>
        <w:tabs>
          <w:tab w:val="left" w:pos="993"/>
        </w:tabs>
        <w:snapToGrid w:val="0"/>
        <w:ind w:firstLine="480"/>
        <w:rPr>
          <w:rFonts w:ascii="宋体" w:hAnsi="宋体"/>
          <w:color w:val="auto"/>
          <w:sz w:val="24"/>
          <w:szCs w:val="21"/>
        </w:rPr>
      </w:pPr>
      <w:r>
        <w:rPr>
          <w:rFonts w:hint="eastAsia" w:ascii="宋体" w:hAnsi="宋体"/>
          <w:color w:val="auto"/>
          <w:sz w:val="24"/>
          <w:szCs w:val="21"/>
        </w:rPr>
        <w:t>（5）我方（如前三年内有名称变更的，含变更前名称）参加本项目政府采购活动前三年内在经营活动中没有重大违法记录（重大违法记录是指没有因违法经营受到刑事处罚或责令停产停业、吊销许可证或者执照、较大数额罚款等行政处罚）；</w:t>
      </w:r>
    </w:p>
    <w:p>
      <w:pPr>
        <w:pStyle w:val="58"/>
        <w:tabs>
          <w:tab w:val="left" w:pos="993"/>
        </w:tabs>
        <w:snapToGrid w:val="0"/>
        <w:ind w:firstLine="480"/>
        <w:rPr>
          <w:rFonts w:ascii="宋体" w:hAnsi="宋体"/>
          <w:color w:val="auto"/>
          <w:sz w:val="24"/>
        </w:rPr>
      </w:pPr>
      <w:r>
        <w:rPr>
          <w:rFonts w:hint="eastAsia" w:ascii="宋体" w:hAnsi="宋体"/>
          <w:color w:val="auto"/>
          <w:sz w:val="24"/>
        </w:rPr>
        <w:t>（6）我方</w:t>
      </w:r>
      <w:r>
        <w:rPr>
          <w:rFonts w:hint="eastAsia" w:ascii="宋体" w:hAnsi="宋体" w:cs="宋体"/>
          <w:color w:val="auto"/>
          <w:kern w:val="0"/>
          <w:sz w:val="24"/>
          <w:szCs w:val="24"/>
        </w:rPr>
        <w:t>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w:t>
      </w:r>
    </w:p>
    <w:p>
      <w:pPr>
        <w:pStyle w:val="58"/>
        <w:tabs>
          <w:tab w:val="left" w:pos="993"/>
        </w:tabs>
        <w:snapToGrid w:val="0"/>
        <w:ind w:firstLine="480"/>
        <w:rPr>
          <w:rFonts w:ascii="宋体" w:hAnsi="宋体"/>
          <w:color w:val="auto"/>
          <w:sz w:val="24"/>
        </w:rPr>
      </w:pPr>
      <w:r>
        <w:rPr>
          <w:rFonts w:hint="eastAsia" w:ascii="宋体" w:hAnsi="宋体"/>
          <w:color w:val="auto"/>
          <w:sz w:val="24"/>
        </w:rPr>
        <w:t>（7）我方</w:t>
      </w:r>
      <w:r>
        <w:rPr>
          <w:rFonts w:hint="eastAsia" w:ascii="宋体" w:hAnsi="宋体"/>
          <w:color w:val="auto"/>
          <w:sz w:val="24"/>
          <w:szCs w:val="21"/>
        </w:rPr>
        <w:t>符合法律、行政法规规定的其他条件</w:t>
      </w:r>
      <w:r>
        <w:rPr>
          <w:rFonts w:hint="eastAsia" w:ascii="宋体" w:hAnsi="宋体"/>
          <w:color w:val="auto"/>
          <w:sz w:val="24"/>
          <w:szCs w:val="24"/>
        </w:rPr>
        <w:t>，</w:t>
      </w:r>
      <w:r>
        <w:rPr>
          <w:rFonts w:hint="eastAsia" w:ascii="宋体" w:hAnsi="宋体"/>
          <w:color w:val="auto"/>
          <w:sz w:val="24"/>
        </w:rPr>
        <w:t>不存在以下不得参加本项目（同一采购包）投标的情形之一：</w:t>
      </w:r>
    </w:p>
    <w:p>
      <w:pPr>
        <w:pStyle w:val="58"/>
        <w:tabs>
          <w:tab w:val="left" w:pos="993"/>
        </w:tabs>
        <w:snapToGrid w:val="0"/>
        <w:ind w:firstLine="480"/>
        <w:rPr>
          <w:rFonts w:ascii="宋体" w:hAnsi="宋体"/>
          <w:color w:val="auto"/>
          <w:sz w:val="24"/>
          <w:szCs w:val="21"/>
        </w:rPr>
      </w:pPr>
      <w:r>
        <w:rPr>
          <w:rFonts w:hint="eastAsia" w:ascii="宋体" w:hAnsi="宋体"/>
          <w:color w:val="auto"/>
          <w:sz w:val="24"/>
          <w:szCs w:val="21"/>
        </w:rPr>
        <w:t>1）不同供应商的单位负责人为同一人或者存在直接控股、管理关系；</w:t>
      </w:r>
    </w:p>
    <w:p>
      <w:pPr>
        <w:pStyle w:val="58"/>
        <w:tabs>
          <w:tab w:val="left" w:pos="993"/>
        </w:tabs>
        <w:snapToGrid w:val="0"/>
        <w:ind w:firstLine="480"/>
        <w:rPr>
          <w:rFonts w:ascii="宋体" w:hAnsi="宋体"/>
          <w:color w:val="auto"/>
          <w:sz w:val="24"/>
          <w:szCs w:val="21"/>
        </w:rPr>
      </w:pPr>
      <w:r>
        <w:rPr>
          <w:rFonts w:hint="eastAsia" w:ascii="宋体" w:hAnsi="宋体"/>
          <w:color w:val="auto"/>
          <w:sz w:val="24"/>
          <w:szCs w:val="21"/>
        </w:rPr>
        <w:t>2）供应商为采购项目提供整体设计、规范编制或者项目管理、监理、检测等服务。</w:t>
      </w:r>
    </w:p>
    <w:p>
      <w:pPr>
        <w:pStyle w:val="58"/>
        <w:tabs>
          <w:tab w:val="left" w:pos="993"/>
        </w:tabs>
        <w:snapToGrid w:val="0"/>
        <w:ind w:firstLine="480"/>
        <w:rPr>
          <w:rFonts w:ascii="宋体" w:hAnsi="宋体"/>
          <w:color w:val="auto"/>
          <w:sz w:val="24"/>
        </w:rPr>
      </w:pPr>
      <w:r>
        <w:rPr>
          <w:rFonts w:hint="eastAsia" w:ascii="宋体" w:hAnsi="宋体"/>
          <w:color w:val="auto"/>
          <w:sz w:val="24"/>
        </w:rPr>
        <w:t>（二）我方已按招标公告及招标文件的规定获取了招标文件。</w:t>
      </w:r>
    </w:p>
    <w:p>
      <w:pPr>
        <w:pStyle w:val="58"/>
        <w:tabs>
          <w:tab w:val="left" w:pos="993"/>
        </w:tabs>
        <w:snapToGrid w:val="0"/>
        <w:ind w:firstLine="480"/>
        <w:rPr>
          <w:rFonts w:ascii="宋体" w:hAnsi="宋体"/>
          <w:color w:val="auto"/>
          <w:sz w:val="24"/>
        </w:rPr>
      </w:pPr>
      <w:r>
        <w:rPr>
          <w:rFonts w:hint="eastAsia" w:ascii="宋体" w:hAnsi="宋体"/>
          <w:color w:val="auto"/>
          <w:sz w:val="24"/>
        </w:rPr>
        <w:t>（三）</w:t>
      </w:r>
      <w:r>
        <w:rPr>
          <w:rFonts w:hint="eastAsia" w:ascii="宋体" w:hAnsi="宋体"/>
          <w:color w:val="auto"/>
          <w:sz w:val="24"/>
        </w:rPr>
        <w:tab/>
      </w:r>
      <w:r>
        <w:rPr>
          <w:rFonts w:hint="eastAsia" w:ascii="宋体" w:hAnsi="宋体"/>
          <w:color w:val="auto"/>
          <w:sz w:val="24"/>
        </w:rPr>
        <w:t>若本项目不接受联合体报价的，我方承诺以独立供应商名义即非联合体方式参加本项目的投标。</w:t>
      </w:r>
    </w:p>
    <w:p>
      <w:pPr>
        <w:snapToGrid w:val="0"/>
        <w:ind w:firstLine="484" w:firstLineChars="202"/>
        <w:rPr>
          <w:rFonts w:ascii="宋体" w:hAnsi="宋体"/>
          <w:color w:val="auto"/>
          <w:sz w:val="24"/>
          <w:szCs w:val="24"/>
        </w:rPr>
      </w:pPr>
      <w:r>
        <w:rPr>
          <w:rFonts w:hint="eastAsia" w:ascii="宋体" w:hAnsi="宋体"/>
          <w:color w:val="auto"/>
          <w:sz w:val="24"/>
          <w:szCs w:val="24"/>
        </w:rPr>
        <w:t>（四）我方郑重承诺公平竞争：我方保证所提交的相关资质文件和证明材料的真实性，有良好的历史诚信记录，并将依法参与本项目（采购包）的公平竞争，不以任何不正当行为谋取不当利益，否则承担相应的法律责任。</w:t>
      </w:r>
    </w:p>
    <w:p>
      <w:pPr>
        <w:snapToGrid w:val="0"/>
        <w:ind w:firstLine="484" w:firstLineChars="202"/>
        <w:rPr>
          <w:rFonts w:ascii="宋体" w:hAnsi="宋体"/>
          <w:color w:val="auto"/>
          <w:sz w:val="24"/>
        </w:rPr>
      </w:pPr>
      <w:r>
        <w:rPr>
          <w:rFonts w:hint="eastAsia" w:ascii="宋体" w:hAnsi="宋体"/>
          <w:color w:val="auto"/>
          <w:sz w:val="24"/>
          <w:szCs w:val="24"/>
        </w:rPr>
        <w:t>以上内容如有虚假或与事实不符的，评标委员会可将我方做无效投标处理。我方</w:t>
      </w:r>
      <w:r>
        <w:rPr>
          <w:rFonts w:hint="eastAsia" w:ascii="宋体" w:hAnsi="宋体"/>
          <w:color w:val="auto"/>
          <w:sz w:val="24"/>
        </w:rPr>
        <w:t>承诺在本次采购活动中，如有违法、违规、弄虚作假行为，所造成的损失、不良后果及法律责任，一律由我方承担。</w:t>
      </w:r>
    </w:p>
    <w:p>
      <w:pPr>
        <w:snapToGrid w:val="0"/>
        <w:ind w:firstLine="420"/>
        <w:rPr>
          <w:rFonts w:ascii="宋体" w:hAnsi="宋体"/>
          <w:color w:val="auto"/>
          <w:sz w:val="24"/>
        </w:rPr>
      </w:pPr>
      <w:r>
        <w:rPr>
          <w:rFonts w:hint="eastAsia" w:ascii="宋体" w:hAnsi="宋体"/>
          <w:color w:val="auto"/>
          <w:sz w:val="24"/>
        </w:rPr>
        <w:t>特此声明！</w:t>
      </w:r>
    </w:p>
    <w:p>
      <w:pPr>
        <w:snapToGrid w:val="0"/>
        <w:rPr>
          <w:rFonts w:ascii="宋体" w:hAnsi="宋体"/>
          <w:b/>
          <w:color w:val="auto"/>
          <w:sz w:val="24"/>
        </w:rPr>
      </w:pPr>
    </w:p>
    <w:p>
      <w:pPr>
        <w:snapToGrid w:val="0"/>
        <w:rPr>
          <w:rFonts w:ascii="宋体" w:hAnsi="宋体"/>
          <w:color w:val="auto"/>
          <w:sz w:val="24"/>
        </w:rPr>
      </w:pPr>
      <w:r>
        <w:rPr>
          <w:rFonts w:hint="eastAsia" w:ascii="宋体" w:hAnsi="宋体"/>
          <w:color w:val="auto"/>
          <w:sz w:val="24"/>
        </w:rPr>
        <w:t>供应商名称（加盖公章）：</w:t>
      </w:r>
      <w:r>
        <w:rPr>
          <w:rFonts w:hint="eastAsia" w:ascii="宋体" w:hAnsi="宋体"/>
          <w:color w:val="auto"/>
          <w:sz w:val="24"/>
          <w:szCs w:val="24"/>
          <w:u w:val="single"/>
        </w:rPr>
        <w:t xml:space="preserve">                                   </w:t>
      </w:r>
    </w:p>
    <w:p>
      <w:pPr>
        <w:snapToGrid w:val="0"/>
        <w:rPr>
          <w:rFonts w:ascii="宋体" w:hAnsi="宋体"/>
          <w:color w:val="auto"/>
          <w:sz w:val="24"/>
        </w:rPr>
      </w:pPr>
      <w:r>
        <w:rPr>
          <w:rFonts w:hint="eastAsia" w:ascii="宋体" w:hAnsi="宋体"/>
          <w:color w:val="auto"/>
          <w:sz w:val="24"/>
        </w:rPr>
        <w:t>供应商法定代表人或授权代表（签字或盖章）：</w:t>
      </w:r>
      <w:r>
        <w:rPr>
          <w:rFonts w:hint="eastAsia" w:ascii="宋体" w:hAnsi="宋体"/>
          <w:color w:val="auto"/>
          <w:sz w:val="24"/>
          <w:szCs w:val="24"/>
          <w:u w:val="single"/>
        </w:rPr>
        <w:t xml:space="preserve">                          </w:t>
      </w:r>
    </w:p>
    <w:p>
      <w:pPr>
        <w:snapToGrid w:val="0"/>
        <w:rPr>
          <w:rFonts w:ascii="宋体" w:hAnsi="宋体"/>
          <w:b/>
          <w:color w:val="auto"/>
          <w:sz w:val="24"/>
        </w:rPr>
      </w:pPr>
      <w:r>
        <w:rPr>
          <w:rFonts w:hint="eastAsia" w:ascii="宋体" w:hAnsi="宋体"/>
          <w:color w:val="auto"/>
          <w:sz w:val="24"/>
        </w:rPr>
        <w:t>日期：</w:t>
      </w:r>
      <w:r>
        <w:rPr>
          <w:rFonts w:hint="eastAsia" w:ascii="宋体" w:hAnsi="宋体"/>
          <w:color w:val="auto"/>
          <w:sz w:val="24"/>
          <w:szCs w:val="24"/>
          <w:u w:val="single"/>
        </w:rPr>
        <w:t xml:space="preserve">       </w:t>
      </w:r>
      <w:r>
        <w:rPr>
          <w:rFonts w:hint="eastAsia" w:ascii="宋体" w:hAnsi="宋体"/>
          <w:color w:val="auto"/>
          <w:sz w:val="24"/>
        </w:rPr>
        <w:t>年</w:t>
      </w:r>
      <w:r>
        <w:rPr>
          <w:rFonts w:hint="eastAsia" w:ascii="宋体" w:hAnsi="宋体"/>
          <w:color w:val="auto"/>
          <w:sz w:val="24"/>
          <w:szCs w:val="24"/>
          <w:u w:val="single"/>
        </w:rPr>
        <w:t xml:space="preserve">       </w:t>
      </w:r>
      <w:r>
        <w:rPr>
          <w:rFonts w:hint="eastAsia" w:ascii="宋体" w:hAnsi="宋体"/>
          <w:color w:val="auto"/>
          <w:sz w:val="24"/>
        </w:rPr>
        <w:t>月</w:t>
      </w:r>
      <w:r>
        <w:rPr>
          <w:rFonts w:hint="eastAsia" w:ascii="宋体" w:hAnsi="宋体"/>
          <w:color w:val="auto"/>
          <w:sz w:val="24"/>
          <w:szCs w:val="24"/>
          <w:u w:val="single"/>
        </w:rPr>
        <w:t xml:space="preserve">       </w:t>
      </w:r>
      <w:r>
        <w:rPr>
          <w:rFonts w:hint="eastAsia" w:ascii="宋体" w:hAnsi="宋体"/>
          <w:color w:val="auto"/>
          <w:sz w:val="24"/>
        </w:rPr>
        <w:t>日</w:t>
      </w:r>
    </w:p>
    <w:p>
      <w:pPr>
        <w:snapToGrid w:val="0"/>
        <w:rPr>
          <w:rFonts w:ascii="宋体" w:hAnsi="宋体"/>
          <w:b/>
          <w:color w:val="auto"/>
          <w:sz w:val="24"/>
        </w:rPr>
      </w:pPr>
    </w:p>
    <w:p>
      <w:pPr>
        <w:snapToGrid w:val="0"/>
        <w:rPr>
          <w:rFonts w:ascii="宋体" w:hAnsi="宋体"/>
          <w:b/>
          <w:color w:val="auto"/>
          <w:sz w:val="24"/>
        </w:rPr>
      </w:pPr>
      <w:r>
        <w:rPr>
          <w:rFonts w:hint="eastAsia" w:ascii="宋体" w:hAnsi="宋体"/>
          <w:b/>
          <w:color w:val="auto"/>
          <w:sz w:val="24"/>
        </w:rPr>
        <w:t>备注：</w:t>
      </w:r>
    </w:p>
    <w:p>
      <w:pPr>
        <w:numPr>
          <w:ilvl w:val="0"/>
          <w:numId w:val="96"/>
        </w:numPr>
        <w:autoSpaceDE w:val="0"/>
        <w:autoSpaceDN w:val="0"/>
        <w:adjustRightInd w:val="0"/>
        <w:snapToGrid w:val="0"/>
        <w:ind w:left="0" w:firstLine="480" w:firstLineChars="200"/>
        <w:jc w:val="left"/>
        <w:rPr>
          <w:rFonts w:ascii="宋体" w:hAnsi="宋体"/>
          <w:color w:val="auto"/>
          <w:sz w:val="24"/>
          <w:szCs w:val="24"/>
        </w:rPr>
      </w:pPr>
      <w:r>
        <w:rPr>
          <w:rFonts w:hint="eastAsia" w:ascii="宋体" w:hAnsi="宋体"/>
          <w:color w:val="auto"/>
          <w:sz w:val="24"/>
          <w:szCs w:val="24"/>
        </w:rPr>
        <w:t>本声明函必须提供且内容不得擅自删改，否则视为</w:t>
      </w:r>
      <w:r>
        <w:rPr>
          <w:rFonts w:hint="eastAsia" w:ascii="宋体" w:hAnsi="宋体"/>
          <w:b/>
          <w:bCs/>
          <w:color w:val="auto"/>
          <w:sz w:val="24"/>
          <w:szCs w:val="24"/>
        </w:rPr>
        <w:t>无效投标</w:t>
      </w:r>
      <w:r>
        <w:rPr>
          <w:rFonts w:hint="eastAsia" w:ascii="宋体" w:hAnsi="宋体"/>
          <w:color w:val="auto"/>
          <w:sz w:val="24"/>
          <w:szCs w:val="24"/>
        </w:rPr>
        <w:t>。</w:t>
      </w:r>
    </w:p>
    <w:p>
      <w:pPr>
        <w:numPr>
          <w:ilvl w:val="0"/>
          <w:numId w:val="96"/>
        </w:numPr>
        <w:autoSpaceDE w:val="0"/>
        <w:autoSpaceDN w:val="0"/>
        <w:adjustRightInd w:val="0"/>
        <w:snapToGrid w:val="0"/>
        <w:ind w:left="0" w:firstLine="480" w:firstLineChars="200"/>
        <w:jc w:val="left"/>
        <w:rPr>
          <w:rFonts w:ascii="宋体" w:hAnsi="宋体"/>
          <w:color w:val="auto"/>
          <w:sz w:val="24"/>
          <w:szCs w:val="24"/>
        </w:rPr>
      </w:pPr>
      <w:r>
        <w:rPr>
          <w:rFonts w:hint="eastAsia" w:ascii="宋体" w:hAnsi="宋体"/>
          <w:color w:val="auto"/>
          <w:sz w:val="24"/>
          <w:szCs w:val="24"/>
        </w:rPr>
        <w:t>本声明函如有虚假或与事实不符的，作</w:t>
      </w:r>
      <w:r>
        <w:rPr>
          <w:rFonts w:hint="eastAsia" w:ascii="宋体" w:hAnsi="宋体"/>
          <w:b/>
          <w:color w:val="auto"/>
          <w:sz w:val="24"/>
          <w:szCs w:val="24"/>
        </w:rPr>
        <w:t>无效投标</w:t>
      </w:r>
      <w:r>
        <w:rPr>
          <w:rFonts w:hint="eastAsia" w:ascii="宋体" w:hAnsi="宋体"/>
          <w:color w:val="auto"/>
          <w:sz w:val="24"/>
          <w:szCs w:val="24"/>
        </w:rPr>
        <w:t>处理。</w:t>
      </w:r>
    </w:p>
    <w:p>
      <w:pPr>
        <w:autoSpaceDE w:val="0"/>
        <w:autoSpaceDN w:val="0"/>
        <w:adjustRightInd w:val="0"/>
        <w:snapToGrid w:val="0"/>
        <w:ind w:left="480"/>
        <w:jc w:val="left"/>
        <w:rPr>
          <w:color w:val="auto"/>
          <w:sz w:val="24"/>
          <w:szCs w:val="24"/>
        </w:rPr>
      </w:pPr>
    </w:p>
    <w:p>
      <w:pPr>
        <w:pStyle w:val="5"/>
        <w:numPr>
          <w:ilvl w:val="0"/>
          <w:numId w:val="94"/>
        </w:numPr>
        <w:tabs>
          <w:tab w:val="left" w:pos="945"/>
        </w:tabs>
        <w:spacing w:before="0" w:after="0" w:line="360" w:lineRule="auto"/>
        <w:ind w:left="1124" w:hanging="1120" w:hangingChars="400"/>
        <w:rPr>
          <w:color w:val="auto"/>
          <w:sz w:val="24"/>
          <w:szCs w:val="24"/>
        </w:rPr>
      </w:pPr>
      <w:r>
        <w:rPr>
          <w:color w:val="auto"/>
          <w:sz w:val="28"/>
          <w:szCs w:val="28"/>
        </w:rPr>
        <w:br w:type="page"/>
      </w:r>
      <w:bookmarkStart w:id="398" w:name="_Toc5813"/>
      <w:bookmarkStart w:id="399" w:name="_Toc54335477"/>
      <w:r>
        <w:rPr>
          <w:rFonts w:hint="eastAsia"/>
          <w:color w:val="auto"/>
          <w:sz w:val="24"/>
          <w:szCs w:val="24"/>
        </w:rPr>
        <w:t>资格、资信证明文件</w:t>
      </w:r>
      <w:bookmarkEnd w:id="398"/>
      <w:bookmarkEnd w:id="399"/>
    </w:p>
    <w:bookmarkEnd w:id="397"/>
    <w:p>
      <w:pPr>
        <w:rPr>
          <w:rFonts w:ascii="宋体" w:hAnsi="宋体"/>
          <w:b/>
          <w:color w:val="auto"/>
          <w:sz w:val="24"/>
          <w:szCs w:val="24"/>
        </w:rPr>
      </w:pPr>
      <w:r>
        <w:rPr>
          <w:rFonts w:hint="eastAsia" w:ascii="宋体" w:hAnsi="宋体"/>
          <w:b/>
          <w:color w:val="auto"/>
          <w:sz w:val="24"/>
          <w:szCs w:val="24"/>
        </w:rPr>
        <w:t>备注：</w:t>
      </w:r>
    </w:p>
    <w:p>
      <w:pPr>
        <w:ind w:firstLine="480" w:firstLineChars="200"/>
        <w:rPr>
          <w:rFonts w:ascii="宋体" w:hAnsi="宋体"/>
          <w:color w:val="auto"/>
          <w:sz w:val="24"/>
          <w:szCs w:val="24"/>
        </w:rPr>
      </w:pPr>
      <w:r>
        <w:rPr>
          <w:rFonts w:hint="eastAsia" w:ascii="宋体" w:hAnsi="宋体"/>
          <w:color w:val="auto"/>
          <w:sz w:val="24"/>
          <w:szCs w:val="24"/>
        </w:rPr>
        <w:t>1.投标人须按照本文件《投标邀请》“二、申请人的资格要求”逐项提供有关</w:t>
      </w:r>
      <w:r>
        <w:rPr>
          <w:rFonts w:hint="eastAsia" w:ascii="宋体" w:hAnsi="宋体"/>
          <w:color w:val="auto"/>
          <w:sz w:val="24"/>
          <w:szCs w:val="24"/>
        </w:rPr>
        <w:tab/>
      </w:r>
      <w:r>
        <w:rPr>
          <w:rFonts w:hint="eastAsia" w:ascii="宋体" w:hAnsi="宋体"/>
          <w:color w:val="auto"/>
          <w:sz w:val="24"/>
          <w:szCs w:val="24"/>
        </w:rPr>
        <w:t>资格、资信证明文件。</w:t>
      </w:r>
      <w:r>
        <w:rPr>
          <w:rFonts w:hint="eastAsia" w:ascii="宋体" w:hAnsi="宋体" w:cs="宋体"/>
          <w:color w:val="auto"/>
          <w:sz w:val="24"/>
          <w:szCs w:val="24"/>
        </w:rPr>
        <w:t>招标公告和本文件《投标邀请》中对应供应商的资格要求，如有不一致的，以招标公告发布的内容为准。</w:t>
      </w:r>
    </w:p>
    <w:p>
      <w:pPr>
        <w:ind w:firstLine="480" w:firstLineChars="200"/>
        <w:rPr>
          <w:rFonts w:ascii="宋体" w:hAnsi="宋体"/>
          <w:color w:val="auto"/>
          <w:sz w:val="24"/>
          <w:szCs w:val="24"/>
        </w:rPr>
      </w:pPr>
      <w:r>
        <w:rPr>
          <w:rFonts w:hint="eastAsia" w:ascii="宋体" w:hAnsi="宋体"/>
          <w:color w:val="auto"/>
          <w:sz w:val="24"/>
          <w:szCs w:val="24"/>
        </w:rPr>
        <w:t>2.</w:t>
      </w:r>
      <w:r>
        <w:rPr>
          <w:rFonts w:hint="eastAsia" w:ascii="宋体" w:hAnsi="宋体"/>
          <w:b/>
          <w:color w:val="auto"/>
          <w:sz w:val="24"/>
          <w:szCs w:val="24"/>
        </w:rPr>
        <w:t>关于落实政府采购政策需满足的资格要求证明材料：</w:t>
      </w:r>
      <w:r>
        <w:rPr>
          <w:rFonts w:hint="eastAsia" w:ascii="宋体" w:hAnsi="宋体"/>
          <w:color w:val="auto"/>
          <w:sz w:val="24"/>
          <w:szCs w:val="24"/>
        </w:rPr>
        <w:t>如</w:t>
      </w:r>
      <w:r>
        <w:rPr>
          <w:rFonts w:hint="eastAsia" w:ascii="宋体" w:hAnsi="宋体"/>
          <w:iCs/>
          <w:color w:val="auto"/>
          <w:sz w:val="24"/>
          <w:szCs w:val="24"/>
        </w:rPr>
        <w:t>本项目属于专门面向中小企业采购的项目,参加采购活动的中小微企业或监狱企业或残疾人福利性单位，须按本部分格式第8.条提供下列材料：《中小企业声明函》，或由省级以上监狱管理局、戒毒管理局（含新疆生产建设兵团）出具的属于监狱企业的证明文件，或《残疾人福利性单位声明函》；</w:t>
      </w:r>
      <w:r>
        <w:rPr>
          <w:rFonts w:hint="eastAsia" w:ascii="宋体" w:hAnsi="宋体"/>
          <w:color w:val="auto"/>
          <w:sz w:val="24"/>
          <w:szCs w:val="24"/>
        </w:rPr>
        <w:t>如本项目不属于专门面向中小企业采购的项目，不要求供应商为中小微企业或监狱企业或残疾人福利性单位，可不提供上述资料。</w:t>
      </w:r>
    </w:p>
    <w:p>
      <w:pPr>
        <w:ind w:firstLine="480" w:firstLineChars="200"/>
        <w:rPr>
          <w:rFonts w:ascii="宋体" w:hAnsi="宋体"/>
          <w:color w:val="auto"/>
          <w:sz w:val="24"/>
          <w:szCs w:val="24"/>
        </w:rPr>
      </w:pPr>
      <w:r>
        <w:rPr>
          <w:rFonts w:hint="eastAsia" w:ascii="宋体" w:hAnsi="宋体"/>
          <w:color w:val="auto"/>
          <w:sz w:val="24"/>
          <w:szCs w:val="24"/>
        </w:rPr>
        <w:t>3.</w:t>
      </w:r>
      <w:r>
        <w:rPr>
          <w:rFonts w:hint="eastAsia" w:ascii="宋体" w:hAnsi="宋体"/>
          <w:b/>
          <w:color w:val="auto"/>
          <w:sz w:val="24"/>
          <w:szCs w:val="24"/>
        </w:rPr>
        <w:t>以联合体形式参加投标的项目（采购包）：</w:t>
      </w:r>
      <w:r>
        <w:rPr>
          <w:rFonts w:hint="eastAsia" w:ascii="宋体" w:hAnsi="宋体"/>
          <w:color w:val="auto"/>
          <w:sz w:val="24"/>
          <w:szCs w:val="24"/>
        </w:rPr>
        <w:t>联合体投标的，联合体各方均需提供相应第4.1条、第4.2条规定的证明文件，其中除联合体各成员自身独立的证明文件须分别提供外，其余按照格式《供应商资格声明函》内容提供书面承诺的，可以统一出具《供应商资格声明函》，该书面承诺不需要分别提供。除特别说明的格式外，联合体各成员提供的自身独立的证明文件均可以由《联合协议》约定的方式加盖公章及签署。</w:t>
      </w:r>
    </w:p>
    <w:p>
      <w:pPr>
        <w:ind w:firstLine="480" w:firstLineChars="200"/>
        <w:rPr>
          <w:rFonts w:ascii="宋体" w:hAnsi="宋体"/>
          <w:color w:val="auto"/>
          <w:sz w:val="24"/>
          <w:szCs w:val="24"/>
        </w:rPr>
      </w:pPr>
      <w:r>
        <w:rPr>
          <w:rFonts w:hint="eastAsia" w:ascii="宋体" w:hAnsi="宋体"/>
          <w:color w:val="auto"/>
          <w:sz w:val="24"/>
          <w:szCs w:val="24"/>
        </w:rPr>
        <w:t>4.</w:t>
      </w:r>
      <w:r>
        <w:rPr>
          <w:rFonts w:hint="eastAsia" w:ascii="宋体" w:hAnsi="宋体"/>
          <w:b/>
          <w:color w:val="auto"/>
          <w:sz w:val="24"/>
          <w:szCs w:val="24"/>
        </w:rPr>
        <w:t>可接受分支机构投标的项目（采购包）：</w:t>
      </w:r>
      <w:r>
        <w:rPr>
          <w:rFonts w:hint="eastAsia" w:ascii="宋体" w:hAnsi="宋体"/>
          <w:color w:val="auto"/>
          <w:sz w:val="24"/>
          <w:szCs w:val="24"/>
        </w:rPr>
        <w:t>分支机构投标的，总公司（总所）及分支机构均需提供相应第4.1条的（1）、（2）、（3）及第4.2条规定的证明文件，其余按照格式《供应商资格声明函》内容提供书面承诺，可以统一出具《供应商资格声明函》，该书面承诺不需要分别提供。除特别说明的格式外，均可以由总公司（总所）或分支机构加盖公章及签署。</w:t>
      </w:r>
    </w:p>
    <w:p>
      <w:pPr>
        <w:ind w:firstLine="480" w:firstLineChars="200"/>
        <w:rPr>
          <w:rFonts w:ascii="宋体" w:hAnsi="宋体"/>
          <w:color w:val="auto"/>
          <w:sz w:val="24"/>
        </w:rPr>
      </w:pPr>
      <w:r>
        <w:rPr>
          <w:rFonts w:hint="eastAsia" w:ascii="宋体" w:hAnsi="宋体"/>
          <w:b/>
          <w:color w:val="auto"/>
          <w:sz w:val="24"/>
          <w:szCs w:val="24"/>
        </w:rPr>
        <w:t>5.以合同分包形式参加投标的项目（采购包）：</w:t>
      </w:r>
      <w:r>
        <w:rPr>
          <w:rFonts w:hint="eastAsia" w:ascii="宋体" w:hAnsi="宋体"/>
          <w:color w:val="auto"/>
          <w:sz w:val="24"/>
          <w:szCs w:val="24"/>
        </w:rPr>
        <w:t>需提供直接参加本项目（采购包）政府采购活动的投标供应商的相应资格证明文件。投标供应商还应提供与接受分包合同的中小企业签订的《分包意向协议》，并按照《中小企业声明函》格式填写签订《分包意向协议》的中小企业相关信息。</w:t>
      </w:r>
    </w:p>
    <w:p>
      <w:pPr>
        <w:pStyle w:val="6"/>
        <w:numPr>
          <w:ilvl w:val="1"/>
          <w:numId w:val="97"/>
        </w:numPr>
        <w:tabs>
          <w:tab w:val="left" w:pos="945"/>
        </w:tabs>
        <w:ind w:left="964" w:hanging="960" w:hangingChars="400"/>
        <w:rPr>
          <w:rFonts w:ascii="宋体" w:hAnsi="宋体"/>
          <w:color w:val="auto"/>
          <w:szCs w:val="24"/>
        </w:rPr>
      </w:pPr>
      <w:r>
        <w:rPr>
          <w:rFonts w:hint="eastAsia" w:ascii="宋体" w:hAnsi="宋体"/>
          <w:color w:val="auto"/>
          <w:szCs w:val="24"/>
        </w:rPr>
        <w:t>投标人具备《政府采购法》第二十二条规定的条件的证明文件</w:t>
      </w:r>
    </w:p>
    <w:p>
      <w:pPr>
        <w:numPr>
          <w:ilvl w:val="0"/>
          <w:numId w:val="98"/>
        </w:numPr>
        <w:spacing w:line="360" w:lineRule="auto"/>
        <w:rPr>
          <w:rFonts w:ascii="宋体" w:hAnsi="宋体"/>
          <w:color w:val="auto"/>
          <w:sz w:val="24"/>
          <w:szCs w:val="24"/>
        </w:rPr>
      </w:pPr>
      <w:r>
        <w:rPr>
          <w:rFonts w:hint="eastAsia" w:ascii="宋体" w:hAnsi="宋体"/>
          <w:b/>
          <w:color w:val="auto"/>
          <w:sz w:val="24"/>
          <w:szCs w:val="24"/>
        </w:rPr>
        <w:t>具有独立承担民事责任的能力的证明文件</w:t>
      </w:r>
    </w:p>
    <w:p>
      <w:pPr>
        <w:spacing w:line="360" w:lineRule="auto"/>
        <w:ind w:firstLine="600" w:firstLineChars="250"/>
        <w:rPr>
          <w:rFonts w:ascii="宋体" w:hAnsi="宋体"/>
          <w:color w:val="auto"/>
          <w:sz w:val="24"/>
          <w:szCs w:val="24"/>
        </w:rPr>
      </w:pPr>
      <w:r>
        <w:rPr>
          <w:rFonts w:hint="eastAsia" w:ascii="宋体" w:hAnsi="宋体"/>
          <w:color w:val="auto"/>
          <w:sz w:val="24"/>
          <w:szCs w:val="24"/>
        </w:rPr>
        <w:t>按照本文件《投标邀请》“二、申请人的资格要求”提供。</w:t>
      </w:r>
      <w:r>
        <w:rPr>
          <w:rStyle w:val="56"/>
          <w:rFonts w:hint="eastAsia" w:hAnsi="宋体"/>
          <w:color w:val="auto"/>
          <w:sz w:val="24"/>
          <w:szCs w:val="24"/>
        </w:rPr>
        <w:t>对可接受分支机构投标的项目，分支机构投标的，须提供分支机构的营业执</w:t>
      </w:r>
      <w:r>
        <w:rPr>
          <w:rStyle w:val="56"/>
          <w:rFonts w:hint="eastAsia"/>
          <w:color w:val="auto"/>
          <w:sz w:val="24"/>
          <w:szCs w:val="24"/>
        </w:rPr>
        <w:t>照（执业许可证）复印件、</w:t>
      </w:r>
      <w:r>
        <w:rPr>
          <w:rFonts w:hint="eastAsia" w:ascii="宋体" w:hAnsi="宋体"/>
          <w:color w:val="auto"/>
          <w:sz w:val="24"/>
          <w:szCs w:val="24"/>
        </w:rPr>
        <w:t>总公司（总所）的营业执照副本复印件</w:t>
      </w:r>
      <w:r>
        <w:rPr>
          <w:rStyle w:val="56"/>
          <w:rFonts w:hint="eastAsia"/>
          <w:color w:val="auto"/>
          <w:sz w:val="24"/>
          <w:szCs w:val="24"/>
        </w:rPr>
        <w:t>及</w:t>
      </w:r>
      <w:r>
        <w:rPr>
          <w:rStyle w:val="56"/>
          <w:rFonts w:hint="eastAsia" w:hAnsi="宋体"/>
          <w:color w:val="auto"/>
          <w:sz w:val="24"/>
          <w:szCs w:val="24"/>
        </w:rPr>
        <w:t>总公司（总所）出具给分支机构的</w:t>
      </w:r>
      <w:r>
        <w:rPr>
          <w:rStyle w:val="56"/>
          <w:rFonts w:hint="eastAsia"/>
          <w:color w:val="auto"/>
          <w:sz w:val="24"/>
          <w:szCs w:val="24"/>
        </w:rPr>
        <w:t>授</w:t>
      </w:r>
      <w:r>
        <w:rPr>
          <w:rStyle w:val="56"/>
          <w:rFonts w:hint="eastAsia" w:hAnsi="宋体"/>
          <w:color w:val="auto"/>
          <w:sz w:val="24"/>
          <w:szCs w:val="24"/>
        </w:rPr>
        <w:t>权书，</w:t>
      </w:r>
      <w:r>
        <w:rPr>
          <w:rStyle w:val="56"/>
          <w:rFonts w:hint="eastAsia" w:hAnsi="宋体"/>
          <w:b/>
          <w:color w:val="auto"/>
          <w:sz w:val="24"/>
          <w:szCs w:val="24"/>
        </w:rPr>
        <w:t>授权书须加盖总公司（总所）公章</w:t>
      </w:r>
      <w:r>
        <w:rPr>
          <w:rStyle w:val="56"/>
          <w:rFonts w:hint="eastAsia" w:hAnsi="宋体"/>
          <w:color w:val="auto"/>
          <w:sz w:val="24"/>
          <w:szCs w:val="24"/>
        </w:rPr>
        <w:t>。总公司（总所）可就本项目或此类项目在一定范围或时间内出具授权书。（授权书格式自定）</w:t>
      </w:r>
    </w:p>
    <w:p>
      <w:pPr>
        <w:numPr>
          <w:ilvl w:val="0"/>
          <w:numId w:val="98"/>
        </w:numPr>
        <w:spacing w:line="360" w:lineRule="auto"/>
        <w:rPr>
          <w:rFonts w:ascii="宋体" w:hAnsi="宋体"/>
          <w:b/>
          <w:color w:val="auto"/>
          <w:sz w:val="24"/>
          <w:szCs w:val="24"/>
        </w:rPr>
      </w:pPr>
      <w:r>
        <w:rPr>
          <w:rFonts w:hint="eastAsia" w:ascii="宋体" w:hAnsi="宋体"/>
          <w:b/>
          <w:color w:val="auto"/>
          <w:sz w:val="24"/>
          <w:szCs w:val="24"/>
        </w:rPr>
        <w:t>具有良好的商业信誉和健全的财务会计制度的证明文件</w:t>
      </w:r>
    </w:p>
    <w:p>
      <w:pPr>
        <w:spacing w:line="360" w:lineRule="auto"/>
        <w:ind w:firstLine="600" w:firstLineChars="250"/>
        <w:rPr>
          <w:rFonts w:ascii="宋体" w:hAnsi="宋体"/>
          <w:color w:val="auto"/>
          <w:sz w:val="24"/>
          <w:szCs w:val="24"/>
        </w:rPr>
      </w:pPr>
      <w:r>
        <w:rPr>
          <w:rFonts w:hint="eastAsia" w:ascii="宋体" w:hAnsi="宋体"/>
          <w:color w:val="auto"/>
          <w:sz w:val="24"/>
          <w:szCs w:val="24"/>
        </w:rPr>
        <w:t>按照本文件《投标邀请》“二、申请人的资格要求”提供。</w:t>
      </w:r>
    </w:p>
    <w:p>
      <w:pPr>
        <w:numPr>
          <w:ilvl w:val="0"/>
          <w:numId w:val="98"/>
        </w:numPr>
        <w:spacing w:line="360" w:lineRule="auto"/>
        <w:rPr>
          <w:rFonts w:ascii="宋体" w:hAnsi="宋体"/>
          <w:b/>
          <w:color w:val="auto"/>
          <w:sz w:val="24"/>
          <w:szCs w:val="24"/>
        </w:rPr>
      </w:pPr>
      <w:r>
        <w:rPr>
          <w:rFonts w:hint="eastAsia" w:ascii="宋体" w:hAnsi="宋体"/>
          <w:b/>
          <w:color w:val="auto"/>
          <w:sz w:val="24"/>
          <w:szCs w:val="24"/>
        </w:rPr>
        <w:t>有依法缴纳税收和社会保障资金的良好记录的证明文件</w:t>
      </w:r>
    </w:p>
    <w:p>
      <w:pPr>
        <w:spacing w:line="360" w:lineRule="auto"/>
        <w:ind w:firstLine="600" w:firstLineChars="250"/>
        <w:rPr>
          <w:rFonts w:ascii="宋体" w:hAnsi="宋体"/>
          <w:color w:val="auto"/>
          <w:sz w:val="24"/>
          <w:szCs w:val="24"/>
        </w:rPr>
      </w:pPr>
      <w:r>
        <w:rPr>
          <w:rFonts w:hint="eastAsia" w:ascii="宋体" w:hAnsi="宋体"/>
          <w:color w:val="auto"/>
          <w:sz w:val="24"/>
          <w:szCs w:val="24"/>
        </w:rPr>
        <w:t>按照本文件《投标邀请》“二、申请人的资格要求”提供：</w:t>
      </w:r>
    </w:p>
    <w:p>
      <w:pPr>
        <w:spacing w:line="360" w:lineRule="auto"/>
        <w:ind w:firstLine="600" w:firstLineChars="250"/>
        <w:rPr>
          <w:rFonts w:ascii="宋体" w:hAnsi="宋体"/>
          <w:color w:val="auto"/>
          <w:sz w:val="24"/>
          <w:szCs w:val="24"/>
        </w:rPr>
      </w:pPr>
      <w:r>
        <w:rPr>
          <w:rFonts w:hint="eastAsia" w:ascii="宋体" w:hAnsi="宋体"/>
          <w:color w:val="auto"/>
          <w:sz w:val="24"/>
          <w:szCs w:val="24"/>
        </w:rPr>
        <w:t>①依法缴纳税收的良好记录的证明文件；</w:t>
      </w:r>
    </w:p>
    <w:p>
      <w:pPr>
        <w:spacing w:line="360" w:lineRule="auto"/>
        <w:ind w:firstLine="600" w:firstLineChars="250"/>
        <w:rPr>
          <w:rFonts w:ascii="宋体" w:hAnsi="宋体"/>
          <w:color w:val="auto"/>
          <w:sz w:val="24"/>
          <w:szCs w:val="24"/>
        </w:rPr>
      </w:pPr>
      <w:r>
        <w:rPr>
          <w:rFonts w:hint="eastAsia" w:ascii="宋体" w:hAnsi="宋体"/>
          <w:color w:val="auto"/>
          <w:sz w:val="24"/>
          <w:szCs w:val="24"/>
        </w:rPr>
        <w:t>②依法缴纳社会保障资金的良好记录的证明文件。</w:t>
      </w:r>
    </w:p>
    <w:p>
      <w:pPr>
        <w:spacing w:line="360" w:lineRule="auto"/>
        <w:ind w:firstLine="600" w:firstLineChars="250"/>
        <w:rPr>
          <w:rFonts w:ascii="宋体" w:hAnsi="宋体"/>
          <w:color w:val="auto"/>
          <w:sz w:val="24"/>
          <w:szCs w:val="24"/>
        </w:rPr>
      </w:pPr>
    </w:p>
    <w:p>
      <w:pPr>
        <w:numPr>
          <w:ilvl w:val="0"/>
          <w:numId w:val="98"/>
        </w:numPr>
        <w:spacing w:line="360" w:lineRule="auto"/>
        <w:rPr>
          <w:rFonts w:ascii="宋体" w:hAnsi="宋体"/>
          <w:b/>
          <w:color w:val="auto"/>
          <w:sz w:val="24"/>
          <w:szCs w:val="24"/>
        </w:rPr>
      </w:pPr>
      <w:r>
        <w:rPr>
          <w:rFonts w:hint="eastAsia" w:ascii="宋体" w:hAnsi="宋体"/>
          <w:b/>
          <w:color w:val="auto"/>
          <w:sz w:val="24"/>
          <w:szCs w:val="24"/>
        </w:rPr>
        <w:t>具有履行合同所必需的设备和专业技术能力的证明文件</w:t>
      </w:r>
    </w:p>
    <w:p>
      <w:pPr>
        <w:spacing w:line="360" w:lineRule="auto"/>
        <w:ind w:firstLine="600" w:firstLineChars="250"/>
        <w:rPr>
          <w:rFonts w:ascii="宋体" w:hAnsi="宋体"/>
          <w:color w:val="auto"/>
          <w:sz w:val="24"/>
          <w:szCs w:val="24"/>
        </w:rPr>
      </w:pPr>
      <w:r>
        <w:rPr>
          <w:rFonts w:hint="eastAsia" w:ascii="宋体" w:hAnsi="宋体"/>
          <w:color w:val="auto"/>
          <w:sz w:val="24"/>
          <w:szCs w:val="24"/>
        </w:rPr>
        <w:t>提供参照如下投标文件格式填写的《设备及专业技术能力情况表》，或提供《供应商资格声明函》。</w:t>
      </w:r>
    </w:p>
    <w:p>
      <w:pPr>
        <w:spacing w:line="360" w:lineRule="auto"/>
        <w:ind w:left="945" w:leftChars="450" w:firstLine="1970" w:firstLineChars="821"/>
        <w:rPr>
          <w:rFonts w:ascii="宋体" w:hAnsi="宋体"/>
          <w:b/>
          <w:color w:val="auto"/>
          <w:sz w:val="24"/>
          <w:szCs w:val="24"/>
        </w:rPr>
      </w:pPr>
      <w:r>
        <w:rPr>
          <w:rFonts w:hint="eastAsia" w:ascii="宋体" w:hAnsi="宋体"/>
          <w:b/>
          <w:color w:val="auto"/>
          <w:sz w:val="24"/>
          <w:szCs w:val="24"/>
        </w:rPr>
        <w:t>设备及专业技术能力情况表</w:t>
      </w:r>
    </w:p>
    <w:tbl>
      <w:tblPr>
        <w:tblStyle w:val="29"/>
        <w:tblW w:w="0" w:type="auto"/>
        <w:tblInd w:w="9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4395"/>
        <w:gridCol w:w="1701"/>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5" w:type="dxa"/>
            <w:gridSpan w:val="4"/>
          </w:tcPr>
          <w:p>
            <w:pPr>
              <w:spacing w:line="360" w:lineRule="auto"/>
              <w:rPr>
                <w:rFonts w:ascii="宋体" w:hAnsi="宋体"/>
                <w:color w:val="auto"/>
                <w:sz w:val="24"/>
                <w:szCs w:val="24"/>
              </w:rPr>
            </w:pPr>
            <w:r>
              <w:rPr>
                <w:rFonts w:hint="eastAsia" w:ascii="宋体" w:hAnsi="宋体"/>
                <w:color w:val="auto"/>
                <w:sz w:val="24"/>
                <w:szCs w:val="24"/>
              </w:rPr>
              <w:t>我方为本项目实施提供以下设备及专业技术人员：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spacing w:line="360" w:lineRule="auto"/>
              <w:jc w:val="center"/>
              <w:rPr>
                <w:rFonts w:ascii="宋体" w:hAnsi="宋体"/>
                <w:b/>
                <w:color w:val="auto"/>
                <w:sz w:val="24"/>
                <w:szCs w:val="24"/>
              </w:rPr>
            </w:pPr>
            <w:r>
              <w:rPr>
                <w:rFonts w:hint="eastAsia" w:ascii="宋体" w:hAnsi="宋体"/>
                <w:b/>
                <w:color w:val="auto"/>
                <w:sz w:val="24"/>
                <w:szCs w:val="24"/>
              </w:rPr>
              <w:t>序号</w:t>
            </w:r>
          </w:p>
        </w:tc>
        <w:tc>
          <w:tcPr>
            <w:tcW w:w="4395" w:type="dxa"/>
          </w:tcPr>
          <w:p>
            <w:pPr>
              <w:spacing w:line="360" w:lineRule="auto"/>
              <w:jc w:val="center"/>
              <w:rPr>
                <w:rFonts w:ascii="宋体" w:hAnsi="宋体"/>
                <w:b/>
                <w:color w:val="auto"/>
                <w:sz w:val="24"/>
                <w:szCs w:val="24"/>
              </w:rPr>
            </w:pPr>
            <w:r>
              <w:rPr>
                <w:rFonts w:hint="eastAsia" w:ascii="宋体" w:hAnsi="宋体"/>
                <w:b/>
                <w:color w:val="auto"/>
                <w:sz w:val="24"/>
                <w:szCs w:val="24"/>
              </w:rPr>
              <w:t>设备名称或专业技术人员</w:t>
            </w:r>
          </w:p>
        </w:tc>
        <w:tc>
          <w:tcPr>
            <w:tcW w:w="1701" w:type="dxa"/>
          </w:tcPr>
          <w:p>
            <w:pPr>
              <w:spacing w:line="360" w:lineRule="auto"/>
              <w:jc w:val="center"/>
              <w:rPr>
                <w:rFonts w:ascii="宋体" w:hAnsi="宋体"/>
                <w:b/>
                <w:color w:val="auto"/>
                <w:sz w:val="24"/>
                <w:szCs w:val="24"/>
              </w:rPr>
            </w:pPr>
            <w:r>
              <w:rPr>
                <w:rFonts w:hint="eastAsia" w:ascii="宋体" w:hAnsi="宋体"/>
                <w:b/>
                <w:color w:val="auto"/>
                <w:sz w:val="24"/>
                <w:szCs w:val="24"/>
              </w:rPr>
              <w:t>数量及单位</w:t>
            </w:r>
          </w:p>
        </w:tc>
        <w:tc>
          <w:tcPr>
            <w:tcW w:w="1275" w:type="dxa"/>
          </w:tcPr>
          <w:p>
            <w:pPr>
              <w:spacing w:line="360" w:lineRule="auto"/>
              <w:jc w:val="center"/>
              <w:rPr>
                <w:rFonts w:ascii="宋体" w:hAnsi="宋体"/>
                <w:b/>
                <w:color w:val="auto"/>
                <w:sz w:val="24"/>
                <w:szCs w:val="24"/>
              </w:rPr>
            </w:pPr>
            <w:r>
              <w:rPr>
                <w:rFonts w:hint="eastAsia" w:ascii="宋体" w:hAnsi="宋体"/>
                <w:b/>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spacing w:line="360" w:lineRule="auto"/>
              <w:jc w:val="center"/>
              <w:rPr>
                <w:rFonts w:ascii="宋体" w:hAnsi="宋体"/>
                <w:color w:val="auto"/>
                <w:sz w:val="24"/>
                <w:szCs w:val="24"/>
              </w:rPr>
            </w:pPr>
            <w:r>
              <w:rPr>
                <w:rFonts w:hint="eastAsia" w:ascii="宋体" w:hAnsi="宋体"/>
                <w:color w:val="auto"/>
                <w:sz w:val="24"/>
                <w:szCs w:val="24"/>
              </w:rPr>
              <w:t>1</w:t>
            </w:r>
          </w:p>
        </w:tc>
        <w:tc>
          <w:tcPr>
            <w:tcW w:w="4395" w:type="dxa"/>
          </w:tcPr>
          <w:p>
            <w:pPr>
              <w:spacing w:line="360" w:lineRule="auto"/>
              <w:rPr>
                <w:rFonts w:ascii="宋体" w:hAnsi="宋体"/>
                <w:color w:val="auto"/>
                <w:sz w:val="24"/>
                <w:szCs w:val="24"/>
              </w:rPr>
            </w:pPr>
          </w:p>
        </w:tc>
        <w:tc>
          <w:tcPr>
            <w:tcW w:w="1701" w:type="dxa"/>
          </w:tcPr>
          <w:p>
            <w:pPr>
              <w:spacing w:line="360" w:lineRule="auto"/>
              <w:rPr>
                <w:rFonts w:ascii="宋体" w:hAnsi="宋体"/>
                <w:color w:val="auto"/>
                <w:sz w:val="24"/>
                <w:szCs w:val="24"/>
              </w:rPr>
            </w:pPr>
          </w:p>
        </w:tc>
        <w:tc>
          <w:tcPr>
            <w:tcW w:w="1275" w:type="dxa"/>
          </w:tcPr>
          <w:p>
            <w:pPr>
              <w:spacing w:line="360" w:lineRule="auto"/>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spacing w:line="360" w:lineRule="auto"/>
              <w:jc w:val="center"/>
              <w:rPr>
                <w:rFonts w:ascii="宋体" w:hAnsi="宋体"/>
                <w:color w:val="auto"/>
                <w:sz w:val="24"/>
                <w:szCs w:val="24"/>
              </w:rPr>
            </w:pPr>
            <w:r>
              <w:rPr>
                <w:rFonts w:hint="eastAsia" w:ascii="宋体" w:hAnsi="宋体"/>
                <w:color w:val="auto"/>
                <w:sz w:val="24"/>
                <w:szCs w:val="24"/>
              </w:rPr>
              <w:t>2</w:t>
            </w:r>
          </w:p>
        </w:tc>
        <w:tc>
          <w:tcPr>
            <w:tcW w:w="4395" w:type="dxa"/>
          </w:tcPr>
          <w:p>
            <w:pPr>
              <w:spacing w:line="360" w:lineRule="auto"/>
              <w:rPr>
                <w:rFonts w:ascii="宋体" w:hAnsi="宋体"/>
                <w:color w:val="auto"/>
                <w:sz w:val="24"/>
                <w:szCs w:val="24"/>
              </w:rPr>
            </w:pPr>
          </w:p>
        </w:tc>
        <w:tc>
          <w:tcPr>
            <w:tcW w:w="1701" w:type="dxa"/>
          </w:tcPr>
          <w:p>
            <w:pPr>
              <w:spacing w:line="360" w:lineRule="auto"/>
              <w:rPr>
                <w:rFonts w:ascii="宋体" w:hAnsi="宋体"/>
                <w:color w:val="auto"/>
                <w:sz w:val="24"/>
                <w:szCs w:val="24"/>
              </w:rPr>
            </w:pPr>
          </w:p>
        </w:tc>
        <w:tc>
          <w:tcPr>
            <w:tcW w:w="1275" w:type="dxa"/>
          </w:tcPr>
          <w:p>
            <w:pPr>
              <w:spacing w:line="360" w:lineRule="auto"/>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pPr>
              <w:spacing w:line="360" w:lineRule="auto"/>
              <w:rPr>
                <w:rFonts w:ascii="宋体" w:hAnsi="宋体"/>
                <w:color w:val="auto"/>
                <w:sz w:val="24"/>
                <w:szCs w:val="24"/>
              </w:rPr>
            </w:pPr>
            <w:r>
              <w:rPr>
                <w:rFonts w:ascii="宋体" w:hAnsi="宋体"/>
                <w:color w:val="auto"/>
                <w:sz w:val="24"/>
                <w:szCs w:val="24"/>
              </w:rPr>
              <w:t>……</w:t>
            </w:r>
          </w:p>
        </w:tc>
        <w:tc>
          <w:tcPr>
            <w:tcW w:w="4395" w:type="dxa"/>
          </w:tcPr>
          <w:p>
            <w:pPr>
              <w:spacing w:line="360" w:lineRule="auto"/>
              <w:rPr>
                <w:rFonts w:ascii="宋体" w:hAnsi="宋体"/>
                <w:color w:val="auto"/>
                <w:sz w:val="24"/>
                <w:szCs w:val="24"/>
              </w:rPr>
            </w:pPr>
          </w:p>
        </w:tc>
        <w:tc>
          <w:tcPr>
            <w:tcW w:w="1701" w:type="dxa"/>
          </w:tcPr>
          <w:p>
            <w:pPr>
              <w:spacing w:line="360" w:lineRule="auto"/>
              <w:rPr>
                <w:rFonts w:ascii="宋体" w:hAnsi="宋体"/>
                <w:color w:val="auto"/>
                <w:sz w:val="24"/>
                <w:szCs w:val="24"/>
              </w:rPr>
            </w:pPr>
          </w:p>
        </w:tc>
        <w:tc>
          <w:tcPr>
            <w:tcW w:w="1275" w:type="dxa"/>
          </w:tcPr>
          <w:p>
            <w:pPr>
              <w:spacing w:line="360" w:lineRule="auto"/>
              <w:rPr>
                <w:rFonts w:ascii="宋体" w:hAnsi="宋体"/>
                <w:color w:val="auto"/>
                <w:sz w:val="24"/>
                <w:szCs w:val="24"/>
              </w:rPr>
            </w:pPr>
          </w:p>
        </w:tc>
      </w:tr>
    </w:tbl>
    <w:p>
      <w:pPr>
        <w:spacing w:line="360" w:lineRule="auto"/>
        <w:ind w:left="720"/>
        <w:rPr>
          <w:rFonts w:ascii="宋体" w:hAnsi="宋体"/>
          <w:color w:val="auto"/>
          <w:sz w:val="24"/>
          <w:szCs w:val="24"/>
        </w:rPr>
      </w:pPr>
    </w:p>
    <w:p>
      <w:pPr>
        <w:numPr>
          <w:ilvl w:val="0"/>
          <w:numId w:val="98"/>
        </w:numPr>
        <w:spacing w:line="360" w:lineRule="auto"/>
        <w:rPr>
          <w:rFonts w:ascii="宋体" w:hAnsi="宋体"/>
          <w:b/>
          <w:color w:val="auto"/>
          <w:szCs w:val="21"/>
        </w:rPr>
      </w:pPr>
      <w:r>
        <w:rPr>
          <w:rFonts w:hint="eastAsia" w:ascii="宋体" w:hAnsi="宋体"/>
          <w:b/>
          <w:color w:val="auto"/>
          <w:sz w:val="24"/>
          <w:szCs w:val="24"/>
        </w:rPr>
        <w:t>参加政府采购活动前三年内，在经营活动中没有重大违法记录的证明文件</w:t>
      </w:r>
    </w:p>
    <w:p>
      <w:pPr>
        <w:spacing w:line="360" w:lineRule="auto"/>
        <w:ind w:firstLine="600" w:firstLineChars="250"/>
        <w:rPr>
          <w:rFonts w:ascii="宋体" w:hAnsi="宋体"/>
          <w:color w:val="auto"/>
          <w:sz w:val="24"/>
          <w:szCs w:val="24"/>
        </w:rPr>
      </w:pPr>
      <w:r>
        <w:rPr>
          <w:rFonts w:hint="eastAsia" w:ascii="宋体" w:hAnsi="宋体"/>
          <w:color w:val="auto"/>
          <w:sz w:val="24"/>
          <w:szCs w:val="24"/>
        </w:rPr>
        <w:t>按照本文件《投标邀请》“二、申请人的资格要求”，提供参加政府采购活动前三年内，在经营活动中重大违法记录情况说明及相关证明材料，或没有重大违法记录的书面承诺（提供《供应商资格声明函》）。</w:t>
      </w:r>
    </w:p>
    <w:p>
      <w:pPr>
        <w:numPr>
          <w:ilvl w:val="0"/>
          <w:numId w:val="98"/>
        </w:numPr>
        <w:spacing w:line="360" w:lineRule="auto"/>
        <w:rPr>
          <w:rFonts w:ascii="宋体" w:hAnsi="宋体"/>
          <w:b/>
          <w:bCs/>
          <w:color w:val="auto"/>
          <w:sz w:val="24"/>
          <w:szCs w:val="24"/>
        </w:rPr>
      </w:pPr>
      <w:r>
        <w:rPr>
          <w:rFonts w:hint="eastAsia" w:ascii="宋体" w:hAnsi="宋体"/>
          <w:b/>
          <w:bCs/>
          <w:color w:val="auto"/>
          <w:sz w:val="24"/>
          <w:szCs w:val="24"/>
        </w:rPr>
        <w:t>信用记录证明文件</w:t>
      </w:r>
    </w:p>
    <w:p>
      <w:pPr>
        <w:wordWrap w:val="0"/>
        <w:spacing w:line="360" w:lineRule="auto"/>
        <w:ind w:firstLine="600" w:firstLineChars="250"/>
        <w:rPr>
          <w:rFonts w:ascii="宋体" w:hAnsi="宋体"/>
          <w:color w:val="auto"/>
          <w:sz w:val="24"/>
          <w:szCs w:val="24"/>
        </w:rPr>
      </w:pPr>
      <w:r>
        <w:rPr>
          <w:rFonts w:hint="eastAsia" w:ascii="宋体" w:hAnsi="宋体"/>
          <w:color w:val="auto"/>
          <w:sz w:val="24"/>
          <w:szCs w:val="24"/>
        </w:rPr>
        <w:t>投标人可提供其在投标截止前任何一天自行查询的</w:t>
      </w:r>
      <w:r>
        <w:rPr>
          <w:rStyle w:val="34"/>
          <w:rFonts w:hint="eastAsia" w:ascii="宋体" w:hAnsi="宋体"/>
          <w:color w:val="auto"/>
          <w:sz w:val="24"/>
          <w:szCs w:val="24"/>
          <w:u w:val="none"/>
        </w:rPr>
        <w:t>“信用中国”网站（</w:t>
      </w:r>
      <w:r>
        <w:rPr>
          <w:rStyle w:val="34"/>
          <w:rFonts w:ascii="宋体" w:hAnsi="宋体"/>
          <w:color w:val="auto"/>
          <w:sz w:val="24"/>
          <w:szCs w:val="24"/>
          <w:u w:val="none"/>
        </w:rPr>
        <w:t>www.creditchina.gov.cn</w:t>
      </w:r>
      <w:r>
        <w:rPr>
          <w:rStyle w:val="34"/>
          <w:rFonts w:hint="eastAsia" w:ascii="宋体" w:hAnsi="宋体"/>
          <w:color w:val="auto"/>
          <w:sz w:val="24"/>
          <w:szCs w:val="24"/>
          <w:u w:val="none"/>
        </w:rPr>
        <w:t>）中</w:t>
      </w:r>
      <w:r>
        <w:rPr>
          <w:rStyle w:val="34"/>
          <w:rFonts w:hint="eastAsia" w:ascii="宋体" w:hAnsi="宋体"/>
          <w:color w:val="auto"/>
          <w:sz w:val="24"/>
          <w:u w:val="none"/>
        </w:rPr>
        <w:t>①</w:t>
      </w:r>
      <w:r>
        <w:rPr>
          <w:rStyle w:val="34"/>
          <w:rFonts w:hint="eastAsia" w:ascii="宋体" w:hAnsi="宋体"/>
          <w:color w:val="auto"/>
          <w:sz w:val="24"/>
          <w:szCs w:val="24"/>
          <w:u w:val="none"/>
        </w:rPr>
        <w:t>“记录失信被执行人</w:t>
      </w:r>
      <w:r>
        <w:rPr>
          <w:rStyle w:val="34"/>
          <w:rFonts w:ascii="宋体" w:hAnsi="宋体"/>
          <w:color w:val="auto"/>
          <w:sz w:val="24"/>
          <w:szCs w:val="24"/>
          <w:u w:val="none"/>
        </w:rPr>
        <w:t>”</w:t>
      </w:r>
      <w:r>
        <w:rPr>
          <w:rStyle w:val="34"/>
          <w:rFonts w:hint="eastAsia" w:ascii="宋体" w:hAnsi="宋体"/>
          <w:color w:val="auto"/>
          <w:sz w:val="24"/>
          <w:szCs w:val="24"/>
          <w:u w:val="none"/>
        </w:rPr>
        <w:t>和</w:t>
      </w:r>
      <w:r>
        <w:rPr>
          <w:rFonts w:hint="eastAsia" w:ascii="宋体" w:hAnsi="宋体"/>
          <w:color w:val="auto"/>
          <w:sz w:val="24"/>
        </w:rPr>
        <w:t>②</w:t>
      </w:r>
      <w:r>
        <w:rPr>
          <w:rStyle w:val="34"/>
          <w:rFonts w:hint="eastAsia" w:ascii="宋体" w:hAnsi="宋体"/>
          <w:color w:val="auto"/>
          <w:sz w:val="24"/>
          <w:szCs w:val="24"/>
          <w:u w:val="none"/>
        </w:rPr>
        <w:t>“重大税收违法案件当事人名单”和</w:t>
      </w:r>
      <w:r>
        <w:rPr>
          <w:rFonts w:hint="eastAsia" w:ascii="宋体" w:hAnsi="宋体"/>
          <w:color w:val="auto"/>
          <w:sz w:val="24"/>
        </w:rPr>
        <w:t>③</w:t>
      </w:r>
      <w:r>
        <w:rPr>
          <w:rStyle w:val="34"/>
          <w:rFonts w:hint="eastAsia" w:ascii="宋体" w:hAnsi="宋体"/>
          <w:color w:val="auto"/>
          <w:sz w:val="24"/>
          <w:szCs w:val="24"/>
          <w:u w:val="none"/>
        </w:rPr>
        <w:t>“政府采购严重违法失信行为”记录名单，中国政府采购网（</w:t>
      </w:r>
      <w:r>
        <w:rPr>
          <w:rStyle w:val="34"/>
          <w:rFonts w:ascii="宋体" w:hAnsi="宋体"/>
          <w:color w:val="auto"/>
          <w:sz w:val="24"/>
          <w:szCs w:val="24"/>
          <w:u w:val="none"/>
        </w:rPr>
        <w:t>www.ccgp.gov.cn</w:t>
      </w:r>
      <w:r>
        <w:rPr>
          <w:rStyle w:val="34"/>
          <w:rFonts w:hint="eastAsia" w:ascii="宋体" w:hAnsi="宋体"/>
          <w:color w:val="auto"/>
          <w:sz w:val="24"/>
          <w:szCs w:val="24"/>
          <w:u w:val="none"/>
        </w:rPr>
        <w:t>）“政府采购严重违法失信行为信息记录”查询结果</w:t>
      </w:r>
      <w:r>
        <w:rPr>
          <w:rFonts w:hint="eastAsia" w:ascii="宋体" w:hAnsi="宋体"/>
          <w:color w:val="auto"/>
          <w:sz w:val="24"/>
          <w:szCs w:val="24"/>
        </w:rPr>
        <w:t>。如相关失信记录已失效，供应商需提供相关证明材料。</w:t>
      </w:r>
    </w:p>
    <w:p>
      <w:pPr>
        <w:wordWrap w:val="0"/>
        <w:spacing w:line="360" w:lineRule="auto"/>
        <w:ind w:firstLine="600" w:firstLineChars="250"/>
        <w:rPr>
          <w:rFonts w:ascii="宋体" w:hAnsi="宋体"/>
          <w:color w:val="auto"/>
          <w:sz w:val="24"/>
          <w:szCs w:val="24"/>
        </w:rPr>
      </w:pPr>
      <w:r>
        <w:rPr>
          <w:rFonts w:ascii="宋体" w:hAnsi="宋体"/>
          <w:color w:val="auto"/>
          <w:sz w:val="24"/>
        </w:rPr>
        <w:t>（</w:t>
      </w:r>
      <w:r>
        <w:rPr>
          <w:rFonts w:hint="eastAsia" w:ascii="宋体" w:hAnsi="宋体" w:cs="宋体"/>
          <w:color w:val="auto"/>
          <w:sz w:val="24"/>
        </w:rPr>
        <w:t>说明：</w:t>
      </w:r>
      <w:r>
        <w:rPr>
          <w:rFonts w:hint="eastAsia" w:ascii="宋体" w:hAnsi="宋体"/>
          <w:color w:val="auto"/>
          <w:sz w:val="24"/>
        </w:rPr>
        <w:t>①由采购人、采购代理机构</w:t>
      </w:r>
      <w:r>
        <w:rPr>
          <w:rFonts w:ascii="宋体" w:hAnsi="宋体"/>
          <w:color w:val="auto"/>
          <w:sz w:val="24"/>
        </w:rPr>
        <w:t>于</w:t>
      </w:r>
      <w:r>
        <w:rPr>
          <w:rFonts w:hint="eastAsia" w:ascii="宋体" w:hAnsi="宋体"/>
          <w:color w:val="auto"/>
          <w:sz w:val="24"/>
        </w:rPr>
        <w:t>投标截止日</w:t>
      </w:r>
      <w:r>
        <w:rPr>
          <w:rFonts w:ascii="宋体" w:hAnsi="宋体"/>
          <w:color w:val="auto"/>
          <w:sz w:val="24"/>
        </w:rPr>
        <w:t>在“信用中国”网站（www.creditchina.gov.cn）及中国政府采购网(www.ccgp.gov.cn)查询结果为准</w:t>
      </w:r>
      <w:r>
        <w:rPr>
          <w:rFonts w:hint="eastAsia" w:ascii="宋体" w:hAnsi="宋体"/>
          <w:color w:val="auto"/>
          <w:sz w:val="24"/>
        </w:rPr>
        <w:t>，</w:t>
      </w:r>
      <w:r>
        <w:rPr>
          <w:rFonts w:ascii="宋体" w:hAnsi="宋体"/>
          <w:color w:val="auto"/>
          <w:sz w:val="24"/>
        </w:rPr>
        <w:t>如在上述网站查询结果均显示没有相关记录，视为</w:t>
      </w:r>
      <w:r>
        <w:rPr>
          <w:rFonts w:hint="eastAsia" w:ascii="宋体" w:hAnsi="宋体"/>
          <w:color w:val="auto"/>
          <w:sz w:val="24"/>
        </w:rPr>
        <w:t>不存在</w:t>
      </w:r>
      <w:r>
        <w:rPr>
          <w:rFonts w:ascii="宋体" w:hAnsi="宋体"/>
          <w:color w:val="auto"/>
          <w:sz w:val="24"/>
        </w:rPr>
        <w:t>上述不良信用记录。</w:t>
      </w:r>
      <w:r>
        <w:rPr>
          <w:rFonts w:hint="eastAsia" w:ascii="宋体" w:hAnsi="宋体"/>
          <w:color w:val="auto"/>
          <w:sz w:val="24"/>
        </w:rPr>
        <w:t>②</w:t>
      </w:r>
      <w:r>
        <w:rPr>
          <w:rFonts w:hint="eastAsia" w:ascii="宋体" w:hAnsi="宋体" w:cs="宋体"/>
          <w:color w:val="auto"/>
          <w:sz w:val="24"/>
        </w:rPr>
        <w:t>采购代理机构同时对信用信息查询记录和证据截图或下载存档</w:t>
      </w:r>
      <w:r>
        <w:rPr>
          <w:rStyle w:val="56"/>
          <w:rFonts w:hint="eastAsia" w:hAnsi="宋体"/>
          <w:color w:val="auto"/>
          <w:sz w:val="24"/>
          <w:szCs w:val="24"/>
        </w:rPr>
        <w:t>；③投标人为联合体或要求投标人以联合体形式参加投标的，同时对所有联合体成员进行信用记录查询，联合体任何一方存在不良信用记录的，视同投标供应商存在不良信用记录。④投标人</w:t>
      </w:r>
      <w:r>
        <w:rPr>
          <w:rFonts w:hint="eastAsia" w:ascii="宋体" w:hAnsi="宋体"/>
          <w:color w:val="auto"/>
          <w:sz w:val="24"/>
        </w:rPr>
        <w:t>为分支机构或联合体有成员为分支机构的，同时对该分支机构所属</w:t>
      </w:r>
      <w:r>
        <w:rPr>
          <w:rFonts w:hint="eastAsia" w:ascii="宋体" w:hAnsi="宋体" w:cs="黑体"/>
          <w:color w:val="auto"/>
          <w:sz w:val="24"/>
        </w:rPr>
        <w:t>总公司</w:t>
      </w:r>
      <w:r>
        <w:rPr>
          <w:rStyle w:val="56"/>
          <w:rFonts w:hint="eastAsia" w:hAnsi="宋体"/>
          <w:color w:val="auto"/>
          <w:sz w:val="24"/>
          <w:szCs w:val="24"/>
        </w:rPr>
        <w:t>（总所）进行信用记录查询，</w:t>
      </w:r>
      <w:r>
        <w:rPr>
          <w:rFonts w:hint="eastAsia" w:ascii="宋体" w:hAnsi="宋体"/>
          <w:color w:val="auto"/>
          <w:sz w:val="24"/>
        </w:rPr>
        <w:t>该分支机构所属</w:t>
      </w:r>
      <w:r>
        <w:rPr>
          <w:rFonts w:hint="eastAsia" w:ascii="宋体" w:hAnsi="宋体" w:cs="黑体"/>
          <w:color w:val="auto"/>
          <w:sz w:val="24"/>
        </w:rPr>
        <w:t>总公司</w:t>
      </w:r>
      <w:r>
        <w:rPr>
          <w:rStyle w:val="56"/>
          <w:rFonts w:hint="eastAsia" w:hAnsi="宋体"/>
          <w:color w:val="auto"/>
          <w:sz w:val="24"/>
          <w:szCs w:val="24"/>
        </w:rPr>
        <w:t>（总所）</w:t>
      </w:r>
      <w:r>
        <w:rPr>
          <w:rFonts w:ascii="宋体" w:hAnsi="宋体"/>
          <w:color w:val="auto"/>
          <w:sz w:val="24"/>
        </w:rPr>
        <w:t>存在</w:t>
      </w:r>
      <w:r>
        <w:rPr>
          <w:rFonts w:hint="eastAsia" w:ascii="宋体" w:hAnsi="宋体"/>
          <w:color w:val="auto"/>
          <w:sz w:val="24"/>
        </w:rPr>
        <w:t>不良信用</w:t>
      </w:r>
      <w:r>
        <w:rPr>
          <w:rFonts w:ascii="宋体" w:hAnsi="宋体"/>
          <w:color w:val="auto"/>
          <w:sz w:val="24"/>
        </w:rPr>
        <w:t>记录的</w:t>
      </w:r>
      <w:r>
        <w:rPr>
          <w:rFonts w:hint="eastAsia" w:ascii="宋体" w:hAnsi="宋体"/>
          <w:color w:val="auto"/>
          <w:sz w:val="24"/>
        </w:rPr>
        <w:t>，视同供应商（联合体）存在不良信用记录</w:t>
      </w:r>
      <w:r>
        <w:rPr>
          <w:rFonts w:ascii="宋体" w:hAnsi="宋体"/>
          <w:color w:val="auto"/>
          <w:sz w:val="24"/>
        </w:rPr>
        <w:t>。</w:t>
      </w:r>
      <w:r>
        <w:rPr>
          <w:rFonts w:hint="eastAsia" w:ascii="宋体" w:hAnsi="宋体"/>
          <w:color w:val="auto"/>
          <w:sz w:val="24"/>
        </w:rPr>
        <w:t>）</w:t>
      </w:r>
    </w:p>
    <w:p>
      <w:pPr>
        <w:numPr>
          <w:ilvl w:val="0"/>
          <w:numId w:val="98"/>
        </w:numPr>
        <w:spacing w:line="360" w:lineRule="auto"/>
        <w:rPr>
          <w:rFonts w:ascii="宋体" w:hAnsi="宋体"/>
          <w:b/>
          <w:color w:val="auto"/>
          <w:sz w:val="24"/>
          <w:szCs w:val="24"/>
        </w:rPr>
      </w:pPr>
      <w:r>
        <w:rPr>
          <w:rFonts w:hint="eastAsia" w:ascii="宋体" w:hAnsi="宋体"/>
          <w:b/>
          <w:color w:val="auto"/>
          <w:sz w:val="24"/>
          <w:szCs w:val="24"/>
        </w:rPr>
        <w:t>法律、行政法规规定的其他条件的证明文件</w:t>
      </w:r>
    </w:p>
    <w:p>
      <w:pPr>
        <w:spacing w:line="360" w:lineRule="auto"/>
        <w:ind w:firstLine="600" w:firstLineChars="250"/>
        <w:rPr>
          <w:rFonts w:ascii="宋体" w:hAnsi="宋体"/>
          <w:color w:val="auto"/>
          <w:sz w:val="24"/>
          <w:szCs w:val="24"/>
        </w:rPr>
      </w:pPr>
      <w:r>
        <w:rPr>
          <w:rFonts w:hint="eastAsia" w:ascii="宋体" w:hAnsi="宋体"/>
          <w:color w:val="auto"/>
          <w:sz w:val="24"/>
          <w:szCs w:val="24"/>
        </w:rPr>
        <w:t>单位负责人为同一人或者存在直接控股、管理关系的不同供应商不得同时参加本采购项目（同一采购包）的投标；为本项目提供整体设计、规范编制或者项目管理、监理、检测等服务的供应商，不得再参加本项目（同一采购包）的投标。（提供《供应商资格声明函》）。</w:t>
      </w:r>
    </w:p>
    <w:p>
      <w:pPr>
        <w:pStyle w:val="2"/>
        <w:rPr>
          <w:color w:val="auto"/>
        </w:rPr>
      </w:pPr>
    </w:p>
    <w:p>
      <w:pPr>
        <w:pStyle w:val="6"/>
        <w:numPr>
          <w:ilvl w:val="1"/>
          <w:numId w:val="97"/>
        </w:numPr>
        <w:tabs>
          <w:tab w:val="left" w:pos="945"/>
        </w:tabs>
        <w:ind w:left="964" w:hanging="960" w:hangingChars="400"/>
        <w:rPr>
          <w:rFonts w:ascii="宋体" w:hAnsi="宋体"/>
          <w:color w:val="auto"/>
          <w:szCs w:val="24"/>
        </w:rPr>
      </w:pPr>
      <w:r>
        <w:rPr>
          <w:rFonts w:hint="eastAsia" w:ascii="宋体" w:hAnsi="宋体"/>
          <w:color w:val="auto"/>
          <w:szCs w:val="24"/>
        </w:rPr>
        <w:t>落实政府采购政策需满足的资格要求的证明文件（如要求）</w:t>
      </w:r>
    </w:p>
    <w:p>
      <w:pPr>
        <w:spacing w:line="360" w:lineRule="auto"/>
        <w:ind w:firstLine="600" w:firstLineChars="250"/>
        <w:rPr>
          <w:rFonts w:ascii="宋体" w:hAnsi="宋体"/>
          <w:color w:val="auto"/>
          <w:sz w:val="24"/>
          <w:szCs w:val="24"/>
        </w:rPr>
      </w:pPr>
      <w:r>
        <w:rPr>
          <w:rFonts w:hint="eastAsia" w:ascii="宋体" w:hAnsi="宋体"/>
          <w:color w:val="auto"/>
          <w:sz w:val="24"/>
          <w:szCs w:val="24"/>
        </w:rPr>
        <w:t>投标人自行查阅本文件《投标邀请》的“二、申请人的资格要求”，如属于专门面向中小企业采购的项目，须提供中小微企业的相关证明文件，若要求以联合体形式投标的，还须提供《联合协议》；若要求以合同分包形式投标的，还须提供《分包意向协议》。</w:t>
      </w:r>
    </w:p>
    <w:p>
      <w:pPr>
        <w:pStyle w:val="2"/>
        <w:rPr>
          <w:color w:val="auto"/>
        </w:rPr>
      </w:pPr>
      <w:r>
        <w:rPr>
          <w:rFonts w:hint="eastAsia"/>
          <w:color w:val="auto"/>
        </w:rPr>
        <w:br w:type="page"/>
      </w:r>
    </w:p>
    <w:p>
      <w:pPr>
        <w:pStyle w:val="6"/>
        <w:numPr>
          <w:ilvl w:val="1"/>
          <w:numId w:val="97"/>
        </w:numPr>
        <w:tabs>
          <w:tab w:val="left" w:pos="945"/>
        </w:tabs>
        <w:ind w:left="964" w:hanging="960" w:hangingChars="400"/>
        <w:rPr>
          <w:rFonts w:ascii="宋体" w:hAnsi="宋体"/>
          <w:color w:val="auto"/>
          <w:szCs w:val="24"/>
        </w:rPr>
      </w:pPr>
      <w:r>
        <w:rPr>
          <w:rFonts w:hint="eastAsia" w:ascii="宋体" w:hAnsi="宋体"/>
          <w:iCs/>
          <w:color w:val="auto"/>
          <w:szCs w:val="24"/>
        </w:rPr>
        <w:t>本项目的特定资格要求的证明文件（如要求）</w:t>
      </w:r>
    </w:p>
    <w:p>
      <w:pPr>
        <w:spacing w:line="360" w:lineRule="auto"/>
        <w:ind w:left="630" w:leftChars="300" w:firstLine="150" w:firstLineChars="50"/>
        <w:jc w:val="center"/>
        <w:rPr>
          <w:rFonts w:ascii="宋体" w:hAnsi="宋体"/>
          <w:b/>
          <w:color w:val="auto"/>
          <w:sz w:val="30"/>
          <w:szCs w:val="30"/>
        </w:rPr>
      </w:pPr>
      <w:r>
        <w:rPr>
          <w:rFonts w:hint="eastAsia" w:ascii="宋体" w:hAnsi="宋体"/>
          <w:b/>
          <w:color w:val="auto"/>
          <w:sz w:val="30"/>
          <w:szCs w:val="30"/>
        </w:rPr>
        <w:t>本项目的特定资格要求的证明文件</w:t>
      </w:r>
    </w:p>
    <w:p>
      <w:pPr>
        <w:spacing w:line="360" w:lineRule="auto"/>
        <w:ind w:left="809" w:hanging="808" w:hangingChars="337"/>
        <w:rPr>
          <w:rFonts w:hint="eastAsia" w:ascii="宋体" w:hAnsi="宋体" w:eastAsia="宋体"/>
          <w:color w:val="auto"/>
          <w:sz w:val="24"/>
          <w:szCs w:val="24"/>
          <w:lang w:eastAsia="zh-CN"/>
        </w:rPr>
      </w:pPr>
      <w:r>
        <w:rPr>
          <w:rFonts w:hint="eastAsia" w:ascii="宋体" w:hAnsi="宋体"/>
          <w:color w:val="auto"/>
          <w:sz w:val="24"/>
          <w:szCs w:val="24"/>
        </w:rPr>
        <w:t>采购项目名称：</w:t>
      </w:r>
      <w:r>
        <w:rPr>
          <w:rFonts w:hint="eastAsia" w:ascii="宋体" w:hAnsi="宋体"/>
          <w:color w:val="auto"/>
          <w:sz w:val="24"/>
          <w:szCs w:val="24"/>
          <w:lang w:eastAsia="zh-CN"/>
        </w:rPr>
        <w:t>工业和信息化部电子第五研究所动力电池配套使用环境试验箱采购项目</w:t>
      </w:r>
    </w:p>
    <w:p>
      <w:pPr>
        <w:spacing w:line="360" w:lineRule="auto"/>
        <w:ind w:left="809" w:hanging="808" w:hangingChars="337"/>
        <w:rPr>
          <w:rFonts w:ascii="宋体" w:hAnsi="宋体"/>
          <w:color w:val="auto"/>
          <w:sz w:val="24"/>
          <w:szCs w:val="24"/>
        </w:rPr>
      </w:pPr>
      <w:r>
        <w:rPr>
          <w:rFonts w:hint="eastAsia" w:ascii="宋体" w:hAnsi="宋体"/>
          <w:color w:val="auto"/>
          <w:sz w:val="24"/>
          <w:szCs w:val="24"/>
        </w:rPr>
        <w:t>采购包号：</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165"/>
        <w:gridCol w:w="3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序号</w:t>
            </w:r>
          </w:p>
        </w:tc>
        <w:tc>
          <w:tcPr>
            <w:tcW w:w="5165"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证明材料名称</w:t>
            </w:r>
          </w:p>
        </w:tc>
        <w:tc>
          <w:tcPr>
            <w:tcW w:w="3181"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证明材料所在页码范围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1</w:t>
            </w:r>
          </w:p>
        </w:tc>
        <w:tc>
          <w:tcPr>
            <w:tcW w:w="5165" w:type="dxa"/>
            <w:vAlign w:val="center"/>
          </w:tcPr>
          <w:p>
            <w:pPr>
              <w:rPr>
                <w:rFonts w:ascii="宋体" w:hAnsi="宋体"/>
                <w:color w:val="auto"/>
                <w:sz w:val="24"/>
                <w:szCs w:val="24"/>
              </w:rPr>
            </w:pPr>
            <w:r>
              <w:rPr>
                <w:rFonts w:hint="eastAsia" w:ascii="宋体" w:hAnsi="宋体" w:cs="宋体"/>
                <w:bCs/>
                <w:color w:val="auto"/>
                <w:sz w:val="24"/>
                <w:szCs w:val="24"/>
                <w:lang w:bidi="ar"/>
              </w:rPr>
              <w:t>已按招标公告及招标文件的规定获取了招标文件（</w:t>
            </w:r>
            <w:r>
              <w:rPr>
                <w:rFonts w:hint="eastAsia" w:ascii="宋体" w:hAnsi="宋体"/>
                <w:color w:val="auto"/>
                <w:sz w:val="24"/>
                <w:szCs w:val="24"/>
              </w:rPr>
              <w:t>提供《供应商资格声明函》。最终以采购代理机构的记录为准）</w:t>
            </w:r>
          </w:p>
        </w:tc>
        <w:tc>
          <w:tcPr>
            <w:tcW w:w="3181" w:type="dxa"/>
            <w:vAlign w:val="center"/>
          </w:tcPr>
          <w:p>
            <w:pPr>
              <w:autoSpaceDE w:val="0"/>
              <w:autoSpaceDN w:val="0"/>
              <w:spacing w:line="360" w:lineRule="auto"/>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2</w:t>
            </w:r>
          </w:p>
        </w:tc>
        <w:tc>
          <w:tcPr>
            <w:tcW w:w="5165" w:type="dxa"/>
            <w:vAlign w:val="center"/>
          </w:tcPr>
          <w:p>
            <w:pPr>
              <w:rPr>
                <w:rFonts w:ascii="宋体" w:hAnsi="宋体"/>
                <w:color w:val="auto"/>
                <w:sz w:val="24"/>
                <w:szCs w:val="24"/>
              </w:rPr>
            </w:pPr>
            <w:r>
              <w:rPr>
                <w:rFonts w:hint="eastAsia" w:ascii="宋体" w:hAnsi="宋体" w:cs="宋体"/>
                <w:bCs/>
                <w:color w:val="auto"/>
                <w:sz w:val="24"/>
                <w:szCs w:val="24"/>
                <w:lang w:bidi="ar"/>
              </w:rPr>
              <w:t>关于联合体投标（是否接受联合体投标详见</w:t>
            </w:r>
            <w:r>
              <w:rPr>
                <w:rFonts w:hint="eastAsia" w:ascii="宋体" w:hAnsi="宋体" w:cs="宋体"/>
                <w:color w:val="auto"/>
                <w:sz w:val="24"/>
                <w:szCs w:val="24"/>
                <w:lang w:bidi="ar"/>
              </w:rPr>
              <w:t>本文件《投标邀请》的</w:t>
            </w:r>
            <w:r>
              <w:rPr>
                <w:rFonts w:hint="eastAsia" w:ascii="宋体" w:hAnsi="宋体" w:cs="宋体"/>
                <w:bCs/>
                <w:color w:val="auto"/>
                <w:sz w:val="24"/>
                <w:szCs w:val="24"/>
                <w:lang w:bidi="ar"/>
              </w:rPr>
              <w:t>“二、申请人的资格要求”）</w:t>
            </w:r>
          </w:p>
        </w:tc>
        <w:tc>
          <w:tcPr>
            <w:tcW w:w="3181" w:type="dxa"/>
            <w:vAlign w:val="center"/>
          </w:tcPr>
          <w:p>
            <w:pPr>
              <w:autoSpaceDE w:val="0"/>
              <w:autoSpaceDN w:val="0"/>
              <w:spacing w:line="360" w:lineRule="auto"/>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3</w:t>
            </w:r>
          </w:p>
        </w:tc>
        <w:tc>
          <w:tcPr>
            <w:tcW w:w="5165" w:type="dxa"/>
            <w:vAlign w:val="center"/>
          </w:tcPr>
          <w:p>
            <w:pPr>
              <w:rPr>
                <w:rFonts w:ascii="宋体" w:hAnsi="宋体"/>
                <w:color w:val="auto"/>
                <w:sz w:val="24"/>
                <w:szCs w:val="24"/>
              </w:rPr>
            </w:pPr>
            <w:r>
              <w:rPr>
                <w:rFonts w:hint="eastAsia" w:ascii="宋体" w:hAnsi="宋体" w:cs="宋体"/>
                <w:bCs/>
                <w:color w:val="auto"/>
                <w:sz w:val="24"/>
                <w:szCs w:val="24"/>
                <w:lang w:bidi="ar"/>
              </w:rPr>
              <w:t>供应商应当具备的其他资格条件</w:t>
            </w:r>
            <w:r>
              <w:rPr>
                <w:rFonts w:hint="eastAsia" w:ascii="宋体" w:hAnsi="宋体"/>
                <w:bCs/>
                <w:color w:val="auto"/>
                <w:sz w:val="24"/>
                <w:szCs w:val="24"/>
                <w:lang w:bidi="ar"/>
              </w:rPr>
              <w:t>（</w:t>
            </w:r>
            <w:r>
              <w:rPr>
                <w:rFonts w:hint="eastAsia" w:ascii="Calibri" w:hAnsi="Calibri"/>
                <w:color w:val="auto"/>
                <w:sz w:val="24"/>
                <w:szCs w:val="24"/>
                <w:lang w:bidi="ar"/>
              </w:rPr>
              <w:t>投标人自行查阅本文件《投标邀请》的“二、申请人的资格要求”，如要求，投标人须按招标文件的规定提供证明文件）</w:t>
            </w:r>
          </w:p>
        </w:tc>
        <w:tc>
          <w:tcPr>
            <w:tcW w:w="3181" w:type="dxa"/>
            <w:vAlign w:val="center"/>
          </w:tcPr>
          <w:p>
            <w:pPr>
              <w:autoSpaceDE w:val="0"/>
              <w:autoSpaceDN w:val="0"/>
              <w:spacing w:line="360" w:lineRule="auto"/>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w:t>
            </w:r>
          </w:p>
        </w:tc>
        <w:tc>
          <w:tcPr>
            <w:tcW w:w="5165" w:type="dxa"/>
            <w:vAlign w:val="center"/>
          </w:tcPr>
          <w:p>
            <w:pPr>
              <w:rPr>
                <w:rFonts w:ascii="宋体" w:hAnsi="宋体" w:cs="宋体"/>
                <w:bCs/>
                <w:color w:val="auto"/>
                <w:sz w:val="24"/>
                <w:szCs w:val="24"/>
                <w:lang w:bidi="ar"/>
              </w:rPr>
            </w:pPr>
            <w:r>
              <w:rPr>
                <w:rFonts w:hint="eastAsia" w:ascii="宋体" w:hAnsi="宋体"/>
                <w:color w:val="auto"/>
                <w:sz w:val="24"/>
                <w:szCs w:val="24"/>
              </w:rPr>
              <w:t>（其他资格证明文件）</w:t>
            </w:r>
          </w:p>
        </w:tc>
        <w:tc>
          <w:tcPr>
            <w:tcW w:w="3181" w:type="dxa"/>
            <w:vAlign w:val="center"/>
          </w:tcPr>
          <w:p>
            <w:pPr>
              <w:autoSpaceDE w:val="0"/>
              <w:autoSpaceDN w:val="0"/>
              <w:spacing w:line="360" w:lineRule="auto"/>
              <w:jc w:val="center"/>
              <w:rPr>
                <w:rFonts w:ascii="宋体" w:hAnsi="宋体"/>
                <w:color w:val="auto"/>
                <w:sz w:val="24"/>
                <w:szCs w:val="24"/>
              </w:rPr>
            </w:pPr>
          </w:p>
        </w:tc>
      </w:tr>
    </w:tbl>
    <w:p>
      <w:pPr>
        <w:spacing w:line="360" w:lineRule="auto"/>
        <w:ind w:left="945" w:leftChars="450" w:firstLine="410" w:firstLineChars="171"/>
        <w:rPr>
          <w:rFonts w:ascii="宋体" w:hAnsi="宋体"/>
          <w:color w:val="auto"/>
          <w:sz w:val="24"/>
          <w:szCs w:val="24"/>
        </w:rPr>
      </w:pP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投标人名称（加盖公章）：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投标人法定代表人或授权代表（签字或盖章）：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日期：</w:t>
      </w:r>
      <w:r>
        <w:rPr>
          <w:rFonts w:hint="eastAsia" w:ascii="宋体" w:hAnsi="宋体"/>
          <w:color w:val="auto"/>
          <w:sz w:val="24"/>
          <w:szCs w:val="24"/>
          <w:u w:val="single"/>
        </w:rPr>
        <w:t xml:space="preserve">        </w:t>
      </w:r>
      <w:r>
        <w:rPr>
          <w:rFonts w:hint="eastAsia" w:ascii="宋体" w:hAnsi="宋体"/>
          <w:color w:val="auto"/>
          <w:sz w:val="24"/>
          <w:szCs w:val="24"/>
        </w:rPr>
        <w:t>年</w:t>
      </w:r>
      <w:r>
        <w:rPr>
          <w:rFonts w:hint="eastAsia" w:ascii="宋体" w:hAnsi="宋体"/>
          <w:color w:val="auto"/>
          <w:sz w:val="24"/>
          <w:szCs w:val="24"/>
          <w:u w:val="single"/>
        </w:rPr>
        <w:t xml:space="preserve">    </w:t>
      </w:r>
      <w:r>
        <w:rPr>
          <w:rFonts w:hint="eastAsia" w:ascii="宋体" w:hAnsi="宋体"/>
          <w:color w:val="auto"/>
          <w:sz w:val="24"/>
          <w:szCs w:val="24"/>
        </w:rPr>
        <w:t>月</w:t>
      </w:r>
      <w:r>
        <w:rPr>
          <w:rFonts w:hint="eastAsia" w:ascii="宋体" w:hAnsi="宋体"/>
          <w:color w:val="auto"/>
          <w:sz w:val="24"/>
          <w:szCs w:val="24"/>
          <w:u w:val="single"/>
        </w:rPr>
        <w:t xml:space="preserve">    </w:t>
      </w:r>
      <w:r>
        <w:rPr>
          <w:rFonts w:hint="eastAsia" w:ascii="宋体" w:hAnsi="宋体"/>
          <w:color w:val="auto"/>
          <w:sz w:val="24"/>
          <w:szCs w:val="24"/>
        </w:rPr>
        <w:t>日</w:t>
      </w:r>
    </w:p>
    <w:p>
      <w:pPr>
        <w:autoSpaceDE w:val="0"/>
        <w:autoSpaceDN w:val="0"/>
        <w:spacing w:line="360" w:lineRule="auto"/>
        <w:rPr>
          <w:rFonts w:ascii="宋体" w:hAnsi="宋体"/>
          <w:color w:val="auto"/>
          <w:sz w:val="24"/>
          <w:szCs w:val="24"/>
        </w:rPr>
      </w:pPr>
    </w:p>
    <w:p>
      <w:pPr>
        <w:rPr>
          <w:rFonts w:ascii="宋体" w:hAnsi="宋体"/>
          <w:b/>
          <w:color w:val="auto"/>
          <w:sz w:val="24"/>
          <w:szCs w:val="24"/>
        </w:rPr>
      </w:pPr>
      <w:r>
        <w:rPr>
          <w:rFonts w:hint="eastAsia" w:ascii="宋体" w:hAnsi="宋体"/>
          <w:b/>
          <w:color w:val="auto"/>
          <w:sz w:val="24"/>
          <w:szCs w:val="24"/>
        </w:rPr>
        <w:t>备注：</w:t>
      </w:r>
    </w:p>
    <w:p>
      <w:pPr>
        <w:ind w:firstLine="480" w:firstLineChars="200"/>
        <w:rPr>
          <w:rFonts w:ascii="宋体" w:hAnsi="宋体"/>
          <w:color w:val="auto"/>
          <w:sz w:val="24"/>
          <w:szCs w:val="24"/>
        </w:rPr>
      </w:pPr>
      <w:r>
        <w:rPr>
          <w:rFonts w:hint="eastAsia" w:ascii="宋体" w:hAnsi="宋体"/>
          <w:color w:val="auto"/>
          <w:sz w:val="24"/>
          <w:szCs w:val="24"/>
        </w:rPr>
        <w:t>1.如</w:t>
      </w:r>
      <w:r>
        <w:rPr>
          <w:rFonts w:hint="eastAsia" w:ascii="宋体" w:hAnsi="宋体"/>
          <w:iCs/>
          <w:color w:val="auto"/>
          <w:sz w:val="24"/>
          <w:szCs w:val="24"/>
        </w:rPr>
        <w:t>本文件《投标邀请》的“二、申请人的资格要求”有</w:t>
      </w:r>
      <w:r>
        <w:rPr>
          <w:rFonts w:hint="eastAsia" w:ascii="宋体" w:hAnsi="宋体"/>
          <w:color w:val="auto"/>
          <w:sz w:val="24"/>
          <w:szCs w:val="24"/>
        </w:rPr>
        <w:t>要求“供应商应当具备其他资格条件”的</w:t>
      </w:r>
      <w:r>
        <w:rPr>
          <w:rFonts w:hint="eastAsia" w:ascii="宋体" w:hAnsi="宋体"/>
          <w:b/>
          <w:color w:val="auto"/>
          <w:sz w:val="24"/>
          <w:szCs w:val="24"/>
        </w:rPr>
        <w:t>（由投标人自行查阅</w:t>
      </w:r>
      <w:r>
        <w:rPr>
          <w:rFonts w:hint="eastAsia" w:ascii="宋体" w:hAnsi="宋体"/>
          <w:b/>
          <w:iCs/>
          <w:color w:val="auto"/>
          <w:sz w:val="24"/>
          <w:szCs w:val="24"/>
        </w:rPr>
        <w:t>本文件《投标邀请》的“二、申请人的资格要求”</w:t>
      </w:r>
      <w:r>
        <w:rPr>
          <w:rFonts w:hint="eastAsia" w:ascii="宋体" w:hAnsi="宋体"/>
          <w:b/>
          <w:color w:val="auto"/>
          <w:sz w:val="24"/>
          <w:szCs w:val="24"/>
        </w:rPr>
        <w:t>）</w:t>
      </w:r>
      <w:r>
        <w:rPr>
          <w:rFonts w:hint="eastAsia" w:ascii="宋体" w:hAnsi="宋体"/>
          <w:color w:val="auto"/>
          <w:sz w:val="24"/>
          <w:szCs w:val="24"/>
        </w:rPr>
        <w:t>，投标人须按招标文件的规定提供证明文件（填写上表并在表后附相关证明材料）。</w:t>
      </w:r>
    </w:p>
    <w:p>
      <w:pPr>
        <w:ind w:firstLine="480" w:firstLineChars="200"/>
        <w:rPr>
          <w:rFonts w:ascii="宋体" w:hAnsi="宋体"/>
          <w:color w:val="auto"/>
          <w:sz w:val="24"/>
          <w:szCs w:val="24"/>
        </w:rPr>
      </w:pPr>
      <w:r>
        <w:rPr>
          <w:rFonts w:hint="eastAsia" w:ascii="宋体" w:hAnsi="宋体"/>
          <w:color w:val="auto"/>
          <w:sz w:val="24"/>
          <w:szCs w:val="24"/>
        </w:rPr>
        <w:t>2.联合体投标的，涉及各成员方的证明材料分别提供。各成员提供的自身独立的证明材料（如有）均可以由《联合协议》约定的方式加盖公章及签署。</w:t>
      </w:r>
    </w:p>
    <w:p>
      <w:pPr>
        <w:ind w:firstLine="480" w:firstLineChars="200"/>
        <w:rPr>
          <w:rFonts w:ascii="宋体" w:hAnsi="宋体"/>
          <w:color w:val="auto"/>
          <w:sz w:val="24"/>
          <w:szCs w:val="24"/>
        </w:rPr>
      </w:pPr>
      <w:r>
        <w:rPr>
          <w:rFonts w:hint="eastAsia" w:ascii="宋体" w:hAnsi="宋体"/>
          <w:color w:val="auto"/>
          <w:sz w:val="24"/>
          <w:szCs w:val="24"/>
        </w:rPr>
        <w:t>3.以合同分包形式报价的，各接受分包合同企业提供的自身独立的证明材料（如采购文件有要求），可以由各接受分包合同企业加盖公章及签署，也可以由投标供应商按《分包意向协议》约定的方式加盖公章及签署。</w:t>
      </w:r>
    </w:p>
    <w:p>
      <w:pPr>
        <w:pStyle w:val="2"/>
        <w:rPr>
          <w:color w:val="auto"/>
        </w:rPr>
      </w:pPr>
    </w:p>
    <w:p>
      <w:pPr>
        <w:pStyle w:val="6"/>
        <w:numPr>
          <w:ilvl w:val="1"/>
          <w:numId w:val="97"/>
        </w:numPr>
        <w:tabs>
          <w:tab w:val="left" w:pos="945"/>
        </w:tabs>
        <w:ind w:left="964" w:hanging="960" w:hangingChars="400"/>
        <w:rPr>
          <w:rFonts w:ascii="宋体" w:hAnsi="宋体"/>
          <w:color w:val="auto"/>
          <w:szCs w:val="24"/>
        </w:rPr>
      </w:pPr>
      <w:r>
        <w:rPr>
          <w:rFonts w:hint="eastAsia" w:ascii="宋体" w:hAnsi="宋体"/>
          <w:color w:val="auto"/>
          <w:szCs w:val="24"/>
        </w:rPr>
        <w:br w:type="page"/>
      </w:r>
      <w:r>
        <w:rPr>
          <w:rFonts w:hint="eastAsia" w:ascii="宋体" w:hAnsi="宋体"/>
          <w:color w:val="auto"/>
          <w:szCs w:val="24"/>
        </w:rPr>
        <w:t>关于联合体投标</w:t>
      </w:r>
    </w:p>
    <w:p>
      <w:pPr>
        <w:ind w:firstLine="600" w:firstLineChars="250"/>
        <w:rPr>
          <w:rFonts w:ascii="宋体" w:hAnsi="宋体"/>
          <w:color w:val="auto"/>
          <w:sz w:val="24"/>
          <w:szCs w:val="24"/>
        </w:rPr>
      </w:pPr>
      <w:r>
        <w:rPr>
          <w:rFonts w:hint="eastAsia" w:ascii="宋体" w:hAnsi="宋体"/>
          <w:b/>
          <w:color w:val="auto"/>
          <w:sz w:val="24"/>
          <w:szCs w:val="24"/>
        </w:rPr>
        <w:t>备注：</w:t>
      </w:r>
      <w:r>
        <w:rPr>
          <w:rFonts w:hint="eastAsia" w:ascii="宋体" w:hAnsi="宋体"/>
          <w:color w:val="auto"/>
          <w:sz w:val="24"/>
          <w:szCs w:val="24"/>
        </w:rPr>
        <w:t>不接受联合体投标的项目（采购包），以按规定获取招标文件供应商的名单情况为准。供应商也可以提供《供应商资格声明函》，也可以不作声明。接受联合体投标的项目（采购包），且供应商为联合体投标时，参考下列格式提供《联合协议》。</w:t>
      </w:r>
    </w:p>
    <w:p>
      <w:pPr>
        <w:spacing w:line="360" w:lineRule="auto"/>
        <w:ind w:left="945" w:leftChars="450" w:firstLine="410" w:firstLineChars="171"/>
        <w:rPr>
          <w:rFonts w:ascii="宋体" w:hAnsi="宋体"/>
          <w:color w:val="auto"/>
          <w:sz w:val="24"/>
          <w:szCs w:val="24"/>
        </w:rPr>
      </w:pPr>
    </w:p>
    <w:p>
      <w:pPr>
        <w:pStyle w:val="6"/>
        <w:numPr>
          <w:ilvl w:val="0"/>
          <w:numId w:val="0"/>
        </w:numPr>
        <w:tabs>
          <w:tab w:val="left" w:pos="945"/>
        </w:tabs>
        <w:ind w:left="964"/>
        <w:rPr>
          <w:rFonts w:ascii="宋体" w:hAnsi="宋体"/>
          <w:color w:val="auto"/>
          <w:szCs w:val="24"/>
        </w:rPr>
      </w:pPr>
      <w:bookmarkStart w:id="400" w:name="_Toc22806205"/>
      <w:r>
        <w:rPr>
          <w:rFonts w:hint="eastAsia" w:ascii="宋体" w:hAnsi="宋体"/>
          <w:color w:val="auto"/>
          <w:szCs w:val="24"/>
        </w:rPr>
        <w:t>联合协议</w:t>
      </w:r>
      <w:bookmarkEnd w:id="400"/>
    </w:p>
    <w:p>
      <w:pPr>
        <w:spacing w:line="360" w:lineRule="auto"/>
        <w:jc w:val="center"/>
        <w:rPr>
          <w:rFonts w:ascii="宋体" w:hAnsi="宋体"/>
          <w:b/>
          <w:color w:val="auto"/>
          <w:sz w:val="30"/>
          <w:szCs w:val="30"/>
        </w:rPr>
      </w:pPr>
      <w:r>
        <w:rPr>
          <w:rFonts w:hint="eastAsia" w:ascii="宋体" w:hAnsi="宋体"/>
          <w:b/>
          <w:color w:val="auto"/>
          <w:sz w:val="30"/>
          <w:szCs w:val="30"/>
        </w:rPr>
        <w:t>联合协议</w:t>
      </w:r>
    </w:p>
    <w:p>
      <w:pPr>
        <w:spacing w:line="360" w:lineRule="auto"/>
        <w:rPr>
          <w:rFonts w:ascii="宋体" w:hAnsi="宋体"/>
          <w:color w:val="auto"/>
          <w:sz w:val="24"/>
          <w:szCs w:val="24"/>
          <w:u w:val="single"/>
        </w:rPr>
      </w:pPr>
      <w:r>
        <w:rPr>
          <w:rFonts w:hint="eastAsia" w:ascii="宋体" w:hAnsi="宋体"/>
          <w:color w:val="auto"/>
          <w:kern w:val="10"/>
          <w:sz w:val="24"/>
          <w:szCs w:val="24"/>
        </w:rPr>
        <w:t>立约方：</w:t>
      </w:r>
      <w:r>
        <w:rPr>
          <w:rFonts w:hint="eastAsia" w:ascii="宋体" w:hAnsi="宋体"/>
          <w:i/>
          <w:color w:val="auto"/>
          <w:sz w:val="24"/>
          <w:szCs w:val="24"/>
          <w:u w:val="single"/>
        </w:rPr>
        <w:t>（成员1全称）</w:t>
      </w:r>
      <w:r>
        <w:rPr>
          <w:rFonts w:hint="eastAsia" w:ascii="宋体" w:hAnsi="宋体"/>
          <w:color w:val="auto"/>
          <w:sz w:val="24"/>
          <w:szCs w:val="24"/>
        </w:rPr>
        <w:t>、</w:t>
      </w:r>
      <w:r>
        <w:rPr>
          <w:rFonts w:hint="eastAsia" w:ascii="宋体" w:hAnsi="宋体"/>
          <w:i/>
          <w:color w:val="auto"/>
          <w:sz w:val="24"/>
          <w:szCs w:val="24"/>
          <w:u w:val="single"/>
        </w:rPr>
        <w:t>（成员2全称）</w:t>
      </w:r>
      <w:r>
        <w:rPr>
          <w:rFonts w:hint="eastAsia" w:ascii="宋体" w:hAnsi="宋体"/>
          <w:color w:val="auto"/>
          <w:sz w:val="24"/>
          <w:szCs w:val="24"/>
        </w:rPr>
        <w:t>、</w:t>
      </w:r>
      <w:r>
        <w:rPr>
          <w:rFonts w:ascii="宋体" w:hAnsi="宋体"/>
          <w:color w:val="auto"/>
          <w:sz w:val="24"/>
          <w:szCs w:val="24"/>
          <w:u w:val="single"/>
        </w:rPr>
        <w:t>……</w:t>
      </w:r>
      <w:r>
        <w:rPr>
          <w:rFonts w:hint="eastAsia" w:ascii="宋体" w:hAnsi="宋体"/>
          <w:i/>
          <w:color w:val="auto"/>
          <w:sz w:val="24"/>
          <w:szCs w:val="24"/>
          <w:u w:val="single"/>
        </w:rPr>
        <w:t>（成员……全称）</w:t>
      </w:r>
    </w:p>
    <w:p>
      <w:pPr>
        <w:spacing w:line="360" w:lineRule="auto"/>
        <w:rPr>
          <w:rFonts w:ascii="宋体" w:hAnsi="宋体"/>
          <w:color w:val="auto"/>
          <w:sz w:val="24"/>
          <w:szCs w:val="24"/>
        </w:rPr>
      </w:pPr>
    </w:p>
    <w:p>
      <w:pPr>
        <w:spacing w:line="360" w:lineRule="auto"/>
        <w:ind w:firstLine="480" w:firstLineChars="200"/>
        <w:rPr>
          <w:rFonts w:ascii="宋体" w:hAnsi="宋体"/>
          <w:color w:val="auto"/>
          <w:sz w:val="24"/>
          <w:szCs w:val="24"/>
        </w:rPr>
      </w:pPr>
      <w:r>
        <w:rPr>
          <w:rFonts w:hint="eastAsia" w:ascii="宋体" w:hAnsi="宋体"/>
          <w:i/>
          <w:color w:val="auto"/>
          <w:sz w:val="24"/>
          <w:szCs w:val="24"/>
          <w:u w:val="single"/>
        </w:rPr>
        <w:t>（成员1全称）</w:t>
      </w:r>
      <w:r>
        <w:rPr>
          <w:rFonts w:hint="eastAsia" w:ascii="宋体" w:hAnsi="宋体"/>
          <w:color w:val="auto"/>
          <w:sz w:val="24"/>
          <w:szCs w:val="24"/>
        </w:rPr>
        <w:t>、</w:t>
      </w:r>
      <w:r>
        <w:rPr>
          <w:rFonts w:hint="eastAsia" w:ascii="宋体" w:hAnsi="宋体"/>
          <w:i/>
          <w:color w:val="auto"/>
          <w:sz w:val="24"/>
          <w:szCs w:val="24"/>
          <w:u w:val="single"/>
        </w:rPr>
        <w:t>（成员2全称）</w:t>
      </w:r>
      <w:r>
        <w:rPr>
          <w:rFonts w:hint="eastAsia" w:ascii="宋体" w:hAnsi="宋体"/>
          <w:color w:val="auto"/>
          <w:sz w:val="24"/>
          <w:szCs w:val="24"/>
        </w:rPr>
        <w:t>、</w:t>
      </w:r>
      <w:r>
        <w:rPr>
          <w:rFonts w:ascii="宋体" w:hAnsi="宋体"/>
          <w:color w:val="auto"/>
          <w:sz w:val="24"/>
          <w:szCs w:val="24"/>
          <w:u w:val="single"/>
        </w:rPr>
        <w:t>……</w:t>
      </w:r>
      <w:r>
        <w:rPr>
          <w:rFonts w:hint="eastAsia" w:ascii="宋体" w:hAnsi="宋体"/>
          <w:i/>
          <w:color w:val="auto"/>
          <w:sz w:val="24"/>
          <w:szCs w:val="24"/>
          <w:u w:val="single"/>
        </w:rPr>
        <w:t>（成员……全称）</w:t>
      </w:r>
      <w:r>
        <w:rPr>
          <w:rFonts w:hint="eastAsia" w:ascii="宋体" w:hAnsi="宋体"/>
          <w:color w:val="auto"/>
          <w:sz w:val="24"/>
          <w:szCs w:val="24"/>
        </w:rPr>
        <w:t>经各方充分协商一致，</w:t>
      </w:r>
      <w:r>
        <w:rPr>
          <w:rFonts w:hint="eastAsia" w:ascii="宋体" w:hAnsi="宋体"/>
          <w:color w:val="auto"/>
          <w:kern w:val="0"/>
          <w:sz w:val="24"/>
          <w:szCs w:val="24"/>
        </w:rPr>
        <w:t>自愿组成联合体</w:t>
      </w:r>
      <w:r>
        <w:rPr>
          <w:rFonts w:hint="eastAsia" w:ascii="宋体" w:hAnsi="宋体"/>
          <w:color w:val="auto"/>
          <w:sz w:val="24"/>
          <w:szCs w:val="24"/>
        </w:rPr>
        <w:t>就</w:t>
      </w:r>
      <w:r>
        <w:rPr>
          <w:rFonts w:hint="eastAsia" w:ascii="宋体" w:hAnsi="宋体"/>
          <w:color w:val="auto"/>
          <w:kern w:val="10"/>
          <w:sz w:val="24"/>
          <w:szCs w:val="24"/>
        </w:rPr>
        <w:t>项目的投标和合同实施阶段的有关事务协商一致</w:t>
      </w:r>
      <w:r>
        <w:rPr>
          <w:rFonts w:hint="eastAsia" w:ascii="宋体" w:hAnsi="宋体"/>
          <w:color w:val="auto"/>
          <w:kern w:val="0"/>
          <w:sz w:val="24"/>
          <w:szCs w:val="24"/>
        </w:rPr>
        <w:t>订立协议如下</w:t>
      </w:r>
      <w:r>
        <w:rPr>
          <w:rFonts w:hint="eastAsia" w:ascii="宋体" w:hAnsi="宋体"/>
          <w:color w:val="auto"/>
          <w:sz w:val="24"/>
          <w:szCs w:val="24"/>
        </w:rPr>
        <w:t>：</w:t>
      </w:r>
    </w:p>
    <w:p>
      <w:pPr>
        <w:spacing w:line="360" w:lineRule="auto"/>
        <w:ind w:firstLine="480" w:firstLineChars="200"/>
        <w:rPr>
          <w:rFonts w:ascii="宋体" w:hAnsi="宋体"/>
          <w:color w:val="auto"/>
          <w:sz w:val="24"/>
          <w:szCs w:val="24"/>
        </w:rPr>
      </w:pPr>
      <w:r>
        <w:rPr>
          <w:rFonts w:hint="eastAsia" w:ascii="宋体" w:hAnsi="宋体"/>
          <w:color w:val="auto"/>
          <w:sz w:val="24"/>
          <w:szCs w:val="24"/>
        </w:rPr>
        <w:t>一、联合体各方关系</w:t>
      </w:r>
    </w:p>
    <w:p>
      <w:pPr>
        <w:spacing w:line="360" w:lineRule="auto"/>
        <w:ind w:firstLine="480" w:firstLineChars="200"/>
        <w:rPr>
          <w:rFonts w:ascii="宋体" w:hAnsi="宋体"/>
          <w:color w:val="auto"/>
          <w:sz w:val="24"/>
          <w:szCs w:val="24"/>
        </w:rPr>
      </w:pPr>
      <w:r>
        <w:rPr>
          <w:rFonts w:hint="eastAsia" w:ascii="宋体" w:hAnsi="宋体"/>
          <w:color w:val="auto"/>
          <w:sz w:val="24"/>
          <w:szCs w:val="24"/>
        </w:rPr>
        <w:t>1.</w:t>
      </w:r>
      <w:r>
        <w:rPr>
          <w:rFonts w:hint="eastAsia" w:ascii="宋体" w:hAnsi="宋体"/>
          <w:i/>
          <w:color w:val="auto"/>
          <w:sz w:val="24"/>
          <w:szCs w:val="24"/>
          <w:u w:val="single"/>
        </w:rPr>
        <w:t>（成员1全称）</w:t>
      </w:r>
      <w:r>
        <w:rPr>
          <w:rFonts w:hint="eastAsia" w:ascii="宋体" w:hAnsi="宋体"/>
          <w:color w:val="auto"/>
          <w:sz w:val="24"/>
          <w:szCs w:val="24"/>
        </w:rPr>
        <w:t>、</w:t>
      </w:r>
      <w:r>
        <w:rPr>
          <w:rFonts w:hint="eastAsia" w:ascii="宋体" w:hAnsi="宋体"/>
          <w:i/>
          <w:color w:val="auto"/>
          <w:sz w:val="24"/>
          <w:szCs w:val="24"/>
          <w:u w:val="single"/>
        </w:rPr>
        <w:t>（成员2全称）</w:t>
      </w:r>
      <w:r>
        <w:rPr>
          <w:rFonts w:hint="eastAsia" w:ascii="宋体" w:hAnsi="宋体"/>
          <w:color w:val="auto"/>
          <w:sz w:val="24"/>
          <w:szCs w:val="24"/>
        </w:rPr>
        <w:t>、</w:t>
      </w:r>
      <w:r>
        <w:rPr>
          <w:rFonts w:ascii="宋体" w:hAnsi="宋体"/>
          <w:color w:val="auto"/>
          <w:sz w:val="24"/>
          <w:szCs w:val="24"/>
          <w:u w:val="single"/>
        </w:rPr>
        <w:t>……</w:t>
      </w:r>
      <w:r>
        <w:rPr>
          <w:rFonts w:hint="eastAsia" w:ascii="宋体" w:hAnsi="宋体"/>
          <w:i/>
          <w:color w:val="auto"/>
          <w:sz w:val="24"/>
          <w:szCs w:val="24"/>
          <w:u w:val="single"/>
        </w:rPr>
        <w:t>（成员……全称）</w:t>
      </w:r>
      <w:r>
        <w:rPr>
          <w:rFonts w:hint="eastAsia" w:ascii="宋体" w:hAnsi="宋体"/>
          <w:color w:val="auto"/>
          <w:sz w:val="24"/>
          <w:szCs w:val="24"/>
        </w:rPr>
        <w:t>共同组成一个联合体，以一个投标人的身份共同参加</w:t>
      </w:r>
      <w:r>
        <w:rPr>
          <w:rFonts w:hint="eastAsia" w:ascii="宋体" w:hAnsi="宋体"/>
          <w:i/>
          <w:color w:val="auto"/>
          <w:sz w:val="24"/>
          <w:szCs w:val="24"/>
          <w:u w:val="single"/>
          <w:lang w:eastAsia="zh-CN"/>
        </w:rPr>
        <w:t>工业和信息化部电子第五研究所动力电池配套使用环境试验箱采购项目</w:t>
      </w:r>
      <w:r>
        <w:rPr>
          <w:rFonts w:hint="eastAsia" w:ascii="宋体" w:hAnsi="宋体"/>
          <w:color w:val="auto"/>
          <w:sz w:val="24"/>
          <w:szCs w:val="24"/>
        </w:rPr>
        <w:t>（采购文件编号：</w:t>
      </w:r>
      <w:r>
        <w:rPr>
          <w:rFonts w:hint="eastAsia" w:ascii="宋体" w:hAnsi="宋体"/>
          <w:i/>
          <w:color w:val="auto"/>
          <w:sz w:val="24"/>
          <w:szCs w:val="24"/>
          <w:u w:val="single"/>
          <w:lang w:eastAsia="zh-CN"/>
        </w:rPr>
        <w:t>0809-2241GZG14036</w:t>
      </w:r>
      <w:r>
        <w:rPr>
          <w:rFonts w:hint="eastAsia" w:ascii="宋体" w:hAnsi="宋体"/>
          <w:color w:val="auto"/>
          <w:sz w:val="24"/>
          <w:szCs w:val="24"/>
        </w:rPr>
        <w:t>）的投标。</w:t>
      </w:r>
      <w:r>
        <w:rPr>
          <w:rFonts w:hint="eastAsia" w:ascii="宋体" w:hAnsi="宋体"/>
          <w:color w:val="auto"/>
          <w:kern w:val="0"/>
          <w:sz w:val="24"/>
          <w:szCs w:val="24"/>
        </w:rPr>
        <w:t>立约各方</w:t>
      </w:r>
      <w:r>
        <w:rPr>
          <w:rFonts w:hint="eastAsia" w:ascii="宋体" w:hAnsi="宋体"/>
          <w:color w:val="auto"/>
          <w:sz w:val="24"/>
          <w:szCs w:val="24"/>
        </w:rPr>
        <w:t>作为联合体成员，若中标，联合体各方共同与</w:t>
      </w:r>
      <w:r>
        <w:rPr>
          <w:rFonts w:hint="eastAsia" w:ascii="宋体" w:hAnsi="宋体"/>
          <w:i/>
          <w:color w:val="auto"/>
          <w:sz w:val="24"/>
          <w:szCs w:val="24"/>
          <w:u w:val="single"/>
        </w:rPr>
        <w:t>($采购人名称)</w:t>
      </w:r>
      <w:r>
        <w:rPr>
          <w:rFonts w:hint="eastAsia" w:ascii="宋体" w:hAnsi="宋体"/>
          <w:color w:val="auto"/>
          <w:sz w:val="24"/>
          <w:szCs w:val="24"/>
        </w:rPr>
        <w:t>签订政府采购合同。</w:t>
      </w:r>
    </w:p>
    <w:p>
      <w:pPr>
        <w:spacing w:line="360" w:lineRule="auto"/>
        <w:ind w:firstLine="480" w:firstLineChars="200"/>
        <w:rPr>
          <w:rFonts w:ascii="宋体" w:hAnsi="宋体"/>
          <w:color w:val="auto"/>
          <w:sz w:val="24"/>
        </w:rPr>
      </w:pPr>
      <w:r>
        <w:rPr>
          <w:rFonts w:hint="eastAsia" w:ascii="宋体" w:hAnsi="宋体"/>
          <w:color w:val="auto"/>
          <w:sz w:val="24"/>
          <w:szCs w:val="24"/>
        </w:rPr>
        <w:t>2.联合体各方</w:t>
      </w:r>
      <w:r>
        <w:rPr>
          <w:rFonts w:hint="eastAsia" w:ascii="宋体" w:hAnsi="宋体"/>
          <w:color w:val="auto"/>
          <w:sz w:val="24"/>
        </w:rPr>
        <w:t>承担的工作和义务为：</w:t>
      </w:r>
    </w:p>
    <w:p>
      <w:pPr>
        <w:spacing w:line="360" w:lineRule="auto"/>
        <w:ind w:firstLine="480" w:firstLineChars="200"/>
        <w:rPr>
          <w:rFonts w:ascii="宋体" w:hAnsi="宋体"/>
          <w:color w:val="auto"/>
          <w:sz w:val="24"/>
        </w:rPr>
      </w:pPr>
      <w:r>
        <w:rPr>
          <w:rFonts w:hint="eastAsia" w:ascii="宋体" w:hAnsi="宋体"/>
          <w:i/>
          <w:color w:val="auto"/>
          <w:sz w:val="24"/>
          <w:u w:val="single"/>
        </w:rPr>
        <w:t>（成员1全称）</w:t>
      </w:r>
      <w:r>
        <w:rPr>
          <w:rFonts w:hint="eastAsia" w:ascii="宋体" w:hAnsi="宋体"/>
          <w:color w:val="auto"/>
          <w:sz w:val="24"/>
        </w:rPr>
        <w:t>承担</w:t>
      </w:r>
      <w:r>
        <w:rPr>
          <w:rFonts w:hint="eastAsia" w:ascii="宋体" w:hAnsi="宋体"/>
          <w:i/>
          <w:color w:val="auto"/>
          <w:sz w:val="24"/>
          <w:u w:val="single"/>
        </w:rPr>
        <w:t>（工作内容）</w:t>
      </w:r>
      <w:r>
        <w:rPr>
          <w:rFonts w:hint="eastAsia" w:ascii="宋体" w:hAnsi="宋体"/>
          <w:color w:val="auto"/>
          <w:sz w:val="24"/>
        </w:rPr>
        <w:t>工作和</w:t>
      </w:r>
      <w:r>
        <w:rPr>
          <w:rFonts w:hint="eastAsia" w:ascii="宋体" w:hAnsi="宋体"/>
          <w:i/>
          <w:color w:val="auto"/>
          <w:sz w:val="24"/>
          <w:u w:val="single"/>
        </w:rPr>
        <w:t>（义务内容）</w:t>
      </w:r>
      <w:r>
        <w:rPr>
          <w:rFonts w:hint="eastAsia" w:ascii="宋体" w:hAnsi="宋体"/>
          <w:color w:val="auto"/>
          <w:sz w:val="24"/>
        </w:rPr>
        <w:t>义务。</w:t>
      </w:r>
    </w:p>
    <w:p>
      <w:pPr>
        <w:spacing w:line="360" w:lineRule="auto"/>
        <w:ind w:firstLine="480" w:firstLineChars="200"/>
        <w:rPr>
          <w:rFonts w:ascii="宋体" w:hAnsi="宋体"/>
          <w:color w:val="auto"/>
          <w:sz w:val="24"/>
        </w:rPr>
      </w:pPr>
      <w:r>
        <w:rPr>
          <w:rFonts w:hint="eastAsia" w:ascii="宋体" w:hAnsi="宋体"/>
          <w:i/>
          <w:color w:val="auto"/>
          <w:sz w:val="24"/>
          <w:u w:val="single"/>
        </w:rPr>
        <w:t>（成员2全称）</w:t>
      </w:r>
      <w:r>
        <w:rPr>
          <w:rFonts w:hint="eastAsia" w:ascii="宋体" w:hAnsi="宋体"/>
          <w:color w:val="auto"/>
          <w:sz w:val="24"/>
        </w:rPr>
        <w:t>承担</w:t>
      </w:r>
      <w:r>
        <w:rPr>
          <w:rFonts w:hint="eastAsia" w:ascii="宋体" w:hAnsi="宋体"/>
          <w:i/>
          <w:color w:val="auto"/>
          <w:sz w:val="24"/>
          <w:u w:val="single"/>
        </w:rPr>
        <w:t>（工作内容）</w:t>
      </w:r>
      <w:r>
        <w:rPr>
          <w:rFonts w:hint="eastAsia" w:ascii="宋体" w:hAnsi="宋体"/>
          <w:color w:val="auto"/>
          <w:sz w:val="24"/>
        </w:rPr>
        <w:t>工作和</w:t>
      </w:r>
      <w:r>
        <w:rPr>
          <w:rFonts w:hint="eastAsia" w:ascii="宋体" w:hAnsi="宋体"/>
          <w:i/>
          <w:color w:val="auto"/>
          <w:sz w:val="24"/>
          <w:u w:val="single"/>
        </w:rPr>
        <w:t>（义务内容）</w:t>
      </w:r>
      <w:r>
        <w:rPr>
          <w:rFonts w:hint="eastAsia" w:ascii="宋体" w:hAnsi="宋体"/>
          <w:color w:val="auto"/>
          <w:sz w:val="24"/>
        </w:rPr>
        <w:t>义务。</w:t>
      </w:r>
    </w:p>
    <w:p>
      <w:pPr>
        <w:spacing w:line="360" w:lineRule="auto"/>
        <w:ind w:firstLine="480" w:firstLineChars="200"/>
        <w:rPr>
          <w:rFonts w:ascii="宋体" w:hAnsi="宋体"/>
          <w:color w:val="auto"/>
          <w:sz w:val="24"/>
        </w:rPr>
      </w:pPr>
      <w:r>
        <w:rPr>
          <w:rFonts w:ascii="宋体" w:hAnsi="宋体"/>
          <w:color w:val="auto"/>
          <w:sz w:val="24"/>
        </w:rPr>
        <w:t>……</w:t>
      </w:r>
    </w:p>
    <w:p>
      <w:pPr>
        <w:spacing w:line="360" w:lineRule="auto"/>
        <w:ind w:firstLine="480" w:firstLineChars="200"/>
        <w:rPr>
          <w:rFonts w:ascii="宋体" w:hAnsi="宋体"/>
          <w:b/>
          <w:i/>
          <w:color w:val="auto"/>
          <w:sz w:val="24"/>
        </w:rPr>
      </w:pPr>
      <w:r>
        <w:rPr>
          <w:rFonts w:hint="eastAsia" w:ascii="宋体" w:hAnsi="宋体"/>
          <w:i/>
          <w:color w:val="auto"/>
          <w:sz w:val="24"/>
          <w:szCs w:val="24"/>
        </w:rPr>
        <w:t>其中：联合体成员中</w:t>
      </w:r>
      <w:r>
        <w:rPr>
          <w:rFonts w:hint="eastAsia" w:ascii="宋体" w:hAnsi="宋体"/>
          <w:i/>
          <w:color w:val="auto"/>
          <w:sz w:val="24"/>
          <w:u w:val="single"/>
        </w:rPr>
        <w:t>（某成员或部分成员</w:t>
      </w:r>
      <w:r>
        <w:rPr>
          <w:rFonts w:ascii="宋体" w:hAnsi="宋体"/>
          <w:i/>
          <w:color w:val="auto"/>
          <w:sz w:val="24"/>
          <w:u w:val="single"/>
        </w:rPr>
        <w:t>……</w:t>
      </w:r>
      <w:r>
        <w:rPr>
          <w:rFonts w:hint="eastAsia" w:ascii="宋体" w:hAnsi="宋体"/>
          <w:i/>
          <w:color w:val="auto"/>
          <w:sz w:val="24"/>
          <w:u w:val="single"/>
        </w:rPr>
        <w:t>全称）</w:t>
      </w:r>
      <w:r>
        <w:rPr>
          <w:rFonts w:hint="eastAsia" w:ascii="宋体" w:hAnsi="宋体"/>
          <w:color w:val="auto"/>
          <w:sz w:val="24"/>
        </w:rPr>
        <w:t>为中小微企业，</w:t>
      </w:r>
      <w:r>
        <w:rPr>
          <w:rFonts w:hint="eastAsia" w:ascii="宋体" w:hAnsi="宋体"/>
          <w:i/>
          <w:color w:val="auto"/>
          <w:sz w:val="24"/>
        </w:rPr>
        <w:t>将承担合同总金额</w:t>
      </w:r>
      <w:r>
        <w:rPr>
          <w:rFonts w:hint="eastAsia" w:ascii="宋体" w:hAnsi="宋体"/>
          <w:i/>
          <w:color w:val="auto"/>
          <w:sz w:val="24"/>
          <w:u w:val="single"/>
        </w:rPr>
        <w:t>不低于  %</w:t>
      </w:r>
      <w:r>
        <w:rPr>
          <w:rFonts w:hint="eastAsia" w:ascii="宋体" w:hAnsi="宋体"/>
          <w:i/>
          <w:color w:val="auto"/>
          <w:sz w:val="24"/>
        </w:rPr>
        <w:t>的工作内容（其中：小微企业承担合同总金额</w:t>
      </w:r>
      <w:r>
        <w:rPr>
          <w:rFonts w:hint="eastAsia" w:ascii="宋体" w:hAnsi="宋体"/>
          <w:i/>
          <w:color w:val="auto"/>
          <w:sz w:val="24"/>
          <w:u w:val="single"/>
        </w:rPr>
        <w:t>不低于   %</w:t>
      </w:r>
      <w:r>
        <w:rPr>
          <w:rFonts w:hint="eastAsia" w:ascii="宋体" w:hAnsi="宋体"/>
          <w:i/>
          <w:color w:val="auto"/>
          <w:sz w:val="24"/>
        </w:rPr>
        <w:t>的工作内容）。</w:t>
      </w:r>
      <w:r>
        <w:rPr>
          <w:rFonts w:hint="eastAsia" w:ascii="宋体" w:hAnsi="宋体"/>
          <w:i/>
          <w:color w:val="auto"/>
          <w:kern w:val="0"/>
          <w:sz w:val="24"/>
          <w:szCs w:val="24"/>
        </w:rPr>
        <w:t>我方确认，组成联合体的中小微企业与联合体内其他企业之间不存在直接控股、管理关系。</w:t>
      </w:r>
      <w:r>
        <w:rPr>
          <w:rFonts w:hint="eastAsia" w:ascii="宋体" w:hAnsi="宋体"/>
          <w:b/>
          <w:i/>
          <w:color w:val="auto"/>
          <w:sz w:val="24"/>
        </w:rPr>
        <w:t>（联合体成员中有中型、小型、微型企业时选用）。</w:t>
      </w:r>
    </w:p>
    <w:p>
      <w:pPr>
        <w:spacing w:line="360" w:lineRule="auto"/>
        <w:ind w:firstLine="480" w:firstLineChars="200"/>
        <w:rPr>
          <w:rFonts w:ascii="宋体" w:hAnsi="宋体"/>
          <w:color w:val="auto"/>
          <w:sz w:val="24"/>
        </w:rPr>
      </w:pPr>
      <w:r>
        <w:rPr>
          <w:rFonts w:hint="eastAsia" w:ascii="宋体" w:hAnsi="宋体"/>
          <w:i/>
          <w:color w:val="auto"/>
          <w:sz w:val="24"/>
          <w:szCs w:val="24"/>
        </w:rPr>
        <w:t>其中：联合体成员中</w:t>
      </w:r>
      <w:r>
        <w:rPr>
          <w:rFonts w:hint="eastAsia" w:ascii="宋体" w:hAnsi="宋体"/>
          <w:i/>
          <w:color w:val="auto"/>
          <w:sz w:val="24"/>
          <w:u w:val="single"/>
        </w:rPr>
        <w:t>（某成员或部分成员</w:t>
      </w:r>
      <w:r>
        <w:rPr>
          <w:rFonts w:ascii="宋体" w:hAnsi="宋体"/>
          <w:i/>
          <w:color w:val="auto"/>
          <w:sz w:val="24"/>
          <w:u w:val="single"/>
        </w:rPr>
        <w:t>……</w:t>
      </w:r>
      <w:r>
        <w:rPr>
          <w:rFonts w:hint="eastAsia" w:ascii="宋体" w:hAnsi="宋体"/>
          <w:i/>
          <w:color w:val="auto"/>
          <w:sz w:val="24"/>
          <w:u w:val="single"/>
        </w:rPr>
        <w:t>全称）</w:t>
      </w:r>
      <w:r>
        <w:rPr>
          <w:rFonts w:hint="eastAsia" w:ascii="宋体" w:hAnsi="宋体"/>
          <w:color w:val="auto"/>
          <w:sz w:val="24"/>
        </w:rPr>
        <w:t>为小微企业，</w:t>
      </w:r>
      <w:r>
        <w:rPr>
          <w:rFonts w:hint="eastAsia" w:ascii="宋体" w:hAnsi="宋体"/>
          <w:i/>
          <w:color w:val="auto"/>
          <w:sz w:val="24"/>
        </w:rPr>
        <w:t>将承担合同总金额</w:t>
      </w:r>
      <w:r>
        <w:rPr>
          <w:rFonts w:hint="eastAsia" w:ascii="宋体" w:hAnsi="宋体"/>
          <w:i/>
          <w:color w:val="auto"/>
          <w:sz w:val="24"/>
          <w:u w:val="single"/>
        </w:rPr>
        <w:t>不低于  %</w:t>
      </w:r>
      <w:r>
        <w:rPr>
          <w:rFonts w:hint="eastAsia" w:ascii="宋体" w:hAnsi="宋体"/>
          <w:i/>
          <w:color w:val="auto"/>
          <w:sz w:val="24"/>
        </w:rPr>
        <w:t>的工作内容。</w:t>
      </w:r>
      <w:r>
        <w:rPr>
          <w:rFonts w:hint="eastAsia" w:ascii="宋体" w:hAnsi="宋体"/>
          <w:i/>
          <w:color w:val="auto"/>
          <w:kern w:val="0"/>
          <w:sz w:val="24"/>
          <w:szCs w:val="24"/>
        </w:rPr>
        <w:t>我方确认，组成联合体的小微企业与联合体内其他企业之间不存在直接控股、管理关系。</w:t>
      </w:r>
      <w:r>
        <w:rPr>
          <w:rFonts w:hint="eastAsia" w:ascii="宋体" w:hAnsi="宋体"/>
          <w:b/>
          <w:i/>
          <w:color w:val="auto"/>
          <w:sz w:val="24"/>
        </w:rPr>
        <w:t>（联合体成员中有小型、微型企业时选用）。</w:t>
      </w:r>
    </w:p>
    <w:p>
      <w:pPr>
        <w:spacing w:line="360" w:lineRule="auto"/>
        <w:ind w:firstLine="480" w:firstLineChars="200"/>
        <w:rPr>
          <w:rFonts w:ascii="宋体" w:hAnsi="宋体"/>
          <w:i/>
          <w:color w:val="auto"/>
          <w:sz w:val="24"/>
        </w:rPr>
      </w:pPr>
      <w:r>
        <w:rPr>
          <w:rFonts w:hint="eastAsia" w:ascii="宋体" w:hAnsi="宋体"/>
          <w:i/>
          <w:color w:val="auto"/>
          <w:sz w:val="24"/>
          <w:u w:val="single"/>
        </w:rPr>
        <w:t>其中：（某个成员</w:t>
      </w:r>
      <w:r>
        <w:rPr>
          <w:rFonts w:ascii="宋体" w:hAnsi="宋体"/>
          <w:i/>
          <w:color w:val="auto"/>
          <w:sz w:val="24"/>
          <w:u w:val="single"/>
        </w:rPr>
        <w:t>……</w:t>
      </w:r>
      <w:r>
        <w:rPr>
          <w:rFonts w:hint="eastAsia" w:ascii="宋体" w:hAnsi="宋体"/>
          <w:i/>
          <w:color w:val="auto"/>
          <w:sz w:val="24"/>
          <w:u w:val="single"/>
        </w:rPr>
        <w:t>全称）为本联合体的牵头人，联合体各成员授权牵头人代表联合体参加投标活动，签署文件，提交和接收相关的资料、信息及指示，进行合同谈判活动，负责合同实施阶段的组织和协调工作，以及处理与本招标项目有关的一切事宜。联合体牵头人在本项目中签署的一切文件和处理的一切事宜，联合体各成员均予以承认。联合体各成员将严格按照招标文件、投标文件和合同的要求全面履行义务，并向采购人承担连带责任。</w:t>
      </w:r>
      <w:r>
        <w:rPr>
          <w:rFonts w:hint="eastAsia" w:ascii="宋体" w:hAnsi="宋体"/>
          <w:b/>
          <w:i/>
          <w:color w:val="auto"/>
          <w:sz w:val="24"/>
        </w:rPr>
        <w:t>（可选，如果招标文件有要求，联合体须明确牵头人）</w:t>
      </w:r>
    </w:p>
    <w:p>
      <w:pPr>
        <w:spacing w:line="360" w:lineRule="auto"/>
        <w:ind w:firstLine="480" w:firstLineChars="200"/>
        <w:rPr>
          <w:rFonts w:ascii="宋体" w:hAnsi="宋体"/>
          <w:b/>
          <w:color w:val="auto"/>
          <w:sz w:val="24"/>
        </w:rPr>
      </w:pPr>
      <w:r>
        <w:rPr>
          <w:rFonts w:hint="eastAsia" w:ascii="宋体" w:hAnsi="宋体"/>
          <w:color w:val="auto"/>
          <w:sz w:val="24"/>
        </w:rPr>
        <w:t>3.联合体相关文件的盖章、签署（</w:t>
      </w:r>
      <w:r>
        <w:rPr>
          <w:rFonts w:hint="eastAsia" w:ascii="宋体" w:hAnsi="宋体"/>
          <w:color w:val="auto"/>
          <w:sz w:val="24"/>
          <w:szCs w:val="24"/>
        </w:rPr>
        <w:t>除招标文件有特别说明要求外</w:t>
      </w:r>
      <w:r>
        <w:rPr>
          <w:rFonts w:hint="eastAsia" w:ascii="宋体" w:hAnsi="宋体"/>
          <w:color w:val="auto"/>
          <w:sz w:val="24"/>
        </w:rPr>
        <w:t>）</w:t>
      </w:r>
      <w:r>
        <w:rPr>
          <w:rFonts w:hint="eastAsia" w:ascii="宋体" w:hAnsi="宋体"/>
          <w:b/>
          <w:i/>
          <w:color w:val="auto"/>
          <w:sz w:val="24"/>
        </w:rPr>
        <w:t>（以下两种方式选其一）</w:t>
      </w:r>
    </w:p>
    <w:p>
      <w:pPr>
        <w:spacing w:line="360" w:lineRule="auto"/>
        <w:ind w:firstLine="480" w:firstLineChars="200"/>
        <w:rPr>
          <w:rFonts w:ascii="宋体" w:hAnsi="宋体"/>
          <w:color w:val="auto"/>
          <w:sz w:val="24"/>
          <w:szCs w:val="24"/>
        </w:rPr>
      </w:pPr>
      <w:r>
        <w:rPr>
          <w:rFonts w:hint="eastAsia" w:ascii="宋体" w:hAnsi="宋体"/>
          <w:i/>
          <w:color w:val="auto"/>
          <w:sz w:val="24"/>
          <w:szCs w:val="24"/>
        </w:rPr>
        <w:t>（方式1）</w:t>
      </w:r>
      <w:r>
        <w:rPr>
          <w:rFonts w:hint="eastAsia" w:ascii="宋体" w:hAnsi="宋体"/>
          <w:color w:val="auto"/>
          <w:sz w:val="24"/>
          <w:szCs w:val="24"/>
        </w:rPr>
        <w:t>联合体共同投标文件、合同及相关文件由联合体各方共同盖章、联合体各方法定代表人共同签字、共同推选的授权代表</w:t>
      </w:r>
      <w:r>
        <w:rPr>
          <w:rFonts w:hint="eastAsia" w:ascii="宋体" w:hAnsi="宋体"/>
          <w:i/>
          <w:color w:val="auto"/>
          <w:sz w:val="24"/>
          <w:szCs w:val="24"/>
          <w:u w:val="single"/>
        </w:rPr>
        <w:t>（授权代表姓名）</w:t>
      </w:r>
      <w:r>
        <w:rPr>
          <w:rFonts w:hint="eastAsia" w:ascii="宋体" w:hAnsi="宋体"/>
          <w:color w:val="auto"/>
          <w:sz w:val="24"/>
          <w:szCs w:val="24"/>
        </w:rPr>
        <w:t>签字。</w:t>
      </w:r>
    </w:p>
    <w:p>
      <w:pPr>
        <w:spacing w:line="360" w:lineRule="auto"/>
        <w:ind w:firstLine="480" w:firstLineChars="200"/>
        <w:rPr>
          <w:rFonts w:ascii="宋体" w:hAnsi="宋体"/>
          <w:i/>
          <w:color w:val="auto"/>
          <w:sz w:val="24"/>
        </w:rPr>
      </w:pPr>
      <w:r>
        <w:rPr>
          <w:rFonts w:hint="eastAsia" w:ascii="宋体" w:hAnsi="宋体"/>
          <w:i/>
          <w:color w:val="auto"/>
          <w:sz w:val="24"/>
          <w:szCs w:val="24"/>
        </w:rPr>
        <w:t>（方式2）</w:t>
      </w:r>
      <w:r>
        <w:rPr>
          <w:rFonts w:hint="eastAsia" w:ascii="宋体" w:hAnsi="宋体"/>
          <w:color w:val="auto"/>
          <w:sz w:val="24"/>
          <w:szCs w:val="24"/>
        </w:rPr>
        <w:t>联合体共同投标文件、合同及相关文件约定由联合体其中成员</w:t>
      </w:r>
      <w:r>
        <w:rPr>
          <w:rFonts w:hint="eastAsia" w:ascii="宋体" w:hAnsi="宋体"/>
          <w:i/>
          <w:color w:val="auto"/>
          <w:sz w:val="24"/>
          <w:szCs w:val="24"/>
          <w:u w:val="single"/>
        </w:rPr>
        <w:t>（一个或多个成员，列明全称）</w:t>
      </w:r>
      <w:r>
        <w:rPr>
          <w:rFonts w:hint="eastAsia" w:ascii="宋体" w:hAnsi="宋体"/>
          <w:color w:val="auto"/>
          <w:sz w:val="24"/>
          <w:szCs w:val="24"/>
        </w:rPr>
        <w:t>盖章、成员</w:t>
      </w:r>
      <w:r>
        <w:rPr>
          <w:rFonts w:hint="eastAsia" w:ascii="宋体" w:hAnsi="宋体"/>
          <w:i/>
          <w:color w:val="auto"/>
          <w:sz w:val="24"/>
          <w:szCs w:val="24"/>
          <w:u w:val="single"/>
        </w:rPr>
        <w:t>（一个或多个成员，列明全称）</w:t>
      </w:r>
      <w:r>
        <w:rPr>
          <w:rFonts w:hint="eastAsia" w:ascii="宋体" w:hAnsi="宋体"/>
          <w:color w:val="auto"/>
          <w:sz w:val="24"/>
          <w:szCs w:val="24"/>
        </w:rPr>
        <w:t>法定代表人员签字、共同推选的授权代表</w:t>
      </w:r>
      <w:r>
        <w:rPr>
          <w:rFonts w:hint="eastAsia" w:ascii="宋体" w:hAnsi="宋体"/>
          <w:i/>
          <w:color w:val="auto"/>
          <w:sz w:val="24"/>
          <w:szCs w:val="24"/>
          <w:u w:val="single"/>
        </w:rPr>
        <w:t>（授权代表姓名）</w:t>
      </w:r>
      <w:r>
        <w:rPr>
          <w:rFonts w:hint="eastAsia" w:ascii="宋体" w:hAnsi="宋体"/>
          <w:color w:val="auto"/>
          <w:sz w:val="24"/>
          <w:szCs w:val="24"/>
        </w:rPr>
        <w:t>签字代表联合体各方的盖章和签署。</w:t>
      </w:r>
    </w:p>
    <w:p>
      <w:pPr>
        <w:spacing w:line="360" w:lineRule="auto"/>
        <w:ind w:firstLine="480" w:firstLineChars="200"/>
        <w:rPr>
          <w:rFonts w:ascii="宋体" w:hAnsi="宋体"/>
          <w:color w:val="auto"/>
          <w:sz w:val="24"/>
          <w:szCs w:val="24"/>
        </w:rPr>
      </w:pPr>
      <w:r>
        <w:rPr>
          <w:rFonts w:hint="eastAsia" w:ascii="宋体" w:hAnsi="宋体"/>
          <w:color w:val="auto"/>
          <w:sz w:val="24"/>
          <w:szCs w:val="24"/>
        </w:rPr>
        <w:t>二、联合体内部有关事项约定如下：</w:t>
      </w:r>
    </w:p>
    <w:p>
      <w:pPr>
        <w:spacing w:line="360" w:lineRule="auto"/>
        <w:ind w:firstLine="480" w:firstLineChars="200"/>
        <w:rPr>
          <w:rFonts w:ascii="宋体" w:hAnsi="宋体"/>
          <w:color w:val="auto"/>
          <w:sz w:val="24"/>
          <w:szCs w:val="24"/>
        </w:rPr>
      </w:pPr>
      <w:r>
        <w:rPr>
          <w:rFonts w:hint="eastAsia" w:ascii="宋体" w:hAnsi="宋体"/>
          <w:color w:val="auto"/>
          <w:sz w:val="24"/>
          <w:szCs w:val="24"/>
        </w:rPr>
        <w:t>1.联合体由联合体共同授权的人员负责与采购人和采购代理机构联系。</w:t>
      </w:r>
    </w:p>
    <w:p>
      <w:pPr>
        <w:spacing w:line="360" w:lineRule="auto"/>
        <w:ind w:firstLine="480" w:firstLineChars="200"/>
        <w:rPr>
          <w:rFonts w:ascii="宋体" w:hAnsi="宋体"/>
          <w:color w:val="auto"/>
          <w:sz w:val="24"/>
          <w:szCs w:val="24"/>
        </w:rPr>
      </w:pPr>
      <w:r>
        <w:rPr>
          <w:rFonts w:hint="eastAsia" w:ascii="宋体" w:hAnsi="宋体"/>
          <w:color w:val="auto"/>
          <w:sz w:val="24"/>
          <w:szCs w:val="24"/>
        </w:rPr>
        <w:t>2.联合体投标工作由联合体共同负责，由联合体各方组成的投标小组具体实施。</w:t>
      </w:r>
    </w:p>
    <w:p>
      <w:pPr>
        <w:spacing w:line="360" w:lineRule="auto"/>
        <w:ind w:firstLine="480" w:firstLineChars="200"/>
        <w:rPr>
          <w:rFonts w:ascii="宋体" w:hAnsi="宋体"/>
          <w:color w:val="auto"/>
          <w:sz w:val="24"/>
          <w:szCs w:val="24"/>
        </w:rPr>
      </w:pPr>
      <w:r>
        <w:rPr>
          <w:rFonts w:hint="eastAsia" w:ascii="宋体" w:hAnsi="宋体"/>
          <w:color w:val="auto"/>
          <w:sz w:val="24"/>
          <w:szCs w:val="24"/>
        </w:rPr>
        <w:t>3.联合体将严格按照招标文件的各项要求，递交投标文件，切实执行一切合同文件，共同承担合同规定的一切义务和责任，同时按照内部职责的划分，承担自身所负的责任和风险，在法律上承担连带责任。</w:t>
      </w:r>
    </w:p>
    <w:p>
      <w:pPr>
        <w:spacing w:line="360" w:lineRule="auto"/>
        <w:ind w:firstLine="480" w:firstLineChars="200"/>
        <w:rPr>
          <w:rFonts w:ascii="宋体" w:hAnsi="宋体"/>
          <w:color w:val="auto"/>
          <w:sz w:val="24"/>
          <w:szCs w:val="24"/>
        </w:rPr>
      </w:pPr>
      <w:r>
        <w:rPr>
          <w:rFonts w:hint="eastAsia" w:ascii="宋体" w:hAnsi="宋体"/>
          <w:color w:val="auto"/>
          <w:sz w:val="24"/>
          <w:szCs w:val="24"/>
        </w:rPr>
        <w:t>4.如中标，联合体各方共同与</w:t>
      </w:r>
      <w:r>
        <w:rPr>
          <w:rFonts w:hint="eastAsia" w:ascii="宋体" w:hAnsi="宋体"/>
          <w:i/>
          <w:color w:val="auto"/>
          <w:sz w:val="24"/>
          <w:szCs w:val="24"/>
          <w:u w:val="single"/>
        </w:rPr>
        <w:t>($采购人名称)</w:t>
      </w:r>
      <w:r>
        <w:rPr>
          <w:rFonts w:hint="eastAsia" w:ascii="宋体" w:hAnsi="宋体"/>
          <w:color w:val="auto"/>
          <w:sz w:val="24"/>
          <w:szCs w:val="24"/>
        </w:rPr>
        <w:t>签订合同书，并就中标项目向采购人负责有连带的和各自的法律责任；</w:t>
      </w:r>
    </w:p>
    <w:p>
      <w:pPr>
        <w:spacing w:line="360" w:lineRule="auto"/>
        <w:ind w:firstLine="480" w:firstLineChars="200"/>
        <w:rPr>
          <w:rFonts w:ascii="宋体" w:hAnsi="宋体"/>
          <w:color w:val="auto"/>
          <w:kern w:val="0"/>
          <w:sz w:val="24"/>
          <w:szCs w:val="24"/>
        </w:rPr>
      </w:pPr>
      <w:r>
        <w:rPr>
          <w:rFonts w:hint="eastAsia" w:ascii="宋体" w:hAnsi="宋体"/>
          <w:color w:val="auto"/>
          <w:kern w:val="0"/>
          <w:sz w:val="24"/>
          <w:szCs w:val="24"/>
        </w:rPr>
        <w:t>三、联合体各方不再以自己名义参与本项目投标，联合体各方不作为其它联合体或单独投标的项目组成员参加本项目投标。因发生上述问题导致联合体投标无效，联合体的其他成员可追究其违约责任和经济损失。</w:t>
      </w:r>
    </w:p>
    <w:p>
      <w:pPr>
        <w:spacing w:line="360" w:lineRule="auto"/>
        <w:ind w:firstLine="480" w:firstLineChars="200"/>
        <w:rPr>
          <w:rFonts w:ascii="宋体" w:hAnsi="宋体"/>
          <w:color w:val="auto"/>
          <w:kern w:val="0"/>
          <w:sz w:val="24"/>
          <w:szCs w:val="24"/>
        </w:rPr>
      </w:pPr>
      <w:r>
        <w:rPr>
          <w:rFonts w:hint="eastAsia" w:ascii="宋体" w:hAnsi="宋体"/>
          <w:color w:val="auto"/>
          <w:kern w:val="0"/>
          <w:sz w:val="24"/>
          <w:szCs w:val="24"/>
        </w:rPr>
        <w:t>四、联合体如因违约过失责任而导致采购人经济损失或被索赔时，本联合体任何一方均同意无条件优先清偿采购人的一切债务和经济赔偿。</w:t>
      </w:r>
    </w:p>
    <w:p>
      <w:pPr>
        <w:spacing w:line="360" w:lineRule="auto"/>
        <w:ind w:firstLine="480" w:firstLineChars="200"/>
        <w:rPr>
          <w:rFonts w:ascii="宋体" w:hAnsi="宋体"/>
          <w:color w:val="auto"/>
          <w:sz w:val="24"/>
          <w:szCs w:val="24"/>
        </w:rPr>
      </w:pPr>
      <w:r>
        <w:rPr>
          <w:rFonts w:hint="eastAsia" w:ascii="宋体" w:hAnsi="宋体"/>
          <w:color w:val="auto"/>
          <w:kern w:val="0"/>
          <w:sz w:val="24"/>
          <w:szCs w:val="24"/>
        </w:rPr>
        <w:t>五、</w:t>
      </w:r>
      <w:r>
        <w:rPr>
          <w:rFonts w:hint="eastAsia" w:ascii="宋体" w:hAnsi="宋体"/>
          <w:color w:val="auto"/>
          <w:sz w:val="24"/>
          <w:szCs w:val="24"/>
        </w:rPr>
        <w:t>本协议在</w:t>
      </w:r>
      <w:r>
        <w:rPr>
          <w:rFonts w:hint="eastAsia" w:ascii="宋体" w:hAnsi="宋体"/>
          <w:color w:val="auto"/>
          <w:kern w:val="0"/>
          <w:sz w:val="24"/>
          <w:szCs w:val="24"/>
        </w:rPr>
        <w:t>自签署之日起生效，</w:t>
      </w:r>
      <w:r>
        <w:rPr>
          <w:rFonts w:hint="eastAsia" w:ascii="宋体" w:hAnsi="宋体"/>
          <w:color w:val="auto"/>
          <w:sz w:val="24"/>
          <w:szCs w:val="24"/>
        </w:rPr>
        <w:t>投标有效期内有效，如获中标资格，合同有效期延续至合同履行完毕之日。</w:t>
      </w:r>
    </w:p>
    <w:p>
      <w:pPr>
        <w:spacing w:line="360" w:lineRule="auto"/>
        <w:ind w:firstLine="480" w:firstLineChars="200"/>
        <w:rPr>
          <w:rFonts w:ascii="宋体" w:hAnsi="宋体"/>
          <w:color w:val="auto"/>
          <w:kern w:val="0"/>
          <w:sz w:val="24"/>
          <w:szCs w:val="24"/>
        </w:rPr>
      </w:pPr>
      <w:r>
        <w:rPr>
          <w:rFonts w:hint="eastAsia" w:ascii="宋体" w:hAnsi="宋体"/>
          <w:color w:val="auto"/>
          <w:kern w:val="0"/>
          <w:sz w:val="24"/>
          <w:szCs w:val="24"/>
        </w:rPr>
        <w:t>六、本协议书正本</w:t>
      </w:r>
      <w:r>
        <w:rPr>
          <w:rFonts w:hint="eastAsia" w:ascii="宋体" w:hAnsi="宋体"/>
          <w:color w:val="auto"/>
          <w:sz w:val="24"/>
          <w:szCs w:val="24"/>
        </w:rPr>
        <w:t>一式</w:t>
      </w:r>
      <w:r>
        <w:rPr>
          <w:rFonts w:hint="eastAsia" w:ascii="宋体" w:hAnsi="宋体"/>
          <w:color w:val="auto"/>
          <w:kern w:val="0"/>
          <w:sz w:val="24"/>
          <w:szCs w:val="24"/>
          <w:u w:val="single"/>
        </w:rPr>
        <w:t xml:space="preserve">   </w:t>
      </w:r>
      <w:r>
        <w:rPr>
          <w:rFonts w:hint="eastAsia" w:ascii="宋体" w:hAnsi="宋体"/>
          <w:color w:val="auto"/>
          <w:kern w:val="0"/>
          <w:sz w:val="24"/>
          <w:szCs w:val="24"/>
        </w:rPr>
        <w:t>份，随投标文件装订</w:t>
      </w:r>
      <w:r>
        <w:rPr>
          <w:rFonts w:hint="eastAsia" w:ascii="宋体" w:hAnsi="宋体"/>
          <w:color w:val="auto"/>
          <w:kern w:val="0"/>
          <w:sz w:val="24"/>
          <w:szCs w:val="24"/>
          <w:u w:val="single"/>
        </w:rPr>
        <w:t xml:space="preserve">   </w:t>
      </w:r>
      <w:r>
        <w:rPr>
          <w:rFonts w:hint="eastAsia" w:ascii="宋体" w:hAnsi="宋体"/>
          <w:color w:val="auto"/>
          <w:kern w:val="0"/>
          <w:sz w:val="24"/>
          <w:szCs w:val="24"/>
        </w:rPr>
        <w:t>份，送采购人</w:t>
      </w:r>
      <w:r>
        <w:rPr>
          <w:rFonts w:hint="eastAsia" w:ascii="宋体" w:hAnsi="宋体"/>
          <w:color w:val="auto"/>
          <w:kern w:val="0"/>
          <w:sz w:val="24"/>
          <w:szCs w:val="24"/>
          <w:u w:val="single"/>
        </w:rPr>
        <w:t xml:space="preserve">   </w:t>
      </w:r>
      <w:r>
        <w:rPr>
          <w:rFonts w:hint="eastAsia" w:ascii="宋体" w:hAnsi="宋体"/>
          <w:color w:val="auto"/>
          <w:kern w:val="0"/>
          <w:sz w:val="24"/>
          <w:szCs w:val="24"/>
        </w:rPr>
        <w:t>份，联合体成员各一份；副本一式</w:t>
      </w:r>
      <w:r>
        <w:rPr>
          <w:rFonts w:hint="eastAsia" w:ascii="宋体" w:hAnsi="宋体"/>
          <w:color w:val="auto"/>
          <w:kern w:val="0"/>
          <w:sz w:val="24"/>
          <w:szCs w:val="24"/>
          <w:u w:val="single"/>
        </w:rPr>
        <w:t xml:space="preserve">   </w:t>
      </w:r>
      <w:r>
        <w:rPr>
          <w:rFonts w:hint="eastAsia" w:ascii="宋体" w:hAnsi="宋体"/>
          <w:color w:val="auto"/>
          <w:kern w:val="0"/>
          <w:sz w:val="24"/>
          <w:szCs w:val="24"/>
        </w:rPr>
        <w:t>份，联合体成员各执</w:t>
      </w:r>
      <w:r>
        <w:rPr>
          <w:rFonts w:hint="eastAsia" w:ascii="宋体" w:hAnsi="宋体"/>
          <w:color w:val="auto"/>
          <w:kern w:val="0"/>
          <w:sz w:val="24"/>
          <w:szCs w:val="24"/>
          <w:u w:val="single"/>
        </w:rPr>
        <w:t xml:space="preserve">   </w:t>
      </w:r>
      <w:r>
        <w:rPr>
          <w:rFonts w:hint="eastAsia" w:ascii="宋体" w:hAnsi="宋体"/>
          <w:color w:val="auto"/>
          <w:kern w:val="0"/>
          <w:sz w:val="24"/>
          <w:szCs w:val="24"/>
        </w:rPr>
        <w:t>份。</w:t>
      </w:r>
    </w:p>
    <w:p>
      <w:pPr>
        <w:widowControl/>
        <w:spacing w:line="360" w:lineRule="auto"/>
        <w:ind w:firstLine="480" w:firstLineChars="200"/>
        <w:jc w:val="left"/>
        <w:rPr>
          <w:rFonts w:ascii="宋体" w:hAnsi="宋体"/>
          <w:b/>
          <w:color w:val="auto"/>
          <w:kern w:val="0"/>
          <w:sz w:val="24"/>
          <w:szCs w:val="24"/>
        </w:rPr>
      </w:pPr>
      <w:r>
        <w:rPr>
          <w:rFonts w:hint="eastAsia" w:ascii="宋体" w:hAnsi="宋体"/>
          <w:b/>
          <w:color w:val="auto"/>
          <w:sz w:val="24"/>
          <w:szCs w:val="24"/>
        </w:rPr>
        <w:t>本《联合协议》同时作为各成员的法人证明书和法人授权委托书（附</w:t>
      </w:r>
      <w:r>
        <w:rPr>
          <w:rFonts w:hint="eastAsia" w:ascii="宋体" w:hAnsi="宋体"/>
          <w:b/>
          <w:bCs/>
          <w:color w:val="auto"/>
          <w:sz w:val="24"/>
          <w:szCs w:val="24"/>
        </w:rPr>
        <w:t>各成员法定代表人（最高负责人）身份证明、共同推选的授权代表身份证明</w:t>
      </w:r>
      <w:r>
        <w:rPr>
          <w:rFonts w:hint="eastAsia" w:ascii="宋体" w:hAnsi="宋体"/>
          <w:b/>
          <w:color w:val="auto"/>
          <w:sz w:val="24"/>
          <w:szCs w:val="24"/>
        </w:rPr>
        <w:t>）。</w:t>
      </w:r>
    </w:p>
    <w:p>
      <w:pPr>
        <w:widowControl/>
        <w:spacing w:line="360" w:lineRule="auto"/>
        <w:jc w:val="left"/>
        <w:rPr>
          <w:rFonts w:ascii="宋体" w:hAnsi="宋体"/>
          <w:color w:val="auto"/>
          <w:kern w:val="0"/>
          <w:sz w:val="24"/>
          <w:szCs w:val="24"/>
          <w:u w:val="single"/>
        </w:rPr>
      </w:pPr>
      <w:r>
        <w:rPr>
          <w:rFonts w:hint="eastAsia" w:ascii="宋体" w:hAnsi="宋体"/>
          <w:color w:val="auto"/>
          <w:kern w:val="0"/>
          <w:sz w:val="24"/>
          <w:szCs w:val="24"/>
        </w:rPr>
        <w:t>成员1全称（加盖公章）：</w:t>
      </w:r>
      <w:r>
        <w:rPr>
          <w:rFonts w:hint="eastAsia" w:ascii="宋体" w:hAnsi="宋体"/>
          <w:color w:val="auto"/>
          <w:kern w:val="0"/>
          <w:sz w:val="24"/>
          <w:szCs w:val="24"/>
          <w:u w:val="single"/>
        </w:rPr>
        <w:t xml:space="preserve">                    </w:t>
      </w:r>
    </w:p>
    <w:p>
      <w:pPr>
        <w:widowControl/>
        <w:spacing w:line="360" w:lineRule="auto"/>
        <w:jc w:val="left"/>
        <w:rPr>
          <w:rFonts w:ascii="宋体" w:hAnsi="宋体"/>
          <w:color w:val="auto"/>
          <w:kern w:val="0"/>
          <w:sz w:val="24"/>
          <w:szCs w:val="24"/>
          <w:u w:val="single"/>
        </w:rPr>
      </w:pPr>
      <w:r>
        <w:rPr>
          <w:rFonts w:hint="eastAsia" w:ascii="宋体" w:hAnsi="宋体"/>
          <w:color w:val="auto"/>
          <w:kern w:val="0"/>
          <w:sz w:val="24"/>
          <w:szCs w:val="24"/>
        </w:rPr>
        <w:t>法定代表人（签字或盖章）：</w:t>
      </w:r>
      <w:r>
        <w:rPr>
          <w:rFonts w:hint="eastAsia" w:ascii="宋体" w:hAnsi="宋体"/>
          <w:color w:val="auto"/>
          <w:kern w:val="0"/>
          <w:sz w:val="24"/>
          <w:szCs w:val="24"/>
          <w:u w:val="single"/>
        </w:rPr>
        <w:t xml:space="preserve">                  </w:t>
      </w:r>
    </w:p>
    <w:p>
      <w:pPr>
        <w:widowControl/>
        <w:spacing w:line="360" w:lineRule="auto"/>
        <w:jc w:val="left"/>
        <w:rPr>
          <w:rFonts w:ascii="宋体" w:hAnsi="宋体"/>
          <w:color w:val="auto"/>
          <w:kern w:val="0"/>
          <w:sz w:val="24"/>
          <w:szCs w:val="24"/>
        </w:rPr>
      </w:pPr>
      <w:r>
        <w:rPr>
          <w:rFonts w:hint="eastAsia" w:ascii="宋体" w:hAnsi="宋体"/>
          <w:color w:val="auto"/>
          <w:kern w:val="0"/>
          <w:sz w:val="24"/>
          <w:szCs w:val="24"/>
        </w:rPr>
        <w:t>签署日期：        年    月    日</w:t>
      </w:r>
    </w:p>
    <w:p>
      <w:pPr>
        <w:widowControl/>
        <w:spacing w:line="360" w:lineRule="auto"/>
        <w:jc w:val="left"/>
        <w:rPr>
          <w:rFonts w:ascii="宋体" w:hAnsi="宋体"/>
          <w:color w:val="auto"/>
          <w:kern w:val="0"/>
          <w:sz w:val="24"/>
          <w:szCs w:val="24"/>
        </w:rPr>
      </w:pPr>
    </w:p>
    <w:p>
      <w:pPr>
        <w:widowControl/>
        <w:spacing w:line="360" w:lineRule="auto"/>
        <w:jc w:val="left"/>
        <w:rPr>
          <w:rFonts w:ascii="宋体" w:hAnsi="宋体"/>
          <w:color w:val="auto"/>
          <w:kern w:val="0"/>
          <w:sz w:val="24"/>
          <w:szCs w:val="24"/>
          <w:u w:val="single"/>
        </w:rPr>
      </w:pPr>
      <w:r>
        <w:rPr>
          <w:rFonts w:hint="eastAsia" w:ascii="宋体" w:hAnsi="宋体"/>
          <w:color w:val="auto"/>
          <w:kern w:val="0"/>
          <w:sz w:val="24"/>
          <w:szCs w:val="24"/>
        </w:rPr>
        <w:t>成员2全称（加盖公章）：</w:t>
      </w:r>
      <w:r>
        <w:rPr>
          <w:rFonts w:hint="eastAsia" w:ascii="宋体" w:hAnsi="宋体"/>
          <w:color w:val="auto"/>
          <w:kern w:val="0"/>
          <w:sz w:val="24"/>
          <w:szCs w:val="24"/>
          <w:u w:val="single"/>
        </w:rPr>
        <w:t xml:space="preserve">                    </w:t>
      </w:r>
    </w:p>
    <w:p>
      <w:pPr>
        <w:widowControl/>
        <w:spacing w:line="360" w:lineRule="auto"/>
        <w:jc w:val="left"/>
        <w:rPr>
          <w:rFonts w:ascii="宋体" w:hAnsi="宋体"/>
          <w:color w:val="auto"/>
          <w:kern w:val="0"/>
          <w:sz w:val="24"/>
          <w:szCs w:val="24"/>
          <w:u w:val="single"/>
        </w:rPr>
      </w:pPr>
      <w:r>
        <w:rPr>
          <w:rFonts w:hint="eastAsia" w:ascii="宋体" w:hAnsi="宋体"/>
          <w:color w:val="auto"/>
          <w:kern w:val="0"/>
          <w:sz w:val="24"/>
          <w:szCs w:val="24"/>
        </w:rPr>
        <w:t>法定代表人（签字或盖章）：</w:t>
      </w:r>
      <w:r>
        <w:rPr>
          <w:rFonts w:hint="eastAsia" w:ascii="宋体" w:hAnsi="宋体"/>
          <w:color w:val="auto"/>
          <w:kern w:val="0"/>
          <w:sz w:val="24"/>
          <w:szCs w:val="24"/>
          <w:u w:val="single"/>
        </w:rPr>
        <w:t xml:space="preserve">                  </w:t>
      </w:r>
    </w:p>
    <w:p>
      <w:pPr>
        <w:widowControl/>
        <w:spacing w:line="360" w:lineRule="auto"/>
        <w:jc w:val="left"/>
        <w:rPr>
          <w:rFonts w:ascii="宋体" w:hAnsi="宋体"/>
          <w:color w:val="auto"/>
          <w:kern w:val="0"/>
          <w:sz w:val="24"/>
          <w:szCs w:val="24"/>
        </w:rPr>
      </w:pPr>
      <w:r>
        <w:rPr>
          <w:rFonts w:hint="eastAsia" w:ascii="宋体" w:hAnsi="宋体"/>
          <w:color w:val="auto"/>
          <w:kern w:val="0"/>
          <w:sz w:val="24"/>
          <w:szCs w:val="24"/>
        </w:rPr>
        <w:t>签署日期：        年    月    日</w:t>
      </w:r>
    </w:p>
    <w:p>
      <w:pPr>
        <w:widowControl/>
        <w:spacing w:line="360" w:lineRule="auto"/>
        <w:jc w:val="left"/>
        <w:rPr>
          <w:rFonts w:ascii="宋体" w:hAnsi="宋体"/>
          <w:color w:val="auto"/>
          <w:kern w:val="0"/>
          <w:sz w:val="24"/>
          <w:szCs w:val="24"/>
        </w:rPr>
      </w:pPr>
      <w:r>
        <w:rPr>
          <w:rFonts w:ascii="宋体" w:hAnsi="宋体"/>
          <w:color w:val="auto"/>
          <w:kern w:val="0"/>
          <w:sz w:val="24"/>
          <w:szCs w:val="24"/>
        </w:rPr>
        <w:t>……</w:t>
      </w:r>
    </w:p>
    <w:p>
      <w:pPr>
        <w:widowControl/>
        <w:spacing w:line="360" w:lineRule="auto"/>
        <w:jc w:val="left"/>
        <w:rPr>
          <w:rFonts w:ascii="宋体" w:hAnsi="宋体"/>
          <w:color w:val="auto"/>
          <w:kern w:val="0"/>
          <w:sz w:val="24"/>
          <w:szCs w:val="24"/>
          <w:u w:val="single"/>
        </w:rPr>
      </w:pPr>
      <w:r>
        <w:rPr>
          <w:rFonts w:hint="eastAsia" w:ascii="宋体" w:hAnsi="宋体"/>
          <w:color w:val="auto"/>
          <w:kern w:val="0"/>
          <w:sz w:val="24"/>
          <w:szCs w:val="24"/>
        </w:rPr>
        <w:t>成员</w:t>
      </w:r>
      <w:r>
        <w:rPr>
          <w:rFonts w:ascii="宋体" w:hAnsi="宋体"/>
          <w:color w:val="auto"/>
          <w:kern w:val="0"/>
          <w:sz w:val="24"/>
          <w:szCs w:val="24"/>
        </w:rPr>
        <w:t>……</w:t>
      </w:r>
      <w:r>
        <w:rPr>
          <w:rFonts w:hint="eastAsia" w:ascii="宋体" w:hAnsi="宋体"/>
          <w:color w:val="auto"/>
          <w:kern w:val="0"/>
          <w:sz w:val="24"/>
          <w:szCs w:val="24"/>
        </w:rPr>
        <w:t>全称（加盖公章）：</w:t>
      </w:r>
      <w:r>
        <w:rPr>
          <w:rFonts w:hint="eastAsia" w:ascii="宋体" w:hAnsi="宋体"/>
          <w:color w:val="auto"/>
          <w:kern w:val="0"/>
          <w:sz w:val="24"/>
          <w:szCs w:val="24"/>
          <w:u w:val="single"/>
        </w:rPr>
        <w:t xml:space="preserve">                  </w:t>
      </w:r>
    </w:p>
    <w:p>
      <w:pPr>
        <w:widowControl/>
        <w:spacing w:line="360" w:lineRule="auto"/>
        <w:jc w:val="left"/>
        <w:rPr>
          <w:rFonts w:ascii="宋体" w:hAnsi="宋体"/>
          <w:color w:val="auto"/>
          <w:kern w:val="0"/>
          <w:sz w:val="24"/>
          <w:szCs w:val="24"/>
          <w:u w:val="single"/>
        </w:rPr>
      </w:pPr>
      <w:r>
        <w:rPr>
          <w:rFonts w:hint="eastAsia" w:ascii="宋体" w:hAnsi="宋体"/>
          <w:color w:val="auto"/>
          <w:kern w:val="0"/>
          <w:sz w:val="24"/>
          <w:szCs w:val="24"/>
        </w:rPr>
        <w:t>法定代表人（签字或盖章）：</w:t>
      </w:r>
      <w:r>
        <w:rPr>
          <w:rFonts w:hint="eastAsia" w:ascii="宋体" w:hAnsi="宋体"/>
          <w:color w:val="auto"/>
          <w:kern w:val="0"/>
          <w:sz w:val="24"/>
          <w:szCs w:val="24"/>
          <w:u w:val="single"/>
        </w:rPr>
        <w:t xml:space="preserve">                  </w:t>
      </w:r>
    </w:p>
    <w:p>
      <w:pPr>
        <w:widowControl/>
        <w:spacing w:line="360" w:lineRule="auto"/>
        <w:jc w:val="left"/>
        <w:rPr>
          <w:rFonts w:ascii="宋体" w:hAnsi="宋体"/>
          <w:color w:val="auto"/>
          <w:kern w:val="0"/>
          <w:sz w:val="24"/>
          <w:szCs w:val="24"/>
        </w:rPr>
      </w:pPr>
      <w:r>
        <w:rPr>
          <w:rFonts w:hint="eastAsia" w:ascii="宋体" w:hAnsi="宋体"/>
          <w:color w:val="auto"/>
          <w:kern w:val="0"/>
          <w:sz w:val="24"/>
          <w:szCs w:val="24"/>
        </w:rPr>
        <w:t>签署日期：        年    月    日</w:t>
      </w:r>
    </w:p>
    <w:p>
      <w:pPr>
        <w:spacing w:line="360" w:lineRule="auto"/>
        <w:rPr>
          <w:rFonts w:ascii="宋体" w:hAnsi="宋体"/>
          <w:bCs/>
          <w:color w:val="auto"/>
          <w:sz w:val="24"/>
          <w:szCs w:val="24"/>
        </w:rPr>
      </w:pPr>
      <w:r>
        <w:rPr>
          <w:rFonts w:hint="eastAsia" w:ascii="宋体" w:hAnsi="宋体"/>
          <w:bCs/>
          <w:color w:val="auto"/>
          <w:sz w:val="24"/>
          <w:szCs w:val="24"/>
        </w:rPr>
        <w:t>附：各成员法定代表人（最高负责人）身份证件扫描件或复印件（分别提供）</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9322" w:type="dxa"/>
            <w:vAlign w:val="center"/>
          </w:tcPr>
          <w:p>
            <w:pPr>
              <w:spacing w:line="360" w:lineRule="auto"/>
              <w:jc w:val="center"/>
              <w:rPr>
                <w:rFonts w:ascii="宋体" w:hAnsi="宋体"/>
                <w:bCs/>
                <w:color w:val="auto"/>
                <w:sz w:val="24"/>
                <w:szCs w:val="24"/>
              </w:rPr>
            </w:pPr>
            <w:r>
              <w:rPr>
                <w:rFonts w:hint="eastAsia" w:ascii="宋体" w:hAnsi="宋体"/>
                <w:bCs/>
                <w:color w:val="auto"/>
                <w:sz w:val="24"/>
                <w:szCs w:val="24"/>
              </w:rPr>
              <w:t>身份证件（正反面）扫描件或粘贴复印件</w:t>
            </w:r>
          </w:p>
        </w:tc>
      </w:tr>
    </w:tbl>
    <w:p>
      <w:pPr>
        <w:spacing w:line="360" w:lineRule="auto"/>
        <w:rPr>
          <w:rFonts w:ascii="宋体" w:hAnsi="宋体"/>
          <w:bCs/>
          <w:color w:val="auto"/>
          <w:sz w:val="24"/>
          <w:szCs w:val="24"/>
        </w:rPr>
      </w:pPr>
      <w:r>
        <w:rPr>
          <w:rFonts w:hint="eastAsia" w:ascii="宋体" w:hAnsi="宋体"/>
          <w:bCs/>
          <w:color w:val="auto"/>
          <w:sz w:val="24"/>
          <w:szCs w:val="24"/>
        </w:rPr>
        <w:t>附：联合体共同推选的授权代表（授权代表姓名）身份证件扫描件或复印件</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9322" w:type="dxa"/>
            <w:vAlign w:val="center"/>
          </w:tcPr>
          <w:p>
            <w:pPr>
              <w:spacing w:line="360" w:lineRule="auto"/>
              <w:jc w:val="center"/>
              <w:rPr>
                <w:rFonts w:ascii="宋体" w:hAnsi="宋体"/>
                <w:bCs/>
                <w:color w:val="auto"/>
                <w:sz w:val="24"/>
                <w:szCs w:val="24"/>
              </w:rPr>
            </w:pPr>
            <w:r>
              <w:rPr>
                <w:rFonts w:hint="eastAsia" w:ascii="宋体" w:hAnsi="宋体"/>
                <w:bCs/>
                <w:color w:val="auto"/>
                <w:sz w:val="24"/>
                <w:szCs w:val="24"/>
              </w:rPr>
              <w:t>身份证件（正反面）扫描件或粘贴复印件</w:t>
            </w:r>
          </w:p>
        </w:tc>
      </w:tr>
    </w:tbl>
    <w:p>
      <w:pPr>
        <w:ind w:left="708" w:hanging="705" w:hangingChars="294"/>
        <w:rPr>
          <w:rFonts w:ascii="宋体" w:hAnsi="宋体"/>
          <w:b/>
          <w:color w:val="auto"/>
          <w:sz w:val="24"/>
          <w:szCs w:val="24"/>
        </w:rPr>
      </w:pPr>
      <w:r>
        <w:rPr>
          <w:rFonts w:hint="eastAsia" w:ascii="宋体" w:hAnsi="宋体"/>
          <w:b/>
          <w:color w:val="auto"/>
          <w:sz w:val="24"/>
          <w:szCs w:val="24"/>
        </w:rPr>
        <w:t>备注：</w:t>
      </w:r>
    </w:p>
    <w:p>
      <w:pPr>
        <w:ind w:firstLine="480" w:firstLineChars="200"/>
        <w:rPr>
          <w:rFonts w:ascii="宋体" w:hAnsi="宋体"/>
          <w:color w:val="auto"/>
          <w:sz w:val="24"/>
          <w:szCs w:val="24"/>
        </w:rPr>
      </w:pPr>
      <w:r>
        <w:rPr>
          <w:rFonts w:hint="eastAsia" w:ascii="宋体" w:hAnsi="宋体"/>
          <w:color w:val="auto"/>
          <w:sz w:val="24"/>
          <w:szCs w:val="24"/>
        </w:rPr>
        <w:t>1.联合投标时需签本协议，联合体各方成员应在本协议上共同盖章、签署确认。</w:t>
      </w:r>
    </w:p>
    <w:p>
      <w:pPr>
        <w:ind w:firstLine="480" w:firstLineChars="200"/>
        <w:rPr>
          <w:rFonts w:ascii="宋体" w:hAnsi="宋体"/>
          <w:color w:val="auto"/>
          <w:sz w:val="24"/>
          <w:szCs w:val="24"/>
        </w:rPr>
      </w:pPr>
      <w:r>
        <w:rPr>
          <w:rFonts w:hint="eastAsia" w:ascii="宋体" w:hAnsi="宋体"/>
          <w:color w:val="auto"/>
          <w:sz w:val="24"/>
          <w:szCs w:val="24"/>
        </w:rPr>
        <w:t>2.本协议关键内容不得擅自修改。此协议将作为签订合同的附件之一。可选内容选定后可以删除多余内容。</w:t>
      </w:r>
    </w:p>
    <w:p>
      <w:pPr>
        <w:ind w:firstLine="480" w:firstLineChars="200"/>
        <w:rPr>
          <w:rFonts w:ascii="宋体" w:hAnsi="宋体"/>
          <w:color w:val="auto"/>
          <w:sz w:val="24"/>
          <w:szCs w:val="24"/>
        </w:rPr>
      </w:pPr>
      <w:r>
        <w:rPr>
          <w:rFonts w:hint="eastAsia" w:ascii="宋体" w:hAnsi="宋体"/>
          <w:color w:val="auto"/>
          <w:sz w:val="24"/>
          <w:szCs w:val="24"/>
        </w:rPr>
        <w:t>3.联合体投标文件除特别说明的格式及本《联合协议》外，均可以按本协议约定的方式进行盖章、签署。</w:t>
      </w:r>
    </w:p>
    <w:p>
      <w:pPr>
        <w:ind w:firstLine="480" w:firstLineChars="200"/>
        <w:rPr>
          <w:rFonts w:ascii="宋体" w:hAnsi="宋体"/>
          <w:color w:val="auto"/>
          <w:sz w:val="24"/>
          <w:szCs w:val="24"/>
        </w:rPr>
      </w:pPr>
    </w:p>
    <w:p>
      <w:pPr>
        <w:ind w:firstLine="480" w:firstLineChars="200"/>
        <w:rPr>
          <w:rFonts w:ascii="宋体" w:hAnsi="宋体"/>
          <w:color w:val="auto"/>
          <w:sz w:val="24"/>
          <w:szCs w:val="24"/>
        </w:rPr>
      </w:pPr>
    </w:p>
    <w:p>
      <w:pPr>
        <w:pStyle w:val="6"/>
        <w:numPr>
          <w:ilvl w:val="1"/>
          <w:numId w:val="97"/>
        </w:numPr>
        <w:tabs>
          <w:tab w:val="left" w:pos="945"/>
        </w:tabs>
        <w:ind w:left="964" w:hanging="960" w:hangingChars="400"/>
        <w:rPr>
          <w:rFonts w:ascii="宋体" w:hAnsi="宋体"/>
          <w:color w:val="auto"/>
          <w:szCs w:val="24"/>
        </w:rPr>
      </w:pPr>
      <w:r>
        <w:rPr>
          <w:rFonts w:hint="eastAsia" w:ascii="宋体" w:hAnsi="宋体"/>
          <w:color w:val="auto"/>
          <w:szCs w:val="24"/>
        </w:rPr>
        <w:br w:type="page"/>
      </w:r>
      <w:r>
        <w:rPr>
          <w:rFonts w:hint="eastAsia" w:ascii="宋体" w:hAnsi="宋体"/>
          <w:color w:val="auto"/>
          <w:szCs w:val="24"/>
        </w:rPr>
        <w:t>分包意向协议（以合同分包形式参加投标时适用）</w:t>
      </w:r>
    </w:p>
    <w:p>
      <w:pPr>
        <w:ind w:firstLine="600" w:firstLineChars="250"/>
        <w:rPr>
          <w:rFonts w:ascii="宋体" w:hAnsi="宋体"/>
          <w:color w:val="auto"/>
          <w:sz w:val="24"/>
          <w:szCs w:val="24"/>
        </w:rPr>
      </w:pPr>
      <w:r>
        <w:rPr>
          <w:rFonts w:hint="eastAsia" w:ascii="宋体" w:hAnsi="宋体"/>
          <w:color w:val="auto"/>
          <w:sz w:val="24"/>
          <w:szCs w:val="24"/>
        </w:rPr>
        <w:t>备注：若以合同分包形式参加投标时，参考下列格式提供《分包意向协议》。不要求以分包形式参加投标的，可不提供本协议。</w:t>
      </w:r>
    </w:p>
    <w:p>
      <w:pPr>
        <w:ind w:firstLine="480" w:firstLineChars="200"/>
        <w:rPr>
          <w:rFonts w:ascii="宋体" w:hAnsi="宋体"/>
          <w:color w:val="auto"/>
          <w:sz w:val="24"/>
          <w:szCs w:val="24"/>
        </w:rPr>
      </w:pPr>
    </w:p>
    <w:p>
      <w:pPr>
        <w:jc w:val="center"/>
        <w:rPr>
          <w:rFonts w:ascii="宋体" w:hAnsi="宋体"/>
          <w:color w:val="auto"/>
          <w:sz w:val="24"/>
        </w:rPr>
      </w:pPr>
      <w:r>
        <w:rPr>
          <w:rFonts w:hint="eastAsia" w:ascii="宋体" w:hAnsi="宋体"/>
          <w:b/>
          <w:color w:val="auto"/>
          <w:sz w:val="30"/>
          <w:szCs w:val="30"/>
        </w:rPr>
        <w:t>分包意向协议</w:t>
      </w:r>
    </w:p>
    <w:p>
      <w:pPr>
        <w:spacing w:line="360" w:lineRule="auto"/>
        <w:jc w:val="left"/>
        <w:rPr>
          <w:rFonts w:ascii="宋体" w:hAnsi="宋体"/>
          <w:color w:val="auto"/>
          <w:sz w:val="24"/>
        </w:rPr>
      </w:pPr>
    </w:p>
    <w:p>
      <w:pPr>
        <w:spacing w:line="360" w:lineRule="auto"/>
        <w:jc w:val="left"/>
        <w:rPr>
          <w:rFonts w:ascii="宋体" w:hAnsi="宋体"/>
          <w:color w:val="auto"/>
          <w:sz w:val="24"/>
          <w:szCs w:val="24"/>
        </w:rPr>
      </w:pPr>
      <w:r>
        <w:rPr>
          <w:rFonts w:hint="eastAsia" w:ascii="宋体" w:hAnsi="宋体"/>
          <w:color w:val="auto"/>
          <w:sz w:val="24"/>
          <w:szCs w:val="24"/>
        </w:rPr>
        <w:t>采购项目名称：</w:t>
      </w:r>
      <w:r>
        <w:rPr>
          <w:rFonts w:hint="eastAsia" w:ascii="宋体" w:hAnsi="宋体"/>
          <w:color w:val="auto"/>
          <w:sz w:val="24"/>
          <w:szCs w:val="24"/>
          <w:u w:val="single"/>
        </w:rPr>
        <w:t xml:space="preserve">                              采购包号（如有）             </w:t>
      </w:r>
      <w:r>
        <w:rPr>
          <w:rFonts w:hint="eastAsia" w:ascii="宋体" w:hAnsi="宋体"/>
          <w:color w:val="auto"/>
          <w:sz w:val="24"/>
          <w:szCs w:val="24"/>
        </w:rPr>
        <w:t>。</w:t>
      </w:r>
    </w:p>
    <w:p>
      <w:pPr>
        <w:pStyle w:val="13"/>
        <w:spacing w:line="360" w:lineRule="auto"/>
        <w:rPr>
          <w:rFonts w:hAnsi="宋体"/>
          <w:color w:val="auto"/>
          <w:sz w:val="24"/>
          <w:szCs w:val="24"/>
        </w:rPr>
      </w:pPr>
      <w:r>
        <w:rPr>
          <w:rFonts w:hint="eastAsia" w:hAnsi="宋体"/>
          <w:color w:val="auto"/>
          <w:sz w:val="24"/>
          <w:szCs w:val="24"/>
        </w:rPr>
        <w:t>致：</w:t>
      </w:r>
      <w:r>
        <w:rPr>
          <w:rFonts w:hint="eastAsia" w:hAnsi="宋体"/>
          <w:color w:val="auto"/>
          <w:sz w:val="24"/>
          <w:szCs w:val="24"/>
          <w:u w:val="single"/>
        </w:rPr>
        <w:t xml:space="preserve">                                    </w:t>
      </w:r>
      <w:r>
        <w:rPr>
          <w:rFonts w:hint="eastAsia" w:hAnsi="宋体"/>
          <w:color w:val="auto"/>
          <w:sz w:val="24"/>
          <w:szCs w:val="24"/>
        </w:rPr>
        <w:t>（采购人、采购代理机构名称）</w:t>
      </w:r>
    </w:p>
    <w:p>
      <w:pPr>
        <w:spacing w:line="360" w:lineRule="auto"/>
        <w:jc w:val="left"/>
        <w:rPr>
          <w:rFonts w:ascii="宋体" w:hAnsi="宋体"/>
          <w:color w:val="auto"/>
          <w:sz w:val="24"/>
          <w:szCs w:val="24"/>
        </w:rPr>
      </w:pPr>
    </w:p>
    <w:p>
      <w:pPr>
        <w:pStyle w:val="13"/>
        <w:spacing w:line="360" w:lineRule="auto"/>
        <w:ind w:firstLine="420"/>
        <w:rPr>
          <w:rFonts w:hAnsi="宋体"/>
          <w:color w:val="auto"/>
          <w:sz w:val="24"/>
          <w:szCs w:val="24"/>
        </w:rPr>
      </w:pPr>
      <w:r>
        <w:rPr>
          <w:rFonts w:hint="eastAsia" w:hAnsi="宋体"/>
          <w:color w:val="auto"/>
          <w:sz w:val="24"/>
          <w:szCs w:val="24"/>
        </w:rPr>
        <w:t>我方</w:t>
      </w:r>
      <w:r>
        <w:rPr>
          <w:rFonts w:hint="eastAsia" w:hAnsi="宋体"/>
          <w:i/>
          <w:color w:val="auto"/>
          <w:sz w:val="24"/>
          <w:szCs w:val="24"/>
          <w:u w:val="single"/>
        </w:rPr>
        <w:t>（分包企业即报价供应商全称）</w:t>
      </w:r>
      <w:r>
        <w:rPr>
          <w:rFonts w:hint="eastAsia" w:hAnsi="宋体"/>
          <w:color w:val="auto"/>
          <w:sz w:val="24"/>
          <w:szCs w:val="24"/>
        </w:rPr>
        <w:t>决定参加以上项目的投标，并作为总包单位与接受分包合同的企业协商一致订立分包意向协议如下：</w:t>
      </w:r>
    </w:p>
    <w:p>
      <w:pPr>
        <w:spacing w:line="360" w:lineRule="auto"/>
        <w:ind w:firstLine="480" w:firstLineChars="200"/>
        <w:rPr>
          <w:rFonts w:ascii="宋体" w:hAnsi="宋体"/>
          <w:color w:val="auto"/>
          <w:sz w:val="24"/>
          <w:szCs w:val="24"/>
        </w:rPr>
      </w:pPr>
      <w:r>
        <w:rPr>
          <w:rFonts w:hint="eastAsia" w:ascii="宋体" w:hAnsi="宋体"/>
          <w:color w:val="auto"/>
          <w:sz w:val="24"/>
          <w:szCs w:val="24"/>
        </w:rPr>
        <w:t>1.各方承担的工作内容为：</w:t>
      </w:r>
    </w:p>
    <w:p>
      <w:pPr>
        <w:spacing w:line="360" w:lineRule="auto"/>
        <w:ind w:firstLine="480" w:firstLineChars="200"/>
        <w:rPr>
          <w:rFonts w:ascii="宋体" w:hAnsi="宋体"/>
          <w:color w:val="auto"/>
          <w:sz w:val="24"/>
          <w:szCs w:val="24"/>
        </w:rPr>
      </w:pPr>
      <w:r>
        <w:rPr>
          <w:rFonts w:hint="eastAsia" w:ascii="宋体" w:hAnsi="宋体"/>
          <w:color w:val="auto"/>
          <w:sz w:val="24"/>
          <w:szCs w:val="24"/>
        </w:rPr>
        <w:t>我方（即分包企业）承担本项目的主体、关键性内容。</w:t>
      </w:r>
    </w:p>
    <w:p>
      <w:pPr>
        <w:spacing w:line="360" w:lineRule="auto"/>
        <w:ind w:firstLine="480" w:firstLineChars="200"/>
        <w:rPr>
          <w:rFonts w:ascii="宋体" w:hAnsi="宋体"/>
          <w:i/>
          <w:color w:val="auto"/>
          <w:sz w:val="24"/>
          <w:szCs w:val="24"/>
        </w:rPr>
      </w:pPr>
      <w:r>
        <w:rPr>
          <w:rFonts w:hint="eastAsia" w:ascii="宋体" w:hAnsi="宋体"/>
          <w:i/>
          <w:color w:val="auto"/>
          <w:sz w:val="24"/>
          <w:szCs w:val="24"/>
          <w:u w:val="single"/>
        </w:rPr>
        <w:t>（</w:t>
      </w:r>
      <w:r>
        <w:rPr>
          <w:rFonts w:hint="eastAsia" w:hAnsi="宋体"/>
          <w:i/>
          <w:color w:val="auto"/>
          <w:sz w:val="24"/>
          <w:szCs w:val="24"/>
          <w:u w:val="single"/>
        </w:rPr>
        <w:t>接受分包合同企业</w:t>
      </w:r>
      <w:r>
        <w:rPr>
          <w:rFonts w:hint="eastAsia" w:ascii="宋体" w:hAnsi="宋体"/>
          <w:i/>
          <w:color w:val="auto"/>
          <w:sz w:val="24"/>
          <w:szCs w:val="24"/>
          <w:u w:val="single"/>
        </w:rPr>
        <w:t>1全称）</w:t>
      </w:r>
      <w:r>
        <w:rPr>
          <w:rFonts w:hint="eastAsia" w:ascii="宋体" w:hAnsi="宋体"/>
          <w:color w:val="auto"/>
          <w:sz w:val="24"/>
          <w:szCs w:val="24"/>
        </w:rPr>
        <w:t>承担</w:t>
      </w:r>
      <w:r>
        <w:rPr>
          <w:rFonts w:hint="eastAsia" w:ascii="宋体" w:hAnsi="宋体"/>
          <w:i/>
          <w:color w:val="auto"/>
          <w:sz w:val="24"/>
          <w:szCs w:val="24"/>
          <w:u w:val="single"/>
        </w:rPr>
        <w:t xml:space="preserve">              </w:t>
      </w:r>
      <w:r>
        <w:rPr>
          <w:rFonts w:hint="eastAsia" w:ascii="宋体" w:hAnsi="宋体"/>
          <w:i/>
          <w:color w:val="auto"/>
          <w:sz w:val="24"/>
          <w:szCs w:val="24"/>
        </w:rPr>
        <w:t>。</w:t>
      </w:r>
    </w:p>
    <w:p>
      <w:pPr>
        <w:spacing w:line="360" w:lineRule="auto"/>
        <w:ind w:firstLine="480" w:firstLineChars="200"/>
        <w:rPr>
          <w:rFonts w:ascii="宋体" w:hAnsi="宋体"/>
          <w:i/>
          <w:color w:val="auto"/>
          <w:sz w:val="24"/>
          <w:szCs w:val="24"/>
        </w:rPr>
      </w:pPr>
      <w:r>
        <w:rPr>
          <w:rFonts w:hint="eastAsia" w:ascii="宋体" w:hAnsi="宋体"/>
          <w:i/>
          <w:color w:val="auto"/>
          <w:sz w:val="24"/>
          <w:szCs w:val="24"/>
          <w:u w:val="single"/>
        </w:rPr>
        <w:t>（</w:t>
      </w:r>
      <w:r>
        <w:rPr>
          <w:rFonts w:hint="eastAsia" w:hAnsi="宋体"/>
          <w:i/>
          <w:color w:val="auto"/>
          <w:sz w:val="24"/>
          <w:szCs w:val="24"/>
          <w:u w:val="single"/>
        </w:rPr>
        <w:t>接受分包合同企业2</w:t>
      </w:r>
      <w:r>
        <w:rPr>
          <w:rFonts w:hint="eastAsia" w:ascii="宋体" w:hAnsi="宋体"/>
          <w:i/>
          <w:color w:val="auto"/>
          <w:sz w:val="24"/>
          <w:szCs w:val="24"/>
          <w:u w:val="single"/>
        </w:rPr>
        <w:t>全称）</w:t>
      </w:r>
      <w:r>
        <w:rPr>
          <w:rFonts w:hint="eastAsia" w:ascii="宋体" w:hAnsi="宋体"/>
          <w:color w:val="auto"/>
          <w:sz w:val="24"/>
          <w:szCs w:val="24"/>
        </w:rPr>
        <w:t>承担</w:t>
      </w:r>
      <w:r>
        <w:rPr>
          <w:rFonts w:hint="eastAsia" w:ascii="宋体" w:hAnsi="宋体"/>
          <w:i/>
          <w:color w:val="auto"/>
          <w:sz w:val="24"/>
          <w:szCs w:val="24"/>
          <w:u w:val="single"/>
        </w:rPr>
        <w:t xml:space="preserve">              </w:t>
      </w:r>
      <w:r>
        <w:rPr>
          <w:rFonts w:hint="eastAsia" w:ascii="宋体" w:hAnsi="宋体"/>
          <w:i/>
          <w:color w:val="auto"/>
          <w:sz w:val="24"/>
          <w:szCs w:val="24"/>
        </w:rPr>
        <w:t>。</w:t>
      </w:r>
    </w:p>
    <w:p>
      <w:pPr>
        <w:spacing w:line="360" w:lineRule="auto"/>
        <w:ind w:firstLine="480" w:firstLineChars="200"/>
        <w:rPr>
          <w:rFonts w:ascii="宋体" w:hAnsi="宋体"/>
          <w:i/>
          <w:color w:val="auto"/>
          <w:sz w:val="24"/>
          <w:szCs w:val="24"/>
        </w:rPr>
      </w:pPr>
      <w:r>
        <w:rPr>
          <w:rFonts w:ascii="宋体" w:hAnsi="宋体"/>
          <w:i/>
          <w:color w:val="auto"/>
          <w:sz w:val="24"/>
          <w:szCs w:val="24"/>
        </w:rPr>
        <w:t>……</w:t>
      </w:r>
    </w:p>
    <w:p>
      <w:pPr>
        <w:spacing w:line="360" w:lineRule="auto"/>
        <w:ind w:firstLine="480" w:firstLineChars="200"/>
        <w:rPr>
          <w:rFonts w:ascii="宋体" w:hAnsi="宋体"/>
          <w:b/>
          <w:i/>
          <w:color w:val="auto"/>
          <w:sz w:val="24"/>
        </w:rPr>
      </w:pPr>
      <w:r>
        <w:rPr>
          <w:rFonts w:hint="eastAsia" w:ascii="宋体" w:hAnsi="宋体"/>
          <w:i/>
          <w:color w:val="auto"/>
          <w:sz w:val="24"/>
          <w:szCs w:val="24"/>
        </w:rPr>
        <w:t>其中：</w:t>
      </w:r>
      <w:r>
        <w:rPr>
          <w:rFonts w:hint="eastAsia" w:hAnsi="宋体"/>
          <w:i/>
          <w:color w:val="auto"/>
          <w:sz w:val="24"/>
          <w:szCs w:val="24"/>
          <w:u w:val="single"/>
        </w:rPr>
        <w:t>接受分包合同的企业</w:t>
      </w:r>
      <w:r>
        <w:rPr>
          <w:rFonts w:hint="eastAsia" w:ascii="宋体" w:hAnsi="宋体"/>
          <w:i/>
          <w:color w:val="auto"/>
          <w:sz w:val="24"/>
          <w:szCs w:val="24"/>
        </w:rPr>
        <w:t>中</w:t>
      </w:r>
      <w:r>
        <w:rPr>
          <w:rFonts w:hint="eastAsia" w:ascii="宋体" w:hAnsi="宋体"/>
          <w:i/>
          <w:color w:val="auto"/>
          <w:sz w:val="24"/>
          <w:u w:val="single"/>
        </w:rPr>
        <w:t>（某成员或部分成员</w:t>
      </w:r>
      <w:r>
        <w:rPr>
          <w:rFonts w:ascii="宋体" w:hAnsi="宋体"/>
          <w:i/>
          <w:color w:val="auto"/>
          <w:sz w:val="24"/>
          <w:u w:val="single"/>
        </w:rPr>
        <w:t>……</w:t>
      </w:r>
      <w:r>
        <w:rPr>
          <w:rFonts w:hint="eastAsia" w:ascii="宋体" w:hAnsi="宋体"/>
          <w:i/>
          <w:color w:val="auto"/>
          <w:sz w:val="24"/>
          <w:u w:val="single"/>
        </w:rPr>
        <w:t>全称）</w:t>
      </w:r>
      <w:r>
        <w:rPr>
          <w:rFonts w:hint="eastAsia" w:ascii="宋体" w:hAnsi="宋体"/>
          <w:color w:val="auto"/>
          <w:sz w:val="24"/>
        </w:rPr>
        <w:t>为中小微企业，</w:t>
      </w:r>
      <w:r>
        <w:rPr>
          <w:rFonts w:hint="eastAsia" w:ascii="宋体" w:hAnsi="宋体"/>
          <w:i/>
          <w:color w:val="auto"/>
          <w:sz w:val="24"/>
        </w:rPr>
        <w:t>将承担合同总金额</w:t>
      </w:r>
      <w:r>
        <w:rPr>
          <w:rFonts w:hint="eastAsia" w:ascii="宋体" w:hAnsi="宋体"/>
          <w:i/>
          <w:color w:val="auto"/>
          <w:sz w:val="24"/>
          <w:u w:val="single"/>
        </w:rPr>
        <w:t>不低于  %</w:t>
      </w:r>
      <w:r>
        <w:rPr>
          <w:rFonts w:hint="eastAsia" w:ascii="宋体" w:hAnsi="宋体"/>
          <w:i/>
          <w:color w:val="auto"/>
          <w:sz w:val="24"/>
        </w:rPr>
        <w:t>的工作内容（其中：小微企业承担合同总金额</w:t>
      </w:r>
      <w:r>
        <w:rPr>
          <w:rFonts w:hint="eastAsia" w:ascii="宋体" w:hAnsi="宋体"/>
          <w:i/>
          <w:color w:val="auto"/>
          <w:sz w:val="24"/>
          <w:u w:val="single"/>
        </w:rPr>
        <w:t>不低于   %</w:t>
      </w:r>
      <w:r>
        <w:rPr>
          <w:rFonts w:hint="eastAsia" w:ascii="宋体" w:hAnsi="宋体"/>
          <w:i/>
          <w:color w:val="auto"/>
          <w:sz w:val="24"/>
        </w:rPr>
        <w:t>的工作内容）。</w:t>
      </w:r>
      <w:r>
        <w:rPr>
          <w:rFonts w:hint="eastAsia" w:ascii="宋体" w:hAnsi="宋体"/>
          <w:i/>
          <w:color w:val="auto"/>
          <w:kern w:val="0"/>
          <w:sz w:val="24"/>
          <w:szCs w:val="24"/>
        </w:rPr>
        <w:t>我方确认，接受分包合同的中小微企业与我方之间不存在直接控股、管理关系。</w:t>
      </w:r>
      <w:r>
        <w:rPr>
          <w:rFonts w:hint="eastAsia" w:ascii="宋体" w:hAnsi="宋体"/>
          <w:b/>
          <w:i/>
          <w:color w:val="auto"/>
          <w:sz w:val="24"/>
        </w:rPr>
        <w:t>（接受分包合同企业中有中型、小型、微型企业时选用）。</w:t>
      </w:r>
    </w:p>
    <w:p>
      <w:pPr>
        <w:spacing w:line="360" w:lineRule="auto"/>
        <w:ind w:firstLine="480" w:firstLineChars="200"/>
        <w:rPr>
          <w:rFonts w:ascii="宋体" w:hAnsi="宋体"/>
          <w:i/>
          <w:color w:val="auto"/>
          <w:sz w:val="24"/>
          <w:szCs w:val="24"/>
        </w:rPr>
      </w:pPr>
      <w:r>
        <w:rPr>
          <w:rFonts w:hint="eastAsia" w:ascii="宋体" w:hAnsi="宋体"/>
          <w:i/>
          <w:color w:val="auto"/>
          <w:sz w:val="24"/>
          <w:szCs w:val="24"/>
        </w:rPr>
        <w:t>其中：</w:t>
      </w:r>
      <w:r>
        <w:rPr>
          <w:rFonts w:hint="eastAsia" w:hAnsi="宋体"/>
          <w:i/>
          <w:color w:val="auto"/>
          <w:sz w:val="24"/>
          <w:szCs w:val="24"/>
          <w:u w:val="single"/>
        </w:rPr>
        <w:t>接受分包合同的企业</w:t>
      </w:r>
      <w:r>
        <w:rPr>
          <w:rFonts w:hint="eastAsia" w:ascii="宋体" w:hAnsi="宋体"/>
          <w:i/>
          <w:color w:val="auto"/>
          <w:sz w:val="24"/>
          <w:szCs w:val="24"/>
        </w:rPr>
        <w:t>中</w:t>
      </w:r>
      <w:r>
        <w:rPr>
          <w:rFonts w:hint="eastAsia" w:ascii="宋体" w:hAnsi="宋体"/>
          <w:i/>
          <w:color w:val="auto"/>
          <w:sz w:val="24"/>
          <w:u w:val="single"/>
        </w:rPr>
        <w:t>（某成员或部分成员</w:t>
      </w:r>
      <w:r>
        <w:rPr>
          <w:rFonts w:ascii="宋体" w:hAnsi="宋体"/>
          <w:i/>
          <w:color w:val="auto"/>
          <w:sz w:val="24"/>
          <w:u w:val="single"/>
        </w:rPr>
        <w:t>……</w:t>
      </w:r>
      <w:r>
        <w:rPr>
          <w:rFonts w:hint="eastAsia" w:ascii="宋体" w:hAnsi="宋体"/>
          <w:i/>
          <w:color w:val="auto"/>
          <w:sz w:val="24"/>
          <w:u w:val="single"/>
        </w:rPr>
        <w:t>全称）</w:t>
      </w:r>
      <w:r>
        <w:rPr>
          <w:rFonts w:hint="eastAsia" w:ascii="宋体" w:hAnsi="宋体"/>
          <w:color w:val="auto"/>
          <w:sz w:val="24"/>
        </w:rPr>
        <w:t>为小微企业，</w:t>
      </w:r>
      <w:r>
        <w:rPr>
          <w:rFonts w:hint="eastAsia" w:ascii="宋体" w:hAnsi="宋体"/>
          <w:i/>
          <w:color w:val="auto"/>
          <w:sz w:val="24"/>
        </w:rPr>
        <w:t>将承担合同总金额</w:t>
      </w:r>
      <w:r>
        <w:rPr>
          <w:rFonts w:hint="eastAsia" w:ascii="宋体" w:hAnsi="宋体"/>
          <w:i/>
          <w:color w:val="auto"/>
          <w:sz w:val="24"/>
          <w:u w:val="single"/>
        </w:rPr>
        <w:t>不低于  %</w:t>
      </w:r>
      <w:r>
        <w:rPr>
          <w:rFonts w:hint="eastAsia" w:ascii="宋体" w:hAnsi="宋体"/>
          <w:i/>
          <w:color w:val="auto"/>
          <w:sz w:val="24"/>
        </w:rPr>
        <w:t>的工作内容。</w:t>
      </w:r>
      <w:r>
        <w:rPr>
          <w:rFonts w:hint="eastAsia" w:ascii="宋体" w:hAnsi="宋体"/>
          <w:i/>
          <w:color w:val="auto"/>
          <w:kern w:val="0"/>
          <w:sz w:val="24"/>
          <w:szCs w:val="24"/>
        </w:rPr>
        <w:t>我方确认，接受分包合同的小微企业与我方之间不存在直接控股、管理关系。</w:t>
      </w:r>
      <w:r>
        <w:rPr>
          <w:rFonts w:hint="eastAsia" w:ascii="宋体" w:hAnsi="宋体"/>
          <w:b/>
          <w:i/>
          <w:color w:val="auto"/>
          <w:sz w:val="24"/>
        </w:rPr>
        <w:t>（接受分包合同企业中有小型、微型企业时选用）。</w:t>
      </w:r>
    </w:p>
    <w:p>
      <w:pPr>
        <w:spacing w:line="360" w:lineRule="auto"/>
        <w:ind w:firstLine="480" w:firstLineChars="200"/>
        <w:rPr>
          <w:rFonts w:ascii="宋体" w:hAnsi="宋体"/>
          <w:color w:val="auto"/>
          <w:sz w:val="24"/>
          <w:szCs w:val="24"/>
        </w:rPr>
      </w:pPr>
      <w:r>
        <w:rPr>
          <w:rFonts w:hint="eastAsia" w:ascii="宋体" w:hAnsi="宋体"/>
          <w:color w:val="auto"/>
          <w:sz w:val="24"/>
          <w:szCs w:val="24"/>
        </w:rPr>
        <w:t>具体内容中选后再详细商定，同时符合法律、法规规定的其他规定。</w:t>
      </w:r>
    </w:p>
    <w:p>
      <w:pPr>
        <w:spacing w:line="360" w:lineRule="auto"/>
        <w:ind w:firstLine="480" w:firstLineChars="200"/>
        <w:rPr>
          <w:rFonts w:ascii="宋体" w:hAnsi="宋体"/>
          <w:b/>
          <w:color w:val="auto"/>
          <w:sz w:val="24"/>
          <w:szCs w:val="24"/>
        </w:rPr>
      </w:pPr>
      <w:r>
        <w:rPr>
          <w:rFonts w:hint="eastAsia" w:ascii="宋体" w:hAnsi="宋体"/>
          <w:color w:val="auto"/>
          <w:sz w:val="24"/>
          <w:szCs w:val="24"/>
        </w:rPr>
        <w:t>2.相关文件的盖章、签署（除招标文件有特别说明要求外）</w:t>
      </w:r>
    </w:p>
    <w:p>
      <w:pPr>
        <w:pStyle w:val="13"/>
        <w:spacing w:line="360" w:lineRule="auto"/>
        <w:ind w:firstLine="420"/>
        <w:rPr>
          <w:rFonts w:hAnsi="宋体"/>
          <w:color w:val="auto"/>
          <w:sz w:val="24"/>
          <w:szCs w:val="24"/>
        </w:rPr>
      </w:pPr>
      <w:r>
        <w:rPr>
          <w:rFonts w:hint="eastAsia" w:hAnsi="宋体"/>
          <w:color w:val="auto"/>
          <w:sz w:val="24"/>
          <w:szCs w:val="24"/>
        </w:rPr>
        <w:t>我方代表所有接受分包合同企业参加采购活动，签署文件，提交和接收相关的资料、信息及指示，进行合同谈判活动，负责合同实施阶段的组织和协调工作，以及处理与本采购项目有关的一切事宜，并承担本项目的所有实施、管理及相关责任。我方及我方推选的授权代表负责在本项目投标中签署一切文件和处理的一切事宜。</w:t>
      </w:r>
    </w:p>
    <w:p>
      <w:pPr>
        <w:spacing w:line="360" w:lineRule="auto"/>
        <w:ind w:firstLine="480" w:firstLineChars="200"/>
        <w:rPr>
          <w:rFonts w:ascii="宋体" w:hAnsi="宋体"/>
          <w:i/>
          <w:color w:val="auto"/>
          <w:sz w:val="24"/>
          <w:szCs w:val="24"/>
        </w:rPr>
      </w:pPr>
      <w:r>
        <w:rPr>
          <w:rFonts w:hint="eastAsia" w:ascii="宋体" w:hAnsi="宋体"/>
          <w:color w:val="auto"/>
          <w:sz w:val="24"/>
          <w:szCs w:val="24"/>
        </w:rPr>
        <w:t>我方及各</w:t>
      </w:r>
      <w:r>
        <w:rPr>
          <w:rFonts w:hint="eastAsia" w:hAnsi="宋体"/>
          <w:color w:val="auto"/>
          <w:sz w:val="24"/>
          <w:szCs w:val="24"/>
        </w:rPr>
        <w:t>接受分包合同企业</w:t>
      </w:r>
      <w:r>
        <w:rPr>
          <w:rFonts w:hint="eastAsia" w:ascii="宋体" w:hAnsi="宋体"/>
          <w:color w:val="auto"/>
          <w:sz w:val="24"/>
          <w:szCs w:val="24"/>
        </w:rPr>
        <w:t>单方签署、盖章确认的本项目响应文件及相关响应资料，我方均承认其法律效力，并对响应文件内容的真实性、合法性和完整性承担民事、行政、刑事责任。</w:t>
      </w:r>
    </w:p>
    <w:p>
      <w:pPr>
        <w:pStyle w:val="13"/>
        <w:spacing w:line="360" w:lineRule="auto"/>
        <w:ind w:firstLine="420"/>
        <w:rPr>
          <w:rFonts w:hAnsi="宋体"/>
          <w:color w:val="auto"/>
          <w:sz w:val="24"/>
          <w:szCs w:val="24"/>
          <w:shd w:val="clear" w:color="auto" w:fill="FFFFFF"/>
        </w:rPr>
      </w:pPr>
      <w:r>
        <w:rPr>
          <w:rFonts w:hint="eastAsia" w:hAnsi="宋体"/>
          <w:color w:val="auto"/>
          <w:sz w:val="24"/>
          <w:szCs w:val="24"/>
        </w:rPr>
        <w:t>3.如中选，我方与</w:t>
      </w:r>
      <w:r>
        <w:rPr>
          <w:rFonts w:hint="eastAsia" w:hAnsi="宋体"/>
          <w:i/>
          <w:color w:val="auto"/>
          <w:sz w:val="24"/>
          <w:szCs w:val="24"/>
          <w:u w:val="single"/>
        </w:rPr>
        <w:t>($采购人名称)</w:t>
      </w:r>
      <w:r>
        <w:rPr>
          <w:rFonts w:hint="eastAsia" w:hAnsi="宋体"/>
          <w:color w:val="auto"/>
          <w:sz w:val="24"/>
          <w:szCs w:val="24"/>
        </w:rPr>
        <w:t>签订合同书，各接受分包合同企业与我方分别签订分包合同。</w:t>
      </w:r>
      <w:r>
        <w:rPr>
          <w:rFonts w:hint="eastAsia" w:hAnsi="宋体"/>
          <w:color w:val="auto"/>
          <w:sz w:val="24"/>
          <w:szCs w:val="24"/>
          <w:shd w:val="clear" w:color="auto" w:fill="FFFFFF"/>
        </w:rPr>
        <w:t>我方就采购项目（含分包项目）向采购人负责。</w:t>
      </w:r>
    </w:p>
    <w:p>
      <w:pPr>
        <w:spacing w:line="360" w:lineRule="auto"/>
        <w:ind w:firstLine="405"/>
        <w:rPr>
          <w:rFonts w:ascii="宋体" w:hAnsi="宋体"/>
          <w:color w:val="auto"/>
          <w:sz w:val="24"/>
          <w:szCs w:val="24"/>
          <w:shd w:val="clear" w:color="auto" w:fill="FFFFFF"/>
        </w:rPr>
      </w:pPr>
      <w:r>
        <w:rPr>
          <w:rFonts w:hint="eastAsia" w:ascii="宋体" w:hAnsi="宋体"/>
          <w:color w:val="auto"/>
          <w:sz w:val="24"/>
          <w:szCs w:val="24"/>
          <w:shd w:val="clear" w:color="auto" w:fill="FFFFFF"/>
        </w:rPr>
        <w:t>4.我方及</w:t>
      </w:r>
      <w:r>
        <w:rPr>
          <w:rFonts w:hint="eastAsia" w:hAnsi="宋体"/>
          <w:color w:val="auto"/>
          <w:sz w:val="24"/>
          <w:szCs w:val="24"/>
        </w:rPr>
        <w:t>接受分包合同企业</w:t>
      </w:r>
      <w:r>
        <w:rPr>
          <w:rFonts w:hint="eastAsia" w:ascii="宋体" w:hAnsi="宋体"/>
          <w:color w:val="auto"/>
          <w:sz w:val="24"/>
          <w:szCs w:val="24"/>
          <w:shd w:val="clear" w:color="auto" w:fill="FFFFFF"/>
        </w:rPr>
        <w:t>不得再以自己名义单独或加入其他供应商参加本项目（同一采购包）的投标。</w:t>
      </w:r>
    </w:p>
    <w:p>
      <w:pPr>
        <w:spacing w:line="360" w:lineRule="auto"/>
        <w:ind w:firstLine="405"/>
        <w:rPr>
          <w:rFonts w:ascii="宋体" w:hAnsi="宋体"/>
          <w:color w:val="auto"/>
          <w:sz w:val="24"/>
          <w:szCs w:val="24"/>
          <w:shd w:val="clear" w:color="auto" w:fill="FFFFFF"/>
        </w:rPr>
      </w:pPr>
      <w:r>
        <w:rPr>
          <w:rFonts w:hint="eastAsia" w:ascii="宋体" w:hAnsi="宋体"/>
          <w:color w:val="auto"/>
          <w:sz w:val="24"/>
          <w:szCs w:val="24"/>
          <w:shd w:val="clear" w:color="auto" w:fill="FFFFFF"/>
        </w:rPr>
        <w:t>5.我方（及接受分包合同的企业）如因违约过失责任而导致采购人经济损失或被索赔时，我方同意无条件优先清偿采购人的一切债务和经济赔偿。</w:t>
      </w:r>
    </w:p>
    <w:p>
      <w:pPr>
        <w:spacing w:line="360" w:lineRule="auto"/>
        <w:ind w:firstLine="405"/>
        <w:rPr>
          <w:rFonts w:ascii="宋体" w:hAnsi="宋体"/>
          <w:color w:val="auto"/>
          <w:sz w:val="24"/>
          <w:szCs w:val="24"/>
          <w:shd w:val="clear" w:color="auto" w:fill="FFFFFF"/>
        </w:rPr>
      </w:pPr>
      <w:r>
        <w:rPr>
          <w:rFonts w:hint="eastAsia" w:ascii="宋体" w:hAnsi="宋体"/>
          <w:color w:val="auto"/>
          <w:sz w:val="24"/>
          <w:szCs w:val="24"/>
          <w:shd w:val="clear" w:color="auto" w:fill="FFFFFF"/>
        </w:rPr>
        <w:t>6.本协议在自签署之日起生效，投标有效期内有效，如获中标资格，合同有效期延续至合同履行完毕之日。</w:t>
      </w:r>
    </w:p>
    <w:p>
      <w:pPr>
        <w:spacing w:line="360" w:lineRule="auto"/>
        <w:ind w:firstLine="405"/>
        <w:rPr>
          <w:rFonts w:ascii="宋体" w:hAnsi="宋体"/>
          <w:color w:val="auto"/>
          <w:sz w:val="24"/>
          <w:szCs w:val="24"/>
          <w:shd w:val="clear" w:color="auto" w:fill="FFFFFF"/>
        </w:rPr>
      </w:pPr>
      <w:r>
        <w:rPr>
          <w:rFonts w:hint="eastAsia" w:ascii="宋体" w:hAnsi="宋体"/>
          <w:color w:val="auto"/>
          <w:sz w:val="24"/>
          <w:szCs w:val="24"/>
          <w:shd w:val="clear" w:color="auto" w:fill="FFFFFF"/>
        </w:rPr>
        <w:t>7.本协议书正本一式</w:t>
      </w:r>
      <w:r>
        <w:rPr>
          <w:rFonts w:hint="eastAsia" w:ascii="宋体" w:hAnsi="宋体"/>
          <w:color w:val="auto"/>
          <w:sz w:val="24"/>
          <w:szCs w:val="24"/>
          <w:u w:val="single"/>
          <w:shd w:val="clear" w:color="auto" w:fill="FFFFFF"/>
        </w:rPr>
        <w:t xml:space="preserve">   </w:t>
      </w:r>
      <w:r>
        <w:rPr>
          <w:rFonts w:hint="eastAsia" w:ascii="宋体" w:hAnsi="宋体"/>
          <w:color w:val="auto"/>
          <w:sz w:val="24"/>
          <w:szCs w:val="24"/>
          <w:shd w:val="clear" w:color="auto" w:fill="FFFFFF"/>
        </w:rPr>
        <w:t>份，随投标文件装订</w:t>
      </w:r>
      <w:r>
        <w:rPr>
          <w:rFonts w:hint="eastAsia" w:ascii="宋体" w:hAnsi="宋体"/>
          <w:color w:val="auto"/>
          <w:sz w:val="24"/>
          <w:szCs w:val="24"/>
          <w:u w:val="single"/>
          <w:shd w:val="clear" w:color="auto" w:fill="FFFFFF"/>
        </w:rPr>
        <w:t xml:space="preserve">   </w:t>
      </w:r>
      <w:r>
        <w:rPr>
          <w:rFonts w:hint="eastAsia" w:ascii="宋体" w:hAnsi="宋体"/>
          <w:color w:val="auto"/>
          <w:sz w:val="24"/>
          <w:szCs w:val="24"/>
          <w:shd w:val="clear" w:color="auto" w:fill="FFFFFF"/>
        </w:rPr>
        <w:t>份，送采购人</w:t>
      </w:r>
      <w:r>
        <w:rPr>
          <w:rFonts w:hint="eastAsia" w:ascii="宋体" w:hAnsi="宋体"/>
          <w:color w:val="auto"/>
          <w:sz w:val="24"/>
          <w:szCs w:val="24"/>
          <w:u w:val="single"/>
          <w:shd w:val="clear" w:color="auto" w:fill="FFFFFF"/>
        </w:rPr>
        <w:t xml:space="preserve">   </w:t>
      </w:r>
      <w:r>
        <w:rPr>
          <w:rFonts w:hint="eastAsia" w:ascii="宋体" w:hAnsi="宋体"/>
          <w:color w:val="auto"/>
          <w:sz w:val="24"/>
          <w:szCs w:val="24"/>
          <w:shd w:val="clear" w:color="auto" w:fill="FFFFFF"/>
        </w:rPr>
        <w:t>份，分包单位成员各一份；副本一式</w:t>
      </w:r>
      <w:r>
        <w:rPr>
          <w:rFonts w:hint="eastAsia" w:ascii="宋体" w:hAnsi="宋体"/>
          <w:color w:val="auto"/>
          <w:sz w:val="24"/>
          <w:szCs w:val="24"/>
          <w:u w:val="single"/>
          <w:shd w:val="clear" w:color="auto" w:fill="FFFFFF"/>
        </w:rPr>
        <w:t xml:space="preserve">   </w:t>
      </w:r>
      <w:r>
        <w:rPr>
          <w:rFonts w:hint="eastAsia" w:ascii="宋体" w:hAnsi="宋体"/>
          <w:color w:val="auto"/>
          <w:sz w:val="24"/>
          <w:szCs w:val="24"/>
          <w:shd w:val="clear" w:color="auto" w:fill="FFFFFF"/>
        </w:rPr>
        <w:t>份，各成员各执</w:t>
      </w:r>
      <w:r>
        <w:rPr>
          <w:rFonts w:hint="eastAsia" w:ascii="宋体" w:hAnsi="宋体"/>
          <w:color w:val="auto"/>
          <w:sz w:val="24"/>
          <w:szCs w:val="24"/>
          <w:u w:val="single"/>
          <w:shd w:val="clear" w:color="auto" w:fill="FFFFFF"/>
        </w:rPr>
        <w:t xml:space="preserve">   </w:t>
      </w:r>
      <w:r>
        <w:rPr>
          <w:rFonts w:hint="eastAsia" w:ascii="宋体" w:hAnsi="宋体"/>
          <w:color w:val="auto"/>
          <w:sz w:val="24"/>
          <w:szCs w:val="24"/>
          <w:shd w:val="clear" w:color="auto" w:fill="FFFFFF"/>
        </w:rPr>
        <w:t>份。</w:t>
      </w:r>
    </w:p>
    <w:p>
      <w:pPr>
        <w:spacing w:line="360" w:lineRule="auto"/>
        <w:ind w:firstLine="405"/>
        <w:rPr>
          <w:rFonts w:ascii="宋体" w:hAnsi="宋体"/>
          <w:color w:val="auto"/>
          <w:sz w:val="24"/>
          <w:szCs w:val="24"/>
        </w:rPr>
      </w:pPr>
      <w:r>
        <w:rPr>
          <w:rFonts w:hint="eastAsia" w:ascii="宋体" w:hAnsi="宋体"/>
          <w:b/>
          <w:color w:val="auto"/>
          <w:sz w:val="24"/>
          <w:szCs w:val="24"/>
        </w:rPr>
        <w:t>本《分包意向协议》同时作为各成员的法人证明书和法人授权委托书（附</w:t>
      </w:r>
      <w:r>
        <w:rPr>
          <w:rFonts w:hint="eastAsia" w:ascii="宋体" w:hAnsi="宋体"/>
          <w:b/>
          <w:bCs/>
          <w:color w:val="auto"/>
          <w:sz w:val="24"/>
          <w:szCs w:val="24"/>
        </w:rPr>
        <w:t>各成员法定代表人（最高负责人）身份证明、共同推选的授权代表身份证明</w:t>
      </w:r>
      <w:r>
        <w:rPr>
          <w:rFonts w:hint="eastAsia" w:ascii="宋体" w:hAnsi="宋体"/>
          <w:b/>
          <w:color w:val="auto"/>
          <w:sz w:val="24"/>
          <w:szCs w:val="24"/>
        </w:rPr>
        <w:t>）。</w:t>
      </w:r>
    </w:p>
    <w:p>
      <w:pPr>
        <w:pStyle w:val="13"/>
        <w:spacing w:line="360" w:lineRule="auto"/>
        <w:rPr>
          <w:rFonts w:hAnsi="宋体"/>
          <w:color w:val="auto"/>
          <w:sz w:val="24"/>
          <w:szCs w:val="24"/>
        </w:rPr>
      </w:pPr>
    </w:p>
    <w:p>
      <w:pPr>
        <w:widowControl/>
        <w:spacing w:line="360" w:lineRule="auto"/>
        <w:jc w:val="left"/>
        <w:rPr>
          <w:rFonts w:ascii="宋体" w:hAnsi="宋体"/>
          <w:color w:val="auto"/>
          <w:kern w:val="0"/>
          <w:sz w:val="24"/>
          <w:szCs w:val="24"/>
          <w:u w:val="single"/>
        </w:rPr>
      </w:pPr>
      <w:r>
        <w:rPr>
          <w:rFonts w:hint="eastAsia" w:ascii="宋体" w:hAnsi="宋体"/>
          <w:color w:val="auto"/>
          <w:kern w:val="0"/>
          <w:sz w:val="24"/>
          <w:szCs w:val="24"/>
        </w:rPr>
        <w:t>投标供应商全称（加盖公章）：</w:t>
      </w:r>
      <w:r>
        <w:rPr>
          <w:rFonts w:hint="eastAsia" w:ascii="宋体" w:hAnsi="宋体"/>
          <w:color w:val="auto"/>
          <w:kern w:val="0"/>
          <w:sz w:val="24"/>
          <w:szCs w:val="24"/>
          <w:u w:val="single"/>
        </w:rPr>
        <w:t xml:space="preserve">                    </w:t>
      </w:r>
    </w:p>
    <w:p>
      <w:pPr>
        <w:widowControl/>
        <w:spacing w:line="360" w:lineRule="auto"/>
        <w:jc w:val="left"/>
        <w:rPr>
          <w:rFonts w:ascii="宋体" w:hAnsi="宋体"/>
          <w:color w:val="auto"/>
          <w:kern w:val="0"/>
          <w:sz w:val="24"/>
          <w:szCs w:val="24"/>
          <w:u w:val="single"/>
        </w:rPr>
      </w:pPr>
      <w:r>
        <w:rPr>
          <w:rFonts w:hint="eastAsia" w:ascii="宋体" w:hAnsi="宋体"/>
          <w:color w:val="auto"/>
          <w:kern w:val="0"/>
          <w:sz w:val="24"/>
          <w:szCs w:val="24"/>
        </w:rPr>
        <w:t>法定代表人（签字或盖章）：</w:t>
      </w:r>
      <w:r>
        <w:rPr>
          <w:rFonts w:hint="eastAsia" w:ascii="宋体" w:hAnsi="宋体"/>
          <w:color w:val="auto"/>
          <w:kern w:val="0"/>
          <w:sz w:val="24"/>
          <w:szCs w:val="24"/>
          <w:u w:val="single"/>
        </w:rPr>
        <w:t xml:space="preserve">                  </w:t>
      </w:r>
    </w:p>
    <w:p>
      <w:pPr>
        <w:widowControl/>
        <w:spacing w:line="360" w:lineRule="auto"/>
        <w:jc w:val="left"/>
        <w:rPr>
          <w:rFonts w:ascii="宋体" w:hAnsi="宋体"/>
          <w:color w:val="auto"/>
          <w:kern w:val="0"/>
          <w:sz w:val="24"/>
          <w:szCs w:val="24"/>
        </w:rPr>
      </w:pPr>
      <w:r>
        <w:rPr>
          <w:rFonts w:hint="eastAsia" w:ascii="宋体" w:hAnsi="宋体"/>
          <w:color w:val="auto"/>
          <w:kern w:val="0"/>
          <w:sz w:val="24"/>
          <w:szCs w:val="24"/>
        </w:rPr>
        <w:t>签署日期：        年    月    日</w:t>
      </w:r>
    </w:p>
    <w:p>
      <w:pPr>
        <w:widowControl/>
        <w:spacing w:line="360" w:lineRule="auto"/>
        <w:jc w:val="left"/>
        <w:rPr>
          <w:rFonts w:ascii="宋体" w:hAnsi="宋体"/>
          <w:color w:val="auto"/>
          <w:kern w:val="0"/>
          <w:sz w:val="24"/>
          <w:szCs w:val="24"/>
        </w:rPr>
      </w:pPr>
    </w:p>
    <w:p>
      <w:pPr>
        <w:widowControl/>
        <w:spacing w:line="360" w:lineRule="auto"/>
        <w:jc w:val="left"/>
        <w:rPr>
          <w:rFonts w:ascii="宋体" w:hAnsi="宋体"/>
          <w:color w:val="auto"/>
          <w:kern w:val="0"/>
          <w:sz w:val="24"/>
          <w:szCs w:val="24"/>
          <w:u w:val="single"/>
        </w:rPr>
      </w:pPr>
      <w:r>
        <w:rPr>
          <w:rFonts w:hint="eastAsia" w:ascii="宋体" w:hAnsi="宋体"/>
          <w:color w:val="auto"/>
          <w:kern w:val="0"/>
          <w:sz w:val="24"/>
          <w:szCs w:val="24"/>
        </w:rPr>
        <w:t>接受分包合同的企业1全称（加盖公章）：</w:t>
      </w:r>
      <w:r>
        <w:rPr>
          <w:rFonts w:hint="eastAsia" w:ascii="宋体" w:hAnsi="宋体"/>
          <w:color w:val="auto"/>
          <w:kern w:val="0"/>
          <w:sz w:val="24"/>
          <w:szCs w:val="24"/>
          <w:u w:val="single"/>
        </w:rPr>
        <w:t xml:space="preserve">                    </w:t>
      </w:r>
    </w:p>
    <w:p>
      <w:pPr>
        <w:widowControl/>
        <w:spacing w:line="360" w:lineRule="auto"/>
        <w:jc w:val="left"/>
        <w:rPr>
          <w:rFonts w:ascii="宋体" w:hAnsi="宋体"/>
          <w:color w:val="auto"/>
          <w:kern w:val="0"/>
          <w:sz w:val="24"/>
          <w:szCs w:val="24"/>
          <w:u w:val="single"/>
        </w:rPr>
      </w:pPr>
      <w:r>
        <w:rPr>
          <w:rFonts w:hint="eastAsia" w:ascii="宋体" w:hAnsi="宋体"/>
          <w:color w:val="auto"/>
          <w:kern w:val="0"/>
          <w:sz w:val="24"/>
          <w:szCs w:val="24"/>
        </w:rPr>
        <w:t>法定代表人（签字或盖章）：</w:t>
      </w:r>
      <w:r>
        <w:rPr>
          <w:rFonts w:hint="eastAsia" w:ascii="宋体" w:hAnsi="宋体"/>
          <w:color w:val="auto"/>
          <w:kern w:val="0"/>
          <w:sz w:val="24"/>
          <w:szCs w:val="24"/>
          <w:u w:val="single"/>
        </w:rPr>
        <w:t xml:space="preserve">                  </w:t>
      </w:r>
    </w:p>
    <w:p>
      <w:pPr>
        <w:widowControl/>
        <w:spacing w:line="360" w:lineRule="auto"/>
        <w:jc w:val="left"/>
        <w:rPr>
          <w:rFonts w:ascii="宋体" w:hAnsi="宋体"/>
          <w:color w:val="auto"/>
          <w:kern w:val="0"/>
          <w:sz w:val="24"/>
          <w:szCs w:val="24"/>
        </w:rPr>
      </w:pPr>
      <w:r>
        <w:rPr>
          <w:rFonts w:hint="eastAsia" w:ascii="宋体" w:hAnsi="宋体"/>
          <w:color w:val="auto"/>
          <w:kern w:val="0"/>
          <w:sz w:val="24"/>
          <w:szCs w:val="24"/>
        </w:rPr>
        <w:t>签署日期：        年    月    日</w:t>
      </w:r>
    </w:p>
    <w:p>
      <w:pPr>
        <w:widowControl/>
        <w:spacing w:line="360" w:lineRule="auto"/>
        <w:jc w:val="left"/>
        <w:rPr>
          <w:rFonts w:ascii="宋体" w:hAnsi="宋体"/>
          <w:color w:val="auto"/>
          <w:kern w:val="0"/>
          <w:sz w:val="24"/>
          <w:szCs w:val="24"/>
        </w:rPr>
      </w:pPr>
      <w:r>
        <w:rPr>
          <w:rFonts w:ascii="宋体" w:hAnsi="宋体"/>
          <w:color w:val="auto"/>
          <w:kern w:val="0"/>
          <w:sz w:val="24"/>
          <w:szCs w:val="24"/>
        </w:rPr>
        <w:t>……</w:t>
      </w:r>
    </w:p>
    <w:p>
      <w:pPr>
        <w:widowControl/>
        <w:spacing w:line="360" w:lineRule="auto"/>
        <w:jc w:val="left"/>
        <w:rPr>
          <w:rFonts w:ascii="宋体" w:hAnsi="宋体"/>
          <w:color w:val="auto"/>
          <w:kern w:val="0"/>
          <w:sz w:val="24"/>
          <w:szCs w:val="24"/>
          <w:u w:val="single"/>
        </w:rPr>
      </w:pPr>
      <w:r>
        <w:rPr>
          <w:rFonts w:hint="eastAsia" w:ascii="宋体" w:hAnsi="宋体"/>
          <w:color w:val="auto"/>
          <w:kern w:val="0"/>
          <w:sz w:val="24"/>
          <w:szCs w:val="24"/>
        </w:rPr>
        <w:t>接受分包合同的企业</w:t>
      </w:r>
      <w:r>
        <w:rPr>
          <w:rFonts w:ascii="宋体" w:hAnsi="宋体"/>
          <w:color w:val="auto"/>
          <w:kern w:val="0"/>
          <w:sz w:val="24"/>
          <w:szCs w:val="24"/>
        </w:rPr>
        <w:t>…</w:t>
      </w:r>
      <w:r>
        <w:rPr>
          <w:rFonts w:hint="eastAsia" w:ascii="宋体" w:hAnsi="宋体"/>
          <w:color w:val="auto"/>
          <w:kern w:val="0"/>
          <w:sz w:val="24"/>
          <w:szCs w:val="24"/>
        </w:rPr>
        <w:t>全称（加盖公章）：</w:t>
      </w:r>
      <w:r>
        <w:rPr>
          <w:rFonts w:hint="eastAsia" w:ascii="宋体" w:hAnsi="宋体"/>
          <w:color w:val="auto"/>
          <w:kern w:val="0"/>
          <w:sz w:val="24"/>
          <w:szCs w:val="24"/>
          <w:u w:val="single"/>
        </w:rPr>
        <w:t xml:space="preserve">                  </w:t>
      </w:r>
    </w:p>
    <w:p>
      <w:pPr>
        <w:widowControl/>
        <w:spacing w:line="360" w:lineRule="auto"/>
        <w:jc w:val="left"/>
        <w:rPr>
          <w:rFonts w:ascii="宋体" w:hAnsi="宋体"/>
          <w:color w:val="auto"/>
          <w:kern w:val="0"/>
          <w:sz w:val="24"/>
          <w:szCs w:val="24"/>
          <w:u w:val="single"/>
        </w:rPr>
      </w:pPr>
      <w:r>
        <w:rPr>
          <w:rFonts w:hint="eastAsia" w:ascii="宋体" w:hAnsi="宋体"/>
          <w:color w:val="auto"/>
          <w:kern w:val="0"/>
          <w:sz w:val="24"/>
          <w:szCs w:val="24"/>
        </w:rPr>
        <w:t>法定代表人（签字或盖章）：</w:t>
      </w:r>
      <w:r>
        <w:rPr>
          <w:rFonts w:hint="eastAsia" w:ascii="宋体" w:hAnsi="宋体"/>
          <w:color w:val="auto"/>
          <w:kern w:val="0"/>
          <w:sz w:val="24"/>
          <w:szCs w:val="24"/>
          <w:u w:val="single"/>
        </w:rPr>
        <w:t xml:space="preserve">                  </w:t>
      </w:r>
    </w:p>
    <w:p>
      <w:pPr>
        <w:widowControl/>
        <w:spacing w:line="360" w:lineRule="auto"/>
        <w:jc w:val="left"/>
        <w:rPr>
          <w:rFonts w:ascii="宋体" w:hAnsi="宋体"/>
          <w:color w:val="auto"/>
          <w:kern w:val="0"/>
          <w:sz w:val="24"/>
          <w:szCs w:val="24"/>
        </w:rPr>
      </w:pPr>
      <w:r>
        <w:rPr>
          <w:rFonts w:hint="eastAsia" w:ascii="宋体" w:hAnsi="宋体"/>
          <w:color w:val="auto"/>
          <w:kern w:val="0"/>
          <w:sz w:val="24"/>
          <w:szCs w:val="24"/>
        </w:rPr>
        <w:t>签署日期：        年    月    日</w:t>
      </w:r>
    </w:p>
    <w:p>
      <w:pPr>
        <w:spacing w:line="360" w:lineRule="auto"/>
        <w:rPr>
          <w:rFonts w:ascii="宋体" w:hAnsi="宋体"/>
          <w:bCs/>
          <w:color w:val="auto"/>
          <w:sz w:val="24"/>
          <w:szCs w:val="24"/>
        </w:rPr>
      </w:pPr>
      <w:r>
        <w:rPr>
          <w:rFonts w:hint="eastAsia" w:ascii="宋体" w:hAnsi="宋体"/>
          <w:bCs/>
          <w:color w:val="auto"/>
          <w:sz w:val="24"/>
          <w:szCs w:val="24"/>
        </w:rPr>
        <w:t>附：各成员法定代表人（最高负责人）身份证件扫描件或复印件（分别提供）</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322" w:type="dxa"/>
            <w:vAlign w:val="center"/>
          </w:tcPr>
          <w:p>
            <w:pPr>
              <w:spacing w:line="360" w:lineRule="auto"/>
              <w:jc w:val="center"/>
              <w:rPr>
                <w:rFonts w:ascii="宋体" w:hAnsi="宋体"/>
                <w:bCs/>
                <w:color w:val="auto"/>
                <w:sz w:val="24"/>
                <w:szCs w:val="24"/>
              </w:rPr>
            </w:pPr>
            <w:r>
              <w:rPr>
                <w:rFonts w:hint="eastAsia" w:ascii="宋体" w:hAnsi="宋体"/>
                <w:bCs/>
                <w:color w:val="auto"/>
                <w:sz w:val="24"/>
                <w:szCs w:val="24"/>
              </w:rPr>
              <w:t>身份证件（正反面）扫描件或粘贴复印件</w:t>
            </w:r>
          </w:p>
        </w:tc>
      </w:tr>
    </w:tbl>
    <w:p>
      <w:pPr>
        <w:spacing w:line="360" w:lineRule="auto"/>
        <w:rPr>
          <w:rFonts w:ascii="宋体" w:hAnsi="宋体"/>
          <w:bCs/>
          <w:color w:val="auto"/>
          <w:sz w:val="24"/>
          <w:szCs w:val="24"/>
        </w:rPr>
      </w:pPr>
      <w:r>
        <w:rPr>
          <w:rFonts w:hint="eastAsia" w:ascii="宋体" w:hAnsi="宋体"/>
          <w:bCs/>
          <w:color w:val="auto"/>
          <w:sz w:val="24"/>
          <w:szCs w:val="24"/>
        </w:rPr>
        <w:t>附：共同推选的授权代表（授权代表姓名）身份证件扫描件或复印件</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9322" w:type="dxa"/>
            <w:vAlign w:val="center"/>
          </w:tcPr>
          <w:p>
            <w:pPr>
              <w:spacing w:line="360" w:lineRule="auto"/>
              <w:jc w:val="center"/>
              <w:rPr>
                <w:rFonts w:ascii="宋体" w:hAnsi="宋体"/>
                <w:bCs/>
                <w:color w:val="auto"/>
                <w:sz w:val="24"/>
                <w:szCs w:val="24"/>
              </w:rPr>
            </w:pPr>
            <w:r>
              <w:rPr>
                <w:rFonts w:hint="eastAsia" w:ascii="宋体" w:hAnsi="宋体"/>
                <w:bCs/>
                <w:color w:val="auto"/>
                <w:sz w:val="24"/>
                <w:szCs w:val="24"/>
              </w:rPr>
              <w:t>身份证件（正反面）扫描件或粘贴复印件</w:t>
            </w:r>
          </w:p>
        </w:tc>
      </w:tr>
    </w:tbl>
    <w:p>
      <w:pPr>
        <w:ind w:left="708" w:hanging="705" w:hangingChars="294"/>
        <w:rPr>
          <w:rFonts w:ascii="宋体" w:hAnsi="宋体"/>
          <w:b/>
          <w:color w:val="auto"/>
          <w:sz w:val="24"/>
          <w:szCs w:val="24"/>
        </w:rPr>
      </w:pPr>
      <w:r>
        <w:rPr>
          <w:rFonts w:hint="eastAsia" w:ascii="宋体" w:hAnsi="宋体"/>
          <w:b/>
          <w:color w:val="auto"/>
          <w:sz w:val="24"/>
          <w:szCs w:val="24"/>
        </w:rPr>
        <w:t>备注：</w:t>
      </w:r>
    </w:p>
    <w:p>
      <w:pPr>
        <w:ind w:firstLine="480" w:firstLineChars="200"/>
        <w:rPr>
          <w:rFonts w:ascii="宋体" w:hAnsi="宋体"/>
          <w:color w:val="auto"/>
          <w:sz w:val="24"/>
          <w:szCs w:val="24"/>
        </w:rPr>
      </w:pPr>
      <w:r>
        <w:rPr>
          <w:rFonts w:hint="eastAsia" w:ascii="宋体" w:hAnsi="宋体"/>
          <w:color w:val="auto"/>
          <w:sz w:val="24"/>
          <w:szCs w:val="24"/>
        </w:rPr>
        <w:t>1.以合同分包形式投标时需提供本协议，各方成员应在本协议上共同盖章、签署确认。</w:t>
      </w:r>
    </w:p>
    <w:p>
      <w:pPr>
        <w:ind w:firstLine="480" w:firstLineChars="200"/>
        <w:rPr>
          <w:rFonts w:ascii="宋体" w:hAnsi="宋体"/>
          <w:color w:val="auto"/>
          <w:sz w:val="24"/>
          <w:szCs w:val="24"/>
        </w:rPr>
      </w:pPr>
      <w:r>
        <w:rPr>
          <w:rFonts w:hint="eastAsia" w:ascii="宋体" w:hAnsi="宋体"/>
          <w:color w:val="auto"/>
          <w:sz w:val="24"/>
          <w:szCs w:val="24"/>
        </w:rPr>
        <w:t>2.本协议关键内容不得擅自修改。此协议将作为签订合同的附件之一。可选内容选定后可以删除多余内容。</w:t>
      </w:r>
    </w:p>
    <w:p>
      <w:pPr>
        <w:ind w:firstLine="480" w:firstLineChars="200"/>
        <w:rPr>
          <w:rFonts w:ascii="宋体" w:hAnsi="宋体"/>
          <w:color w:val="auto"/>
          <w:sz w:val="24"/>
          <w:szCs w:val="24"/>
        </w:rPr>
      </w:pPr>
      <w:r>
        <w:rPr>
          <w:rFonts w:hint="eastAsia" w:ascii="宋体" w:hAnsi="宋体"/>
          <w:color w:val="auto"/>
          <w:sz w:val="24"/>
          <w:szCs w:val="24"/>
        </w:rPr>
        <w:t>3.投标文件除特别说明的格式及本《分包意向协议》外，均可以按本协议约定的方式进行盖章、签署。</w:t>
      </w:r>
    </w:p>
    <w:p>
      <w:pPr>
        <w:spacing w:line="360" w:lineRule="auto"/>
        <w:ind w:left="945" w:leftChars="450" w:firstLine="410" w:firstLineChars="171"/>
        <w:rPr>
          <w:rFonts w:ascii="宋体" w:hAnsi="宋体"/>
          <w:color w:val="auto"/>
          <w:sz w:val="24"/>
          <w:szCs w:val="24"/>
        </w:rPr>
      </w:pPr>
    </w:p>
    <w:p>
      <w:pPr>
        <w:pStyle w:val="6"/>
        <w:numPr>
          <w:ilvl w:val="1"/>
          <w:numId w:val="97"/>
        </w:numPr>
        <w:tabs>
          <w:tab w:val="left" w:pos="945"/>
        </w:tabs>
        <w:ind w:left="964" w:hanging="960" w:hangingChars="400"/>
        <w:rPr>
          <w:rFonts w:ascii="宋体" w:hAnsi="宋体"/>
          <w:color w:val="auto"/>
          <w:szCs w:val="24"/>
        </w:rPr>
      </w:pPr>
      <w:bookmarkStart w:id="401" w:name="_Toc22806206"/>
      <w:r>
        <w:rPr>
          <w:rFonts w:hint="eastAsia" w:ascii="宋体" w:hAnsi="宋体"/>
          <w:color w:val="auto"/>
          <w:szCs w:val="24"/>
        </w:rPr>
        <w:br w:type="page"/>
      </w:r>
      <w:r>
        <w:rPr>
          <w:rFonts w:hint="eastAsia" w:ascii="宋体" w:hAnsi="宋体"/>
          <w:color w:val="auto"/>
          <w:szCs w:val="24"/>
        </w:rPr>
        <w:t>投标人认为有必要提供的其他资格、资信证明文件（如有）</w:t>
      </w:r>
      <w:bookmarkEnd w:id="401"/>
    </w:p>
    <w:p>
      <w:pPr>
        <w:spacing w:line="360" w:lineRule="auto"/>
        <w:ind w:left="630" w:leftChars="300" w:firstLine="150" w:firstLineChars="50"/>
        <w:jc w:val="center"/>
        <w:rPr>
          <w:rFonts w:ascii="宋体" w:hAnsi="宋体"/>
          <w:b/>
          <w:color w:val="auto"/>
          <w:sz w:val="30"/>
          <w:szCs w:val="30"/>
        </w:rPr>
      </w:pPr>
      <w:r>
        <w:rPr>
          <w:rFonts w:hint="eastAsia" w:ascii="宋体" w:hAnsi="宋体"/>
          <w:b/>
          <w:color w:val="auto"/>
          <w:sz w:val="30"/>
          <w:szCs w:val="30"/>
        </w:rPr>
        <w:t>投标人认为有必要提供的其他资格、资信证明文件</w:t>
      </w:r>
    </w:p>
    <w:p>
      <w:pPr>
        <w:spacing w:line="360" w:lineRule="auto"/>
        <w:ind w:left="809" w:hanging="808" w:hangingChars="337"/>
        <w:rPr>
          <w:rFonts w:hint="eastAsia" w:ascii="宋体" w:hAnsi="宋体" w:eastAsia="宋体"/>
          <w:color w:val="auto"/>
          <w:sz w:val="24"/>
          <w:szCs w:val="24"/>
          <w:lang w:eastAsia="zh-CN"/>
        </w:rPr>
      </w:pPr>
      <w:r>
        <w:rPr>
          <w:rFonts w:hint="eastAsia" w:ascii="宋体" w:hAnsi="宋体"/>
          <w:color w:val="auto"/>
          <w:sz w:val="24"/>
          <w:szCs w:val="24"/>
        </w:rPr>
        <w:t>采购项目名称：</w:t>
      </w:r>
      <w:r>
        <w:rPr>
          <w:rFonts w:hint="eastAsia" w:ascii="宋体" w:hAnsi="宋体"/>
          <w:color w:val="auto"/>
          <w:sz w:val="24"/>
          <w:szCs w:val="24"/>
          <w:lang w:eastAsia="zh-CN"/>
        </w:rPr>
        <w:t>工业和信息化部电子第五研究所动力电池配套使用环境试验箱采购项目</w:t>
      </w:r>
    </w:p>
    <w:p>
      <w:pPr>
        <w:spacing w:line="360" w:lineRule="auto"/>
        <w:ind w:left="809" w:hanging="808" w:hangingChars="337"/>
        <w:rPr>
          <w:rFonts w:ascii="宋体" w:hAnsi="宋体"/>
          <w:color w:val="auto"/>
          <w:sz w:val="24"/>
          <w:szCs w:val="24"/>
        </w:rPr>
      </w:pPr>
      <w:r>
        <w:rPr>
          <w:rFonts w:hint="eastAsia" w:ascii="宋体" w:hAnsi="宋体"/>
          <w:color w:val="auto"/>
          <w:sz w:val="24"/>
          <w:szCs w:val="24"/>
        </w:rPr>
        <w:t>采购包号：</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165"/>
        <w:gridCol w:w="3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序号</w:t>
            </w:r>
          </w:p>
        </w:tc>
        <w:tc>
          <w:tcPr>
            <w:tcW w:w="5165"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其他资格、资信证明文件名称</w:t>
            </w:r>
          </w:p>
        </w:tc>
        <w:tc>
          <w:tcPr>
            <w:tcW w:w="3181"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证明材料所在页码范围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rPr>
            </w:pPr>
          </w:p>
        </w:tc>
        <w:tc>
          <w:tcPr>
            <w:tcW w:w="5165" w:type="dxa"/>
            <w:vAlign w:val="center"/>
          </w:tcPr>
          <w:p>
            <w:pPr>
              <w:autoSpaceDE w:val="0"/>
              <w:autoSpaceDN w:val="0"/>
              <w:spacing w:line="360" w:lineRule="auto"/>
              <w:jc w:val="center"/>
              <w:rPr>
                <w:rFonts w:ascii="宋体" w:hAnsi="宋体"/>
                <w:color w:val="auto"/>
                <w:sz w:val="24"/>
                <w:szCs w:val="24"/>
              </w:rPr>
            </w:pPr>
          </w:p>
        </w:tc>
        <w:tc>
          <w:tcPr>
            <w:tcW w:w="3181" w:type="dxa"/>
            <w:vAlign w:val="center"/>
          </w:tcPr>
          <w:p>
            <w:pPr>
              <w:autoSpaceDE w:val="0"/>
              <w:autoSpaceDN w:val="0"/>
              <w:spacing w:line="360" w:lineRule="auto"/>
              <w:jc w:val="center"/>
              <w:rPr>
                <w:rFonts w:ascii="宋体" w:hAnsi="宋体"/>
                <w:color w:val="auto"/>
                <w:sz w:val="24"/>
                <w:szCs w:val="24"/>
              </w:rPr>
            </w:pPr>
          </w:p>
        </w:tc>
      </w:tr>
    </w:tbl>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投标人名称（加盖公章）：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投标人法定代表人或授权代表（签字或盖章）：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日期：</w:t>
      </w:r>
      <w:r>
        <w:rPr>
          <w:rFonts w:hint="eastAsia" w:ascii="宋体" w:hAnsi="宋体"/>
          <w:color w:val="auto"/>
          <w:sz w:val="24"/>
          <w:szCs w:val="24"/>
          <w:u w:val="single"/>
        </w:rPr>
        <w:t xml:space="preserve">        </w:t>
      </w:r>
      <w:r>
        <w:rPr>
          <w:rFonts w:hint="eastAsia" w:ascii="宋体" w:hAnsi="宋体"/>
          <w:color w:val="auto"/>
          <w:sz w:val="24"/>
          <w:szCs w:val="24"/>
        </w:rPr>
        <w:t>年</w:t>
      </w:r>
      <w:r>
        <w:rPr>
          <w:rFonts w:hint="eastAsia" w:ascii="宋体" w:hAnsi="宋体"/>
          <w:color w:val="auto"/>
          <w:sz w:val="24"/>
          <w:szCs w:val="24"/>
          <w:u w:val="single"/>
        </w:rPr>
        <w:t xml:space="preserve">    </w:t>
      </w:r>
      <w:r>
        <w:rPr>
          <w:rFonts w:hint="eastAsia" w:ascii="宋体" w:hAnsi="宋体"/>
          <w:color w:val="auto"/>
          <w:sz w:val="24"/>
          <w:szCs w:val="24"/>
        </w:rPr>
        <w:t>月</w:t>
      </w:r>
      <w:r>
        <w:rPr>
          <w:rFonts w:hint="eastAsia" w:ascii="宋体" w:hAnsi="宋体"/>
          <w:color w:val="auto"/>
          <w:sz w:val="24"/>
          <w:szCs w:val="24"/>
          <w:u w:val="single"/>
        </w:rPr>
        <w:t xml:space="preserve">    </w:t>
      </w:r>
      <w:r>
        <w:rPr>
          <w:rFonts w:hint="eastAsia" w:ascii="宋体" w:hAnsi="宋体"/>
          <w:color w:val="auto"/>
          <w:sz w:val="24"/>
          <w:szCs w:val="24"/>
        </w:rPr>
        <w:t>日</w:t>
      </w:r>
    </w:p>
    <w:p>
      <w:pPr>
        <w:autoSpaceDE w:val="0"/>
        <w:autoSpaceDN w:val="0"/>
        <w:rPr>
          <w:rFonts w:ascii="宋体" w:hAnsi="宋体"/>
          <w:b/>
          <w:color w:val="auto"/>
          <w:sz w:val="24"/>
          <w:szCs w:val="24"/>
        </w:rPr>
      </w:pPr>
      <w:r>
        <w:rPr>
          <w:rFonts w:hint="eastAsia" w:ascii="宋体" w:hAnsi="宋体"/>
          <w:b/>
          <w:color w:val="auto"/>
          <w:sz w:val="24"/>
          <w:szCs w:val="24"/>
        </w:rPr>
        <w:t>备注：</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1.除上述4.1～4.5证明材料外，投标人可根据招标文件《投标邀请》的“二、申请人的资格要求”及招标文件的规定，对其认为有必要提供的其他资格、资信证明文件作出说明并在上表后附相关证明材料。</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2.如果投标人认为无其他资格、资信证明文件提供的，请在上表第一行填写“无其他资格、资信文件”</w:t>
      </w:r>
      <w:r>
        <w:rPr>
          <w:rFonts w:hint="eastAsia" w:ascii="宋体" w:hAnsi="宋体"/>
          <w:color w:val="auto"/>
          <w:sz w:val="24"/>
          <w:szCs w:val="24"/>
        </w:rPr>
        <w:tab/>
      </w:r>
      <w:r>
        <w:rPr>
          <w:rFonts w:hint="eastAsia" w:ascii="宋体" w:hAnsi="宋体"/>
          <w:color w:val="auto"/>
          <w:sz w:val="24"/>
          <w:szCs w:val="24"/>
        </w:rPr>
        <w:t>。</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3.联合体投标的，涉及各成员方的证明材料分别提供。各成员提供的自身独立的证明材料（如有）均可以由《联合协议》约定的方式加盖公章及签署。</w:t>
      </w:r>
    </w:p>
    <w:p>
      <w:pPr>
        <w:ind w:firstLine="480" w:firstLineChars="200"/>
        <w:rPr>
          <w:rFonts w:ascii="宋体" w:hAnsi="宋体"/>
          <w:color w:val="auto"/>
          <w:sz w:val="24"/>
          <w:szCs w:val="24"/>
        </w:rPr>
      </w:pPr>
      <w:r>
        <w:rPr>
          <w:rFonts w:hint="eastAsia" w:ascii="宋体" w:hAnsi="宋体"/>
          <w:color w:val="auto"/>
          <w:sz w:val="24"/>
          <w:szCs w:val="24"/>
        </w:rPr>
        <w:t>4.分支机构投标的，总公司（总所）、分支机构的证明材料分别提供，均可以由总公司（总所）或分支机构加盖公章及签署。</w:t>
      </w:r>
    </w:p>
    <w:p>
      <w:pPr>
        <w:ind w:firstLine="480" w:firstLineChars="200"/>
        <w:rPr>
          <w:rFonts w:ascii="宋体" w:hAnsi="宋体"/>
          <w:color w:val="auto"/>
          <w:sz w:val="24"/>
          <w:szCs w:val="24"/>
        </w:rPr>
      </w:pPr>
      <w:r>
        <w:rPr>
          <w:rFonts w:hint="eastAsia" w:ascii="宋体" w:hAnsi="宋体"/>
          <w:color w:val="auto"/>
          <w:sz w:val="24"/>
          <w:szCs w:val="24"/>
        </w:rPr>
        <w:t>5.以合同分包形式报价的，各接受分包合同企业提供的自身独立的证明材料（如采购文件有要求），可以由各接受分包合同企业加盖公章及签署，也可以由投标供应商按《分包意向协议》约定的方式加盖公章及签署。</w:t>
      </w:r>
    </w:p>
    <w:p>
      <w:pPr>
        <w:ind w:firstLine="480" w:firstLineChars="200"/>
        <w:rPr>
          <w:rFonts w:ascii="宋体" w:hAnsi="宋体"/>
          <w:color w:val="auto"/>
          <w:sz w:val="24"/>
          <w:szCs w:val="24"/>
        </w:rPr>
      </w:pPr>
    </w:p>
    <w:p>
      <w:pPr>
        <w:ind w:firstLine="480" w:firstLineChars="200"/>
        <w:rPr>
          <w:rFonts w:ascii="宋体" w:hAnsi="宋体"/>
          <w:color w:val="auto"/>
          <w:sz w:val="24"/>
          <w:szCs w:val="24"/>
        </w:rPr>
      </w:pPr>
    </w:p>
    <w:p>
      <w:pPr>
        <w:pStyle w:val="5"/>
        <w:numPr>
          <w:ilvl w:val="0"/>
          <w:numId w:val="99"/>
        </w:numPr>
        <w:tabs>
          <w:tab w:val="left" w:pos="945"/>
        </w:tabs>
        <w:spacing w:before="0" w:after="0" w:line="360" w:lineRule="auto"/>
        <w:ind w:left="0" w:firstLine="0"/>
        <w:rPr>
          <w:color w:val="auto"/>
          <w:sz w:val="28"/>
          <w:szCs w:val="28"/>
        </w:rPr>
      </w:pPr>
      <w:bookmarkStart w:id="402" w:name="_Toc54335478"/>
      <w:bookmarkStart w:id="403" w:name="_Toc22806208"/>
      <w:r>
        <w:rPr>
          <w:rFonts w:hint="eastAsia"/>
          <w:color w:val="auto"/>
          <w:sz w:val="28"/>
          <w:szCs w:val="28"/>
        </w:rPr>
        <w:br w:type="page"/>
      </w:r>
      <w:bookmarkStart w:id="404" w:name="_Toc32221"/>
      <w:r>
        <w:rPr>
          <w:rFonts w:hint="eastAsia"/>
          <w:color w:val="auto"/>
          <w:sz w:val="28"/>
          <w:szCs w:val="28"/>
        </w:rPr>
        <w:t>法定代表人证明书及授权委托书</w:t>
      </w:r>
      <w:bookmarkEnd w:id="402"/>
      <w:bookmarkEnd w:id="403"/>
      <w:bookmarkEnd w:id="404"/>
    </w:p>
    <w:p>
      <w:pPr>
        <w:pStyle w:val="6"/>
        <w:numPr>
          <w:ilvl w:val="1"/>
          <w:numId w:val="99"/>
        </w:numPr>
        <w:tabs>
          <w:tab w:val="left" w:pos="945"/>
        </w:tabs>
        <w:ind w:left="0" w:firstLine="0"/>
        <w:rPr>
          <w:rFonts w:ascii="宋体" w:hAnsi="宋体"/>
          <w:color w:val="auto"/>
          <w:szCs w:val="24"/>
        </w:rPr>
      </w:pPr>
      <w:bookmarkStart w:id="405" w:name="_Toc22806209"/>
      <w:r>
        <w:rPr>
          <w:rFonts w:hint="eastAsia" w:ascii="宋体" w:hAnsi="宋体"/>
          <w:color w:val="auto"/>
          <w:szCs w:val="24"/>
        </w:rPr>
        <w:t>法定代表人证明书（适用于非自然人投标人）</w:t>
      </w:r>
      <w:bookmarkEnd w:id="405"/>
    </w:p>
    <w:p>
      <w:pPr>
        <w:spacing w:line="360" w:lineRule="auto"/>
        <w:jc w:val="center"/>
        <w:rPr>
          <w:rFonts w:ascii="宋体" w:hAnsi="宋体"/>
          <w:b/>
          <w:color w:val="auto"/>
          <w:sz w:val="32"/>
          <w:szCs w:val="32"/>
        </w:rPr>
      </w:pPr>
      <w:r>
        <w:rPr>
          <w:rFonts w:hint="eastAsia" w:ascii="宋体" w:hAnsi="宋体"/>
          <w:b/>
          <w:color w:val="auto"/>
          <w:sz w:val="32"/>
          <w:szCs w:val="32"/>
        </w:rPr>
        <w:t>法定代表人证明书</w:t>
      </w:r>
    </w:p>
    <w:p>
      <w:pPr>
        <w:spacing w:line="360" w:lineRule="auto"/>
        <w:rPr>
          <w:rFonts w:ascii="宋体" w:hAnsi="宋体"/>
          <w:bCs/>
          <w:color w:val="auto"/>
          <w:sz w:val="24"/>
          <w:szCs w:val="24"/>
          <w:u w:val="single"/>
        </w:rPr>
      </w:pPr>
    </w:p>
    <w:p>
      <w:pPr>
        <w:spacing w:line="360" w:lineRule="auto"/>
        <w:ind w:firstLine="480" w:firstLineChars="200"/>
        <w:rPr>
          <w:rFonts w:ascii="宋体" w:hAnsi="宋体"/>
          <w:bCs/>
          <w:color w:val="auto"/>
          <w:sz w:val="24"/>
          <w:szCs w:val="24"/>
        </w:rPr>
      </w:pPr>
      <w:r>
        <w:rPr>
          <w:rFonts w:hint="eastAsia" w:ascii="宋体" w:hAnsi="宋体"/>
          <w:bCs/>
          <w:i/>
          <w:color w:val="auto"/>
          <w:sz w:val="24"/>
          <w:szCs w:val="24"/>
          <w:u w:val="single"/>
        </w:rPr>
        <w:t>（法定代表人姓名）</w:t>
      </w:r>
      <w:r>
        <w:rPr>
          <w:rFonts w:hint="eastAsia" w:ascii="宋体" w:hAnsi="宋体"/>
          <w:bCs/>
          <w:color w:val="auto"/>
          <w:sz w:val="24"/>
          <w:szCs w:val="24"/>
        </w:rPr>
        <w:t>现任我单位</w:t>
      </w:r>
      <w:r>
        <w:rPr>
          <w:rFonts w:hint="eastAsia" w:ascii="宋体" w:hAnsi="宋体"/>
          <w:bCs/>
          <w:i/>
          <w:color w:val="auto"/>
          <w:sz w:val="24"/>
          <w:szCs w:val="24"/>
          <w:u w:val="single"/>
        </w:rPr>
        <w:t>（法定代表人职务）</w:t>
      </w:r>
      <w:r>
        <w:rPr>
          <w:rFonts w:hint="eastAsia" w:ascii="宋体" w:hAnsi="宋体"/>
          <w:bCs/>
          <w:color w:val="auto"/>
          <w:sz w:val="24"/>
          <w:szCs w:val="24"/>
        </w:rPr>
        <w:t>职务，为法定代表人，特此证明。</w:t>
      </w:r>
    </w:p>
    <w:p>
      <w:pPr>
        <w:spacing w:line="360" w:lineRule="auto"/>
        <w:ind w:firstLine="480" w:firstLineChars="200"/>
        <w:rPr>
          <w:rFonts w:ascii="宋体" w:hAnsi="宋体"/>
          <w:bCs/>
          <w:color w:val="auto"/>
          <w:sz w:val="24"/>
          <w:szCs w:val="24"/>
        </w:rPr>
      </w:pPr>
      <w:r>
        <w:rPr>
          <w:rFonts w:hint="eastAsia" w:ascii="宋体" w:hAnsi="宋体"/>
          <w:bCs/>
          <w:color w:val="auto"/>
          <w:sz w:val="24"/>
          <w:szCs w:val="24"/>
        </w:rPr>
        <w:t>本证明书自签发之日起生效，有效期与本公司投标文件中标注的投标有效期相同。</w:t>
      </w:r>
    </w:p>
    <w:p>
      <w:pPr>
        <w:spacing w:line="360" w:lineRule="auto"/>
        <w:rPr>
          <w:rFonts w:ascii="宋体" w:hAnsi="宋体"/>
          <w:bCs/>
          <w:color w:val="auto"/>
          <w:sz w:val="24"/>
          <w:szCs w:val="24"/>
        </w:rPr>
      </w:pPr>
      <w:r>
        <w:rPr>
          <w:rFonts w:hint="eastAsia" w:ascii="宋体" w:hAnsi="宋体"/>
          <w:bCs/>
          <w:color w:val="auto"/>
          <w:sz w:val="24"/>
          <w:szCs w:val="24"/>
        </w:rPr>
        <w:t>附：代表人性别：</w:t>
      </w:r>
      <w:r>
        <w:rPr>
          <w:rFonts w:hint="eastAsia" w:ascii="宋体" w:hAnsi="宋体"/>
          <w:bCs/>
          <w:color w:val="auto"/>
          <w:sz w:val="24"/>
          <w:szCs w:val="24"/>
          <w:u w:val="single"/>
        </w:rPr>
        <w:t xml:space="preserve">  </w:t>
      </w:r>
      <w:r>
        <w:rPr>
          <w:rFonts w:hint="eastAsia" w:ascii="宋体" w:hAnsi="宋体"/>
          <w:bCs/>
          <w:color w:val="auto"/>
          <w:sz w:val="24"/>
          <w:szCs w:val="24"/>
        </w:rPr>
        <w:t xml:space="preserve"> 年龄：</w:t>
      </w:r>
      <w:r>
        <w:rPr>
          <w:rFonts w:hint="eastAsia" w:ascii="宋体" w:hAnsi="宋体"/>
          <w:bCs/>
          <w:color w:val="auto"/>
          <w:sz w:val="24"/>
          <w:szCs w:val="24"/>
          <w:u w:val="single"/>
        </w:rPr>
        <w:t xml:space="preserve">  </w:t>
      </w:r>
      <w:r>
        <w:rPr>
          <w:rFonts w:hint="eastAsia" w:ascii="宋体" w:hAnsi="宋体"/>
          <w:bCs/>
          <w:color w:val="auto"/>
          <w:sz w:val="24"/>
          <w:szCs w:val="24"/>
        </w:rPr>
        <w:t>周岁 身份证件号码：</w:t>
      </w:r>
      <w:r>
        <w:rPr>
          <w:rFonts w:hint="eastAsia" w:ascii="宋体" w:hAnsi="宋体"/>
          <w:bCs/>
          <w:color w:val="auto"/>
          <w:sz w:val="24"/>
          <w:szCs w:val="24"/>
          <w:u w:val="single"/>
        </w:rPr>
        <w:t xml:space="preserve">                             </w:t>
      </w:r>
    </w:p>
    <w:p>
      <w:pPr>
        <w:spacing w:line="360" w:lineRule="auto"/>
        <w:rPr>
          <w:rFonts w:ascii="宋体" w:hAnsi="宋体"/>
          <w:bCs/>
          <w:color w:val="auto"/>
          <w:sz w:val="24"/>
          <w:szCs w:val="24"/>
        </w:rPr>
      </w:pPr>
      <w:r>
        <w:rPr>
          <w:rFonts w:hint="eastAsia" w:ascii="宋体" w:hAnsi="宋体"/>
          <w:bCs/>
          <w:color w:val="auto"/>
          <w:sz w:val="24"/>
          <w:szCs w:val="24"/>
        </w:rPr>
        <w:t>注册或登记或证书号码：</w:t>
      </w:r>
      <w:r>
        <w:rPr>
          <w:rFonts w:hint="eastAsia" w:ascii="宋体" w:hAnsi="宋体"/>
          <w:bCs/>
          <w:color w:val="auto"/>
          <w:sz w:val="24"/>
          <w:szCs w:val="24"/>
          <w:u w:val="single"/>
        </w:rPr>
        <w:t xml:space="preserve">                       </w:t>
      </w:r>
      <w:r>
        <w:rPr>
          <w:rFonts w:hint="eastAsia" w:ascii="宋体" w:hAnsi="宋体"/>
          <w:bCs/>
          <w:color w:val="auto"/>
          <w:sz w:val="24"/>
          <w:szCs w:val="24"/>
        </w:rPr>
        <w:t xml:space="preserve"> 机构类型：</w:t>
      </w:r>
      <w:r>
        <w:rPr>
          <w:rFonts w:hint="eastAsia" w:ascii="宋体" w:hAnsi="宋体"/>
          <w:bCs/>
          <w:color w:val="auto"/>
          <w:sz w:val="24"/>
          <w:szCs w:val="24"/>
          <w:u w:val="single"/>
        </w:rPr>
        <w:t xml:space="preserve">                   </w:t>
      </w:r>
    </w:p>
    <w:p>
      <w:pPr>
        <w:spacing w:line="360" w:lineRule="auto"/>
        <w:rPr>
          <w:rFonts w:ascii="宋体" w:hAnsi="宋体"/>
          <w:b/>
          <w:color w:val="auto"/>
          <w:sz w:val="24"/>
          <w:szCs w:val="24"/>
          <w:u w:val="single"/>
        </w:rPr>
      </w:pPr>
      <w:r>
        <w:rPr>
          <w:rFonts w:hint="eastAsia" w:ascii="宋体" w:hAnsi="宋体"/>
          <w:bCs/>
          <w:color w:val="auto"/>
          <w:sz w:val="24"/>
          <w:szCs w:val="24"/>
        </w:rPr>
        <w:t>经营/许可范围：</w:t>
      </w:r>
      <w:r>
        <w:rPr>
          <w:rFonts w:hint="eastAsia" w:ascii="宋体" w:hAnsi="宋体"/>
          <w:bCs/>
          <w:color w:val="auto"/>
          <w:sz w:val="24"/>
          <w:szCs w:val="24"/>
          <w:u w:val="single"/>
        </w:rPr>
        <w:t xml:space="preserve">  </w:t>
      </w:r>
      <w:r>
        <w:rPr>
          <w:rFonts w:hint="eastAsia" w:ascii="宋体" w:hAnsi="宋体"/>
          <w:color w:val="auto"/>
          <w:sz w:val="24"/>
          <w:szCs w:val="24"/>
          <w:u w:val="single"/>
        </w:rPr>
        <w:t xml:space="preserve">                                                          </w:t>
      </w:r>
      <w:r>
        <w:rPr>
          <w:rFonts w:hint="eastAsia" w:ascii="宋体" w:hAnsi="宋体"/>
          <w:color w:val="auto"/>
          <w:sz w:val="24"/>
          <w:szCs w:val="24"/>
        </w:rPr>
        <w:t>。</w:t>
      </w:r>
    </w:p>
    <w:p>
      <w:pPr>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投标人名称（加盖公章）：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法定地址：</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投标人法定代表人（签字或盖章）：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日期：</w:t>
      </w:r>
      <w:r>
        <w:rPr>
          <w:rFonts w:hint="eastAsia" w:ascii="宋体" w:hAnsi="宋体"/>
          <w:color w:val="auto"/>
          <w:sz w:val="24"/>
          <w:szCs w:val="24"/>
          <w:u w:val="single"/>
        </w:rPr>
        <w:t xml:space="preserve">        </w:t>
      </w:r>
      <w:r>
        <w:rPr>
          <w:rFonts w:hint="eastAsia" w:ascii="宋体" w:hAnsi="宋体"/>
          <w:color w:val="auto"/>
          <w:sz w:val="24"/>
          <w:szCs w:val="24"/>
        </w:rPr>
        <w:t>年</w:t>
      </w:r>
      <w:r>
        <w:rPr>
          <w:rFonts w:hint="eastAsia" w:ascii="宋体" w:hAnsi="宋体"/>
          <w:color w:val="auto"/>
          <w:sz w:val="24"/>
          <w:szCs w:val="24"/>
          <w:u w:val="single"/>
        </w:rPr>
        <w:t xml:space="preserve">    </w:t>
      </w:r>
      <w:r>
        <w:rPr>
          <w:rFonts w:hint="eastAsia" w:ascii="宋体" w:hAnsi="宋体"/>
          <w:color w:val="auto"/>
          <w:sz w:val="24"/>
          <w:szCs w:val="24"/>
        </w:rPr>
        <w:t>月</w:t>
      </w:r>
      <w:r>
        <w:rPr>
          <w:rFonts w:hint="eastAsia" w:ascii="宋体" w:hAnsi="宋体"/>
          <w:color w:val="auto"/>
          <w:sz w:val="24"/>
          <w:szCs w:val="24"/>
          <w:u w:val="single"/>
        </w:rPr>
        <w:t xml:space="preserve">    </w:t>
      </w:r>
      <w:r>
        <w:rPr>
          <w:rFonts w:hint="eastAsia" w:ascii="宋体" w:hAnsi="宋体"/>
          <w:color w:val="auto"/>
          <w:sz w:val="24"/>
          <w:szCs w:val="24"/>
        </w:rPr>
        <w:t>日</w:t>
      </w:r>
    </w:p>
    <w:p>
      <w:pPr>
        <w:spacing w:line="360" w:lineRule="auto"/>
        <w:rPr>
          <w:rFonts w:ascii="宋体" w:hAnsi="宋体"/>
          <w:bCs/>
          <w:color w:val="auto"/>
          <w:sz w:val="24"/>
          <w:szCs w:val="24"/>
        </w:rPr>
      </w:pPr>
    </w:p>
    <w:p>
      <w:pPr>
        <w:spacing w:line="360" w:lineRule="auto"/>
        <w:rPr>
          <w:rFonts w:ascii="宋体" w:hAnsi="宋体"/>
          <w:bCs/>
          <w:color w:val="auto"/>
          <w:sz w:val="24"/>
          <w:szCs w:val="24"/>
        </w:rPr>
      </w:pPr>
      <w:r>
        <w:rPr>
          <w:rFonts w:hint="eastAsia" w:ascii="宋体" w:hAnsi="宋体"/>
          <w:bCs/>
          <w:color w:val="auto"/>
          <w:sz w:val="24"/>
          <w:szCs w:val="24"/>
        </w:rPr>
        <w:t>附：投标人法定代表人身份证件扫描件或复印件</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9322" w:type="dxa"/>
            <w:vAlign w:val="center"/>
          </w:tcPr>
          <w:p>
            <w:pPr>
              <w:spacing w:line="360" w:lineRule="auto"/>
              <w:jc w:val="center"/>
              <w:rPr>
                <w:rFonts w:ascii="宋体" w:hAnsi="宋体"/>
                <w:bCs/>
                <w:color w:val="auto"/>
                <w:sz w:val="24"/>
                <w:szCs w:val="24"/>
              </w:rPr>
            </w:pPr>
            <w:r>
              <w:rPr>
                <w:rFonts w:hint="eastAsia" w:ascii="宋体" w:hAnsi="宋体"/>
                <w:bCs/>
                <w:color w:val="auto"/>
                <w:sz w:val="24"/>
                <w:szCs w:val="24"/>
              </w:rPr>
              <w:t>身份证件（正反面）扫描件或粘贴复印件</w:t>
            </w:r>
          </w:p>
        </w:tc>
      </w:tr>
    </w:tbl>
    <w:p>
      <w:pPr>
        <w:spacing w:line="360" w:lineRule="auto"/>
        <w:ind w:left="720" w:hanging="720" w:hangingChars="300"/>
        <w:rPr>
          <w:rFonts w:ascii="宋体" w:hAnsi="宋体"/>
          <w:bCs/>
          <w:color w:val="auto"/>
          <w:sz w:val="24"/>
          <w:szCs w:val="24"/>
        </w:rPr>
      </w:pPr>
    </w:p>
    <w:p>
      <w:pPr>
        <w:ind w:left="723" w:hanging="720" w:hangingChars="300"/>
        <w:rPr>
          <w:rFonts w:ascii="宋体" w:hAnsi="宋体"/>
          <w:b/>
          <w:bCs/>
          <w:color w:val="auto"/>
          <w:sz w:val="24"/>
          <w:szCs w:val="24"/>
        </w:rPr>
      </w:pPr>
      <w:r>
        <w:rPr>
          <w:rFonts w:hint="eastAsia" w:ascii="宋体" w:hAnsi="宋体"/>
          <w:b/>
          <w:bCs/>
          <w:color w:val="auto"/>
          <w:sz w:val="24"/>
          <w:szCs w:val="24"/>
        </w:rPr>
        <w:t>备注：</w:t>
      </w:r>
    </w:p>
    <w:p>
      <w:pPr>
        <w:ind w:firstLine="480" w:firstLineChars="200"/>
        <w:rPr>
          <w:rFonts w:ascii="宋体" w:hAnsi="宋体"/>
          <w:bCs/>
          <w:color w:val="auto"/>
          <w:sz w:val="24"/>
          <w:szCs w:val="24"/>
        </w:rPr>
      </w:pPr>
      <w:r>
        <w:rPr>
          <w:rFonts w:hint="eastAsia" w:ascii="宋体" w:hAnsi="宋体"/>
          <w:bCs/>
          <w:color w:val="auto"/>
          <w:sz w:val="24"/>
          <w:szCs w:val="24"/>
        </w:rPr>
        <w:t>1.投标人可使用上述格式，也可使用政府行政管理部门统一印制的法定代表人证明书格式；</w:t>
      </w:r>
    </w:p>
    <w:p>
      <w:pPr>
        <w:ind w:firstLine="480" w:firstLineChars="200"/>
        <w:rPr>
          <w:rFonts w:ascii="宋体" w:hAnsi="宋体"/>
          <w:bCs/>
          <w:color w:val="auto"/>
          <w:sz w:val="24"/>
          <w:szCs w:val="24"/>
        </w:rPr>
      </w:pPr>
      <w:r>
        <w:rPr>
          <w:rFonts w:hint="eastAsia" w:ascii="宋体" w:hAnsi="宋体"/>
          <w:bCs/>
          <w:color w:val="auto"/>
          <w:sz w:val="24"/>
          <w:szCs w:val="24"/>
        </w:rPr>
        <w:t>2.如投标人机构无法定代表人，可以该机构最高负责人替代。</w:t>
      </w:r>
    </w:p>
    <w:p>
      <w:pPr>
        <w:ind w:firstLine="480" w:firstLineChars="200"/>
        <w:rPr>
          <w:rFonts w:ascii="宋体" w:hAnsi="宋体"/>
          <w:bCs/>
          <w:color w:val="auto"/>
          <w:sz w:val="24"/>
          <w:szCs w:val="24"/>
        </w:rPr>
      </w:pPr>
      <w:r>
        <w:rPr>
          <w:rFonts w:hint="eastAsia" w:ascii="宋体" w:hAnsi="宋体"/>
          <w:bCs/>
          <w:color w:val="auto"/>
          <w:sz w:val="24"/>
          <w:szCs w:val="24"/>
        </w:rPr>
        <w:t>3.联合体投标的，《联合协议》可以作为联合体各成员的法定代表人证明书，不需再重复提供。</w:t>
      </w:r>
    </w:p>
    <w:p>
      <w:pPr>
        <w:ind w:firstLine="480" w:firstLineChars="200"/>
        <w:rPr>
          <w:rFonts w:ascii="宋体" w:hAnsi="宋体"/>
          <w:bCs/>
          <w:color w:val="auto"/>
          <w:sz w:val="24"/>
          <w:szCs w:val="24"/>
        </w:rPr>
      </w:pPr>
      <w:r>
        <w:rPr>
          <w:rFonts w:hint="eastAsia" w:ascii="宋体" w:hAnsi="宋体"/>
          <w:bCs/>
          <w:color w:val="auto"/>
          <w:sz w:val="24"/>
          <w:szCs w:val="24"/>
        </w:rPr>
        <w:t>4.分支机构投标的，以该机构最高负责人替代。</w:t>
      </w:r>
    </w:p>
    <w:p>
      <w:pPr>
        <w:ind w:firstLine="480" w:firstLineChars="200"/>
        <w:rPr>
          <w:rFonts w:ascii="宋体" w:hAnsi="宋体"/>
          <w:bCs/>
          <w:color w:val="auto"/>
          <w:sz w:val="24"/>
          <w:szCs w:val="24"/>
        </w:rPr>
      </w:pPr>
      <w:r>
        <w:rPr>
          <w:rFonts w:hint="eastAsia" w:ascii="宋体" w:hAnsi="宋体"/>
          <w:bCs/>
          <w:color w:val="auto"/>
          <w:sz w:val="24"/>
          <w:szCs w:val="24"/>
        </w:rPr>
        <w:t>5.</w:t>
      </w:r>
      <w:r>
        <w:rPr>
          <w:rFonts w:hint="eastAsia" w:ascii="宋体" w:hAnsi="宋体"/>
          <w:color w:val="auto"/>
          <w:sz w:val="24"/>
          <w:szCs w:val="24"/>
        </w:rPr>
        <w:t>以合同分包形式投标的，《分包意向协议》可以作为投标供应商的法定代表人证明书，不需再重复提供。</w:t>
      </w:r>
    </w:p>
    <w:p>
      <w:pPr>
        <w:spacing w:line="360" w:lineRule="auto"/>
        <w:ind w:left="660" w:leftChars="200" w:hanging="240" w:hangingChars="100"/>
        <w:rPr>
          <w:rFonts w:ascii="宋体" w:hAnsi="宋体"/>
          <w:bCs/>
          <w:color w:val="auto"/>
          <w:sz w:val="24"/>
          <w:szCs w:val="24"/>
        </w:rPr>
      </w:pPr>
    </w:p>
    <w:p>
      <w:pPr>
        <w:pStyle w:val="6"/>
        <w:numPr>
          <w:ilvl w:val="1"/>
          <w:numId w:val="99"/>
        </w:numPr>
        <w:tabs>
          <w:tab w:val="left" w:pos="945"/>
        </w:tabs>
        <w:ind w:left="0" w:firstLine="0"/>
        <w:rPr>
          <w:rFonts w:ascii="宋体" w:hAnsi="宋体"/>
          <w:color w:val="auto"/>
          <w:szCs w:val="24"/>
        </w:rPr>
      </w:pPr>
      <w:bookmarkStart w:id="406" w:name="_Toc22806210"/>
      <w:r>
        <w:rPr>
          <w:rFonts w:hint="eastAsia" w:ascii="宋体" w:hAnsi="宋体"/>
          <w:color w:val="auto"/>
          <w:szCs w:val="24"/>
        </w:rPr>
        <w:br w:type="page"/>
      </w:r>
      <w:r>
        <w:rPr>
          <w:rFonts w:hint="eastAsia" w:ascii="宋体" w:hAnsi="宋体"/>
          <w:color w:val="auto"/>
          <w:szCs w:val="24"/>
        </w:rPr>
        <w:t>法定代表人授权委托书（如适用）</w:t>
      </w:r>
      <w:bookmarkEnd w:id="406"/>
    </w:p>
    <w:p>
      <w:pPr>
        <w:pStyle w:val="13"/>
        <w:spacing w:line="360" w:lineRule="auto"/>
        <w:jc w:val="center"/>
        <w:rPr>
          <w:rFonts w:hAnsi="宋体"/>
          <w:b/>
          <w:color w:val="auto"/>
          <w:sz w:val="32"/>
          <w:szCs w:val="32"/>
        </w:rPr>
      </w:pPr>
      <w:r>
        <w:rPr>
          <w:rFonts w:hint="eastAsia" w:hAnsi="宋体"/>
          <w:b/>
          <w:color w:val="auto"/>
          <w:sz w:val="32"/>
          <w:szCs w:val="32"/>
        </w:rPr>
        <w:t>法定代表人授权委托书</w:t>
      </w:r>
    </w:p>
    <w:p>
      <w:pPr>
        <w:pStyle w:val="13"/>
        <w:spacing w:line="360" w:lineRule="auto"/>
        <w:rPr>
          <w:rFonts w:hAnsi="宋体"/>
          <w:color w:val="auto"/>
          <w:sz w:val="24"/>
          <w:szCs w:val="24"/>
        </w:rPr>
      </w:pPr>
    </w:p>
    <w:p>
      <w:pPr>
        <w:pStyle w:val="13"/>
        <w:spacing w:line="360" w:lineRule="auto"/>
        <w:rPr>
          <w:rFonts w:hAnsi="宋体"/>
          <w:b/>
          <w:color w:val="auto"/>
          <w:sz w:val="24"/>
          <w:szCs w:val="24"/>
        </w:rPr>
      </w:pPr>
      <w:r>
        <w:rPr>
          <w:rFonts w:hint="eastAsia" w:hAnsi="宋体"/>
          <w:color w:val="auto"/>
          <w:sz w:val="24"/>
          <w:szCs w:val="24"/>
        </w:rPr>
        <w:t>致：</w:t>
      </w:r>
      <w:r>
        <w:rPr>
          <w:rFonts w:hint="eastAsia" w:hAnsi="宋体"/>
          <w:b/>
          <w:color w:val="auto"/>
          <w:sz w:val="24"/>
          <w:szCs w:val="24"/>
        </w:rPr>
        <w:t>广东华伦招标有限公司</w:t>
      </w:r>
    </w:p>
    <w:p>
      <w:pPr>
        <w:pStyle w:val="13"/>
        <w:spacing w:line="360" w:lineRule="auto"/>
        <w:ind w:firstLine="480" w:firstLineChars="200"/>
        <w:rPr>
          <w:rFonts w:hAnsi="宋体"/>
          <w:color w:val="auto"/>
          <w:sz w:val="24"/>
          <w:szCs w:val="24"/>
        </w:rPr>
      </w:pPr>
      <w:r>
        <w:rPr>
          <w:rFonts w:hint="eastAsia" w:hAnsi="宋体"/>
          <w:color w:val="auto"/>
          <w:sz w:val="24"/>
          <w:szCs w:val="24"/>
        </w:rPr>
        <w:t>本授权委托书声明：</w:t>
      </w:r>
      <w:r>
        <w:rPr>
          <w:rFonts w:hint="eastAsia" w:hAnsi="宋体"/>
          <w:i/>
          <w:color w:val="auto"/>
          <w:sz w:val="24"/>
          <w:szCs w:val="24"/>
          <w:u w:val="single"/>
        </w:rPr>
        <w:t>（法定代表人姓名）</w:t>
      </w:r>
      <w:r>
        <w:rPr>
          <w:rFonts w:hint="eastAsia" w:hAnsi="宋体"/>
          <w:color w:val="auto"/>
          <w:sz w:val="24"/>
          <w:szCs w:val="24"/>
        </w:rPr>
        <w:t>是注册于</w:t>
      </w:r>
      <w:r>
        <w:rPr>
          <w:rFonts w:hint="eastAsia" w:hAnsi="宋体"/>
          <w:i/>
          <w:color w:val="auto"/>
          <w:sz w:val="24"/>
          <w:szCs w:val="24"/>
          <w:u w:val="single"/>
        </w:rPr>
        <w:t>（国家或地区）</w:t>
      </w:r>
      <w:r>
        <w:rPr>
          <w:rFonts w:hint="eastAsia" w:hAnsi="宋体"/>
          <w:color w:val="auto"/>
          <w:sz w:val="24"/>
          <w:szCs w:val="24"/>
        </w:rPr>
        <w:t>的</w:t>
      </w:r>
      <w:r>
        <w:rPr>
          <w:rFonts w:hint="eastAsia" w:hAnsi="宋体"/>
          <w:i/>
          <w:color w:val="auto"/>
          <w:sz w:val="24"/>
          <w:szCs w:val="24"/>
          <w:u w:val="single"/>
        </w:rPr>
        <w:t>（投标人名称）</w:t>
      </w:r>
      <w:r>
        <w:rPr>
          <w:rFonts w:hint="eastAsia" w:hAnsi="宋体"/>
          <w:color w:val="auto"/>
          <w:sz w:val="24"/>
          <w:szCs w:val="24"/>
        </w:rPr>
        <w:t>的法定代表人，现授权</w:t>
      </w:r>
      <w:r>
        <w:rPr>
          <w:rFonts w:hint="eastAsia" w:hAnsi="宋体"/>
          <w:i/>
          <w:color w:val="auto"/>
          <w:sz w:val="24"/>
          <w:szCs w:val="24"/>
          <w:u w:val="single"/>
        </w:rPr>
        <w:t>（授权代表姓名，职务）</w:t>
      </w:r>
      <w:r>
        <w:rPr>
          <w:rFonts w:hint="eastAsia" w:hAnsi="宋体"/>
          <w:color w:val="auto"/>
          <w:sz w:val="24"/>
          <w:szCs w:val="24"/>
        </w:rPr>
        <w:t>作为我公司的全权代理人，就</w:t>
      </w:r>
      <w:r>
        <w:rPr>
          <w:rFonts w:hint="eastAsia" w:hAnsi="宋体"/>
          <w:color w:val="auto"/>
          <w:sz w:val="24"/>
          <w:szCs w:val="24"/>
          <w:u w:val="single"/>
          <w:lang w:eastAsia="zh-CN"/>
        </w:rPr>
        <w:t>工业和信息化部电子第五研究所动力电池配套使用环境试验箱采购项目</w:t>
      </w:r>
      <w:r>
        <w:rPr>
          <w:rFonts w:hint="eastAsia" w:hAnsi="宋体"/>
          <w:color w:val="auto"/>
          <w:sz w:val="24"/>
          <w:szCs w:val="24"/>
        </w:rPr>
        <w:t>项目采购[采购文件编号为</w:t>
      </w:r>
      <w:r>
        <w:rPr>
          <w:rFonts w:hint="eastAsia" w:hAnsi="宋体"/>
          <w:color w:val="auto"/>
          <w:sz w:val="24"/>
          <w:szCs w:val="24"/>
          <w:u w:val="single"/>
          <w:lang w:eastAsia="zh-CN"/>
        </w:rPr>
        <w:t>0809-2241GZG14036</w:t>
      </w:r>
      <w:r>
        <w:rPr>
          <w:rFonts w:hint="eastAsia" w:hAnsi="宋体"/>
          <w:color w:val="auto"/>
          <w:sz w:val="24"/>
          <w:szCs w:val="24"/>
        </w:rPr>
        <w:t>]的投标、合同签署和执行，以我方的名义处理与之相关的一切事宜。</w:t>
      </w:r>
    </w:p>
    <w:p>
      <w:pPr>
        <w:spacing w:line="360" w:lineRule="auto"/>
        <w:ind w:firstLine="480" w:firstLineChars="200"/>
        <w:rPr>
          <w:rFonts w:ascii="宋体" w:hAnsi="宋体"/>
          <w:color w:val="auto"/>
          <w:sz w:val="24"/>
          <w:szCs w:val="24"/>
        </w:rPr>
      </w:pPr>
      <w:r>
        <w:rPr>
          <w:rFonts w:hint="eastAsia" w:ascii="宋体"/>
          <w:color w:val="auto"/>
          <w:sz w:val="24"/>
        </w:rPr>
        <w:t>本授权书自法定代表人签字（盖个人名章）之日起生效，</w:t>
      </w:r>
      <w:r>
        <w:rPr>
          <w:rFonts w:hint="eastAsia" w:ascii="宋体" w:hAnsi="宋体"/>
          <w:color w:val="auto"/>
          <w:sz w:val="24"/>
          <w:szCs w:val="24"/>
        </w:rPr>
        <w:t>本授权书有效期与我方投标文件中标注的投标有效期相同。</w:t>
      </w:r>
    </w:p>
    <w:p>
      <w:pPr>
        <w:spacing w:line="360" w:lineRule="auto"/>
        <w:ind w:firstLine="480" w:firstLineChars="200"/>
        <w:rPr>
          <w:rFonts w:ascii="宋体" w:hAnsi="宋体"/>
          <w:color w:val="auto"/>
          <w:sz w:val="24"/>
          <w:szCs w:val="24"/>
        </w:rPr>
      </w:pPr>
      <w:r>
        <w:rPr>
          <w:rFonts w:hint="eastAsia" w:ascii="宋体" w:hAnsi="宋体"/>
          <w:color w:val="auto"/>
          <w:sz w:val="24"/>
          <w:szCs w:val="24"/>
        </w:rPr>
        <w:t>特此声明。</w:t>
      </w:r>
    </w:p>
    <w:p>
      <w:pPr>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投标人名称（加盖公章）：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法定地址：</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投标人法定代表人（签字或盖章）：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投标人授权代表（签字或盖章）：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日期：</w:t>
      </w:r>
      <w:r>
        <w:rPr>
          <w:rFonts w:hint="eastAsia" w:ascii="宋体" w:hAnsi="宋体"/>
          <w:color w:val="auto"/>
          <w:sz w:val="24"/>
          <w:szCs w:val="24"/>
          <w:u w:val="single"/>
        </w:rPr>
        <w:t xml:space="preserve">        </w:t>
      </w:r>
      <w:r>
        <w:rPr>
          <w:rFonts w:hint="eastAsia" w:ascii="宋体" w:hAnsi="宋体"/>
          <w:color w:val="auto"/>
          <w:sz w:val="24"/>
          <w:szCs w:val="24"/>
        </w:rPr>
        <w:t>年</w:t>
      </w:r>
      <w:r>
        <w:rPr>
          <w:rFonts w:hint="eastAsia" w:ascii="宋体" w:hAnsi="宋体"/>
          <w:color w:val="auto"/>
          <w:sz w:val="24"/>
          <w:szCs w:val="24"/>
          <w:u w:val="single"/>
        </w:rPr>
        <w:t xml:space="preserve">    </w:t>
      </w:r>
      <w:r>
        <w:rPr>
          <w:rFonts w:hint="eastAsia" w:ascii="宋体" w:hAnsi="宋体"/>
          <w:color w:val="auto"/>
          <w:sz w:val="24"/>
          <w:szCs w:val="24"/>
        </w:rPr>
        <w:t>月</w:t>
      </w:r>
      <w:r>
        <w:rPr>
          <w:rFonts w:hint="eastAsia" w:ascii="宋体" w:hAnsi="宋体"/>
          <w:color w:val="auto"/>
          <w:sz w:val="24"/>
          <w:szCs w:val="24"/>
          <w:u w:val="single"/>
        </w:rPr>
        <w:t xml:space="preserve">    </w:t>
      </w:r>
      <w:r>
        <w:rPr>
          <w:rFonts w:hint="eastAsia" w:ascii="宋体" w:hAnsi="宋体"/>
          <w:color w:val="auto"/>
          <w:sz w:val="24"/>
          <w:szCs w:val="24"/>
        </w:rPr>
        <w:t>日</w:t>
      </w:r>
    </w:p>
    <w:p>
      <w:pPr>
        <w:spacing w:line="360" w:lineRule="auto"/>
        <w:rPr>
          <w:rFonts w:ascii="宋体" w:hAnsi="宋体"/>
          <w:bCs/>
          <w:color w:val="auto"/>
          <w:sz w:val="24"/>
          <w:szCs w:val="24"/>
        </w:rPr>
      </w:pPr>
      <w:r>
        <w:rPr>
          <w:rFonts w:hint="eastAsia" w:ascii="宋体" w:hAnsi="宋体"/>
          <w:bCs/>
          <w:color w:val="auto"/>
          <w:sz w:val="24"/>
          <w:szCs w:val="24"/>
        </w:rPr>
        <w:t>附：投标人授权代表身份证件扫描件或复印件</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7" w:hRule="atLeast"/>
          <w:jc w:val="center"/>
        </w:trPr>
        <w:tc>
          <w:tcPr>
            <w:tcW w:w="9322" w:type="dxa"/>
            <w:vAlign w:val="center"/>
          </w:tcPr>
          <w:p>
            <w:pPr>
              <w:spacing w:line="360" w:lineRule="auto"/>
              <w:jc w:val="center"/>
              <w:rPr>
                <w:rFonts w:ascii="宋体" w:hAnsi="宋体"/>
                <w:bCs/>
                <w:color w:val="auto"/>
                <w:sz w:val="24"/>
                <w:szCs w:val="24"/>
              </w:rPr>
            </w:pPr>
            <w:r>
              <w:rPr>
                <w:rFonts w:hint="eastAsia" w:ascii="宋体" w:hAnsi="宋体"/>
                <w:bCs/>
                <w:color w:val="auto"/>
                <w:sz w:val="24"/>
                <w:szCs w:val="24"/>
              </w:rPr>
              <w:t>身份证件（正反面）扫描件或粘贴复印件</w:t>
            </w:r>
          </w:p>
        </w:tc>
      </w:tr>
    </w:tbl>
    <w:p>
      <w:pPr>
        <w:spacing w:line="360" w:lineRule="auto"/>
        <w:ind w:left="480" w:hanging="480" w:hangingChars="200"/>
        <w:rPr>
          <w:rFonts w:ascii="宋体" w:hAnsi="宋体"/>
          <w:bCs/>
          <w:color w:val="auto"/>
          <w:sz w:val="24"/>
          <w:szCs w:val="24"/>
        </w:rPr>
      </w:pPr>
    </w:p>
    <w:p>
      <w:pPr>
        <w:ind w:left="482" w:hanging="480" w:hangingChars="200"/>
        <w:rPr>
          <w:rFonts w:ascii="宋体" w:hAnsi="宋体"/>
          <w:b/>
          <w:bCs/>
          <w:color w:val="auto"/>
          <w:sz w:val="24"/>
          <w:szCs w:val="24"/>
        </w:rPr>
      </w:pPr>
      <w:r>
        <w:rPr>
          <w:rFonts w:hint="eastAsia" w:ascii="宋体" w:hAnsi="宋体"/>
          <w:b/>
          <w:bCs/>
          <w:color w:val="auto"/>
          <w:sz w:val="24"/>
          <w:szCs w:val="24"/>
        </w:rPr>
        <w:t>备注：</w:t>
      </w:r>
    </w:p>
    <w:p>
      <w:pPr>
        <w:ind w:firstLine="480" w:firstLineChars="200"/>
        <w:rPr>
          <w:rFonts w:ascii="宋体" w:hAnsi="宋体"/>
          <w:bCs/>
          <w:color w:val="auto"/>
          <w:sz w:val="24"/>
          <w:szCs w:val="24"/>
        </w:rPr>
      </w:pPr>
      <w:r>
        <w:rPr>
          <w:rFonts w:hint="eastAsia" w:ascii="宋体" w:hAnsi="宋体"/>
          <w:bCs/>
          <w:color w:val="auto"/>
          <w:sz w:val="24"/>
          <w:szCs w:val="24"/>
        </w:rPr>
        <w:t>1.投标人可使用上述格式，也可使用政府行政管理部门统一印制的法定代表人授权委托书格式。</w:t>
      </w:r>
    </w:p>
    <w:p>
      <w:pPr>
        <w:ind w:firstLine="480" w:firstLineChars="200"/>
        <w:rPr>
          <w:rFonts w:ascii="宋体" w:hAnsi="宋体"/>
          <w:bCs/>
          <w:color w:val="auto"/>
          <w:sz w:val="24"/>
          <w:szCs w:val="24"/>
        </w:rPr>
      </w:pPr>
      <w:r>
        <w:rPr>
          <w:rFonts w:hint="eastAsia" w:ascii="宋体" w:hAnsi="宋体"/>
          <w:bCs/>
          <w:color w:val="auto"/>
          <w:sz w:val="24"/>
          <w:szCs w:val="24"/>
        </w:rPr>
        <w:t>2.联合体投标的，《联合协议》可以作为联合体全部成员的法定代表人授权委托书，不需再重复提供。</w:t>
      </w:r>
    </w:p>
    <w:p>
      <w:pPr>
        <w:ind w:firstLine="480" w:firstLineChars="200"/>
        <w:rPr>
          <w:rFonts w:ascii="宋体" w:hAnsi="宋体"/>
          <w:bCs/>
          <w:color w:val="auto"/>
          <w:sz w:val="24"/>
          <w:szCs w:val="24"/>
        </w:rPr>
      </w:pPr>
      <w:r>
        <w:rPr>
          <w:rFonts w:hint="eastAsia" w:ascii="宋体" w:hAnsi="宋体"/>
          <w:bCs/>
          <w:color w:val="auto"/>
          <w:sz w:val="24"/>
          <w:szCs w:val="24"/>
        </w:rPr>
        <w:t>3.</w:t>
      </w:r>
      <w:r>
        <w:rPr>
          <w:rFonts w:hint="eastAsia" w:ascii="宋体" w:hAnsi="宋体"/>
          <w:color w:val="auto"/>
          <w:sz w:val="24"/>
          <w:szCs w:val="24"/>
        </w:rPr>
        <w:t>以合同分包形式投标的，《分包意向协议》可以作为投标供应商的法定代表人授权委托书，不需再重复提供。</w:t>
      </w:r>
    </w:p>
    <w:p>
      <w:pPr>
        <w:spacing w:line="360" w:lineRule="auto"/>
        <w:ind w:left="480" w:hanging="480" w:hangingChars="200"/>
        <w:rPr>
          <w:rFonts w:ascii="宋体" w:hAnsi="宋体"/>
          <w:bCs/>
          <w:color w:val="auto"/>
          <w:sz w:val="24"/>
          <w:szCs w:val="24"/>
        </w:rPr>
      </w:pPr>
    </w:p>
    <w:p>
      <w:pPr>
        <w:spacing w:line="360" w:lineRule="auto"/>
        <w:rPr>
          <w:rFonts w:ascii="宋体" w:hAnsi="宋体"/>
          <w:color w:val="auto"/>
          <w:sz w:val="24"/>
          <w:szCs w:val="24"/>
        </w:rPr>
      </w:pPr>
    </w:p>
    <w:p>
      <w:pPr>
        <w:pStyle w:val="5"/>
        <w:numPr>
          <w:ilvl w:val="0"/>
          <w:numId w:val="99"/>
        </w:numPr>
        <w:tabs>
          <w:tab w:val="left" w:pos="945"/>
        </w:tabs>
        <w:spacing w:before="0" w:after="0" w:line="360" w:lineRule="auto"/>
        <w:ind w:left="0" w:firstLine="0"/>
        <w:rPr>
          <w:color w:val="auto"/>
          <w:sz w:val="28"/>
          <w:szCs w:val="28"/>
        </w:rPr>
      </w:pPr>
      <w:bookmarkStart w:id="407" w:name="_Toc50460250"/>
      <w:bookmarkStart w:id="408" w:name="_Toc54335479"/>
      <w:bookmarkStart w:id="409" w:name="_Toc12892"/>
      <w:r>
        <w:rPr>
          <w:rFonts w:hint="eastAsia"/>
          <w:color w:val="auto"/>
          <w:sz w:val="28"/>
          <w:szCs w:val="28"/>
        </w:rPr>
        <w:t>供应商综合概况</w:t>
      </w:r>
      <w:bookmarkEnd w:id="407"/>
      <w:bookmarkEnd w:id="408"/>
      <w:bookmarkEnd w:id="409"/>
    </w:p>
    <w:p>
      <w:pPr>
        <w:autoSpaceDE w:val="0"/>
        <w:autoSpaceDN w:val="0"/>
        <w:spacing w:line="360" w:lineRule="auto"/>
        <w:jc w:val="center"/>
        <w:rPr>
          <w:rFonts w:ascii="宋体" w:hAnsi="宋体"/>
          <w:b/>
          <w:color w:val="auto"/>
          <w:sz w:val="32"/>
          <w:szCs w:val="32"/>
        </w:rPr>
      </w:pPr>
      <w:r>
        <w:rPr>
          <w:rFonts w:hint="eastAsia" w:ascii="宋体" w:hAnsi="宋体"/>
          <w:b/>
          <w:color w:val="auto"/>
          <w:sz w:val="32"/>
          <w:szCs w:val="32"/>
        </w:rPr>
        <w:t>供应商基本情况表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4"/>
        <w:gridCol w:w="1701"/>
        <w:gridCol w:w="783"/>
        <w:gridCol w:w="635"/>
        <w:gridCol w:w="985"/>
        <w:gridCol w:w="716"/>
        <w:gridCol w:w="976"/>
        <w:gridCol w:w="356"/>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Align w:val="center"/>
          </w:tcPr>
          <w:p>
            <w:pPr>
              <w:tabs>
                <w:tab w:val="left" w:pos="540"/>
              </w:tabs>
              <w:ind w:left="-132" w:leftChars="-64" w:right="-105" w:rightChars="-50" w:hanging="2"/>
              <w:jc w:val="center"/>
              <w:rPr>
                <w:rFonts w:ascii="宋体" w:hAnsi="宋体"/>
                <w:color w:val="auto"/>
                <w:sz w:val="24"/>
                <w:szCs w:val="24"/>
              </w:rPr>
            </w:pPr>
            <w:r>
              <w:rPr>
                <w:rFonts w:hint="eastAsia" w:ascii="宋体" w:hAnsi="宋体"/>
                <w:color w:val="auto"/>
                <w:sz w:val="24"/>
                <w:szCs w:val="24"/>
              </w:rPr>
              <w:t>单位名称</w:t>
            </w:r>
          </w:p>
        </w:tc>
        <w:tc>
          <w:tcPr>
            <w:tcW w:w="7801" w:type="dxa"/>
            <w:gridSpan w:val="8"/>
            <w:vAlign w:val="center"/>
          </w:tcPr>
          <w:p>
            <w:pPr>
              <w:tabs>
                <w:tab w:val="left" w:pos="540"/>
              </w:tabs>
              <w:ind w:left="-132" w:leftChars="-64" w:right="-105" w:rightChars="-50" w:hanging="2"/>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Align w:val="center"/>
          </w:tcPr>
          <w:p>
            <w:pPr>
              <w:tabs>
                <w:tab w:val="left" w:pos="540"/>
              </w:tabs>
              <w:ind w:left="-132" w:leftChars="-64" w:right="-105" w:rightChars="-50" w:hanging="2"/>
              <w:jc w:val="center"/>
              <w:rPr>
                <w:rFonts w:ascii="宋体" w:hAnsi="宋体"/>
                <w:color w:val="auto"/>
                <w:sz w:val="24"/>
                <w:szCs w:val="24"/>
              </w:rPr>
            </w:pPr>
            <w:r>
              <w:rPr>
                <w:rFonts w:hint="eastAsia" w:ascii="宋体" w:hAnsi="宋体"/>
                <w:color w:val="auto"/>
                <w:sz w:val="24"/>
                <w:szCs w:val="24"/>
              </w:rPr>
              <w:t>注册地址</w:t>
            </w:r>
          </w:p>
        </w:tc>
        <w:tc>
          <w:tcPr>
            <w:tcW w:w="7801" w:type="dxa"/>
            <w:gridSpan w:val="8"/>
            <w:vAlign w:val="center"/>
          </w:tcPr>
          <w:p>
            <w:pPr>
              <w:tabs>
                <w:tab w:val="left" w:pos="540"/>
              </w:tabs>
              <w:ind w:left="-132" w:leftChars="-64" w:right="-105" w:rightChars="-50" w:hanging="2"/>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Align w:val="center"/>
          </w:tcPr>
          <w:p>
            <w:pPr>
              <w:tabs>
                <w:tab w:val="left" w:pos="540"/>
              </w:tabs>
              <w:ind w:left="-132" w:leftChars="-64" w:right="-105" w:rightChars="-50" w:hanging="2"/>
              <w:jc w:val="center"/>
              <w:rPr>
                <w:rFonts w:ascii="宋体" w:hAnsi="宋体"/>
                <w:color w:val="auto"/>
                <w:sz w:val="24"/>
                <w:szCs w:val="24"/>
              </w:rPr>
            </w:pPr>
            <w:r>
              <w:rPr>
                <w:rFonts w:hint="eastAsia" w:ascii="宋体" w:hAnsi="宋体"/>
                <w:color w:val="auto"/>
                <w:sz w:val="24"/>
                <w:szCs w:val="24"/>
              </w:rPr>
              <w:t>办公地址</w:t>
            </w:r>
          </w:p>
        </w:tc>
        <w:tc>
          <w:tcPr>
            <w:tcW w:w="7801" w:type="dxa"/>
            <w:gridSpan w:val="8"/>
            <w:vAlign w:val="center"/>
          </w:tcPr>
          <w:p>
            <w:pPr>
              <w:tabs>
                <w:tab w:val="left" w:pos="540"/>
              </w:tabs>
              <w:ind w:left="-132" w:leftChars="-64" w:right="-105" w:rightChars="-50" w:hanging="2"/>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Align w:val="center"/>
          </w:tcPr>
          <w:p>
            <w:pPr>
              <w:tabs>
                <w:tab w:val="left" w:pos="540"/>
              </w:tabs>
              <w:ind w:left="-132" w:leftChars="-64" w:right="-105" w:rightChars="-50" w:hanging="2"/>
              <w:jc w:val="center"/>
              <w:rPr>
                <w:rFonts w:ascii="宋体" w:hAnsi="宋体"/>
                <w:color w:val="auto"/>
                <w:sz w:val="24"/>
                <w:szCs w:val="24"/>
              </w:rPr>
            </w:pPr>
            <w:r>
              <w:rPr>
                <w:rFonts w:hint="eastAsia" w:ascii="宋体" w:hAnsi="宋体"/>
                <w:color w:val="auto"/>
                <w:sz w:val="24"/>
                <w:szCs w:val="24"/>
              </w:rPr>
              <w:t>统一信用代码</w:t>
            </w:r>
          </w:p>
        </w:tc>
        <w:tc>
          <w:tcPr>
            <w:tcW w:w="7801" w:type="dxa"/>
            <w:gridSpan w:val="8"/>
            <w:vAlign w:val="center"/>
          </w:tcPr>
          <w:p>
            <w:pPr>
              <w:tabs>
                <w:tab w:val="left" w:pos="540"/>
              </w:tabs>
              <w:ind w:left="-132" w:leftChars="-64" w:right="-105" w:rightChars="-50" w:hanging="2"/>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Align w:val="center"/>
          </w:tcPr>
          <w:p>
            <w:pPr>
              <w:tabs>
                <w:tab w:val="left" w:pos="540"/>
              </w:tabs>
              <w:ind w:left="-132" w:leftChars="-64" w:right="-105" w:rightChars="-50" w:hanging="2"/>
              <w:jc w:val="center"/>
              <w:rPr>
                <w:rFonts w:ascii="宋体" w:hAnsi="宋体"/>
                <w:color w:val="auto"/>
                <w:sz w:val="24"/>
                <w:szCs w:val="24"/>
              </w:rPr>
            </w:pPr>
            <w:r>
              <w:rPr>
                <w:rFonts w:hint="eastAsia" w:ascii="宋体" w:hAnsi="宋体"/>
                <w:color w:val="auto"/>
                <w:sz w:val="24"/>
                <w:szCs w:val="24"/>
              </w:rPr>
              <w:t>法人（负责人）</w:t>
            </w:r>
          </w:p>
        </w:tc>
        <w:tc>
          <w:tcPr>
            <w:tcW w:w="1701" w:type="dxa"/>
            <w:vAlign w:val="center"/>
          </w:tcPr>
          <w:p>
            <w:pPr>
              <w:tabs>
                <w:tab w:val="left" w:pos="540"/>
              </w:tabs>
              <w:ind w:left="-132" w:leftChars="-64" w:right="-105" w:rightChars="-50" w:hanging="2"/>
              <w:jc w:val="center"/>
              <w:rPr>
                <w:rFonts w:ascii="宋体" w:hAnsi="宋体"/>
                <w:color w:val="auto"/>
                <w:sz w:val="24"/>
                <w:szCs w:val="24"/>
              </w:rPr>
            </w:pPr>
          </w:p>
        </w:tc>
        <w:tc>
          <w:tcPr>
            <w:tcW w:w="1418" w:type="dxa"/>
            <w:gridSpan w:val="2"/>
            <w:vAlign w:val="center"/>
          </w:tcPr>
          <w:p>
            <w:pPr>
              <w:tabs>
                <w:tab w:val="left" w:pos="540"/>
              </w:tabs>
              <w:ind w:left="-132" w:leftChars="-64" w:right="-105" w:rightChars="-50" w:hanging="2"/>
              <w:jc w:val="center"/>
              <w:rPr>
                <w:rFonts w:ascii="宋体" w:hAnsi="宋体"/>
                <w:color w:val="auto"/>
                <w:sz w:val="24"/>
                <w:szCs w:val="24"/>
              </w:rPr>
            </w:pPr>
            <w:r>
              <w:rPr>
                <w:rFonts w:hint="eastAsia" w:ascii="宋体" w:hAnsi="宋体"/>
                <w:color w:val="auto"/>
                <w:sz w:val="24"/>
                <w:szCs w:val="24"/>
              </w:rPr>
              <w:t>职务</w:t>
            </w:r>
          </w:p>
        </w:tc>
        <w:tc>
          <w:tcPr>
            <w:tcW w:w="1701" w:type="dxa"/>
            <w:gridSpan w:val="2"/>
            <w:vAlign w:val="center"/>
          </w:tcPr>
          <w:p>
            <w:pPr>
              <w:tabs>
                <w:tab w:val="left" w:pos="540"/>
              </w:tabs>
              <w:ind w:left="-132" w:leftChars="-64" w:right="-105" w:rightChars="-50" w:hanging="2"/>
              <w:jc w:val="center"/>
              <w:rPr>
                <w:rFonts w:ascii="宋体" w:hAnsi="宋体"/>
                <w:color w:val="auto"/>
                <w:sz w:val="24"/>
                <w:szCs w:val="24"/>
              </w:rPr>
            </w:pPr>
          </w:p>
        </w:tc>
        <w:tc>
          <w:tcPr>
            <w:tcW w:w="1332" w:type="dxa"/>
            <w:gridSpan w:val="2"/>
            <w:vAlign w:val="center"/>
          </w:tcPr>
          <w:p>
            <w:pPr>
              <w:tabs>
                <w:tab w:val="left" w:pos="540"/>
              </w:tabs>
              <w:ind w:left="-132" w:leftChars="-64" w:right="-105" w:rightChars="-50" w:hanging="2"/>
              <w:jc w:val="center"/>
              <w:rPr>
                <w:rFonts w:ascii="宋体" w:hAnsi="宋体"/>
                <w:color w:val="auto"/>
                <w:sz w:val="24"/>
                <w:szCs w:val="24"/>
              </w:rPr>
            </w:pPr>
            <w:r>
              <w:rPr>
                <w:rFonts w:hint="eastAsia" w:ascii="宋体" w:hAnsi="宋体"/>
                <w:color w:val="auto"/>
                <w:sz w:val="24"/>
                <w:szCs w:val="24"/>
              </w:rPr>
              <w:t>电话</w:t>
            </w:r>
          </w:p>
        </w:tc>
        <w:tc>
          <w:tcPr>
            <w:tcW w:w="1649" w:type="dxa"/>
          </w:tcPr>
          <w:p>
            <w:pPr>
              <w:tabs>
                <w:tab w:val="left" w:pos="540"/>
              </w:tabs>
              <w:ind w:left="-132" w:leftChars="-64" w:right="-105" w:rightChars="-50" w:hanging="2"/>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Align w:val="center"/>
          </w:tcPr>
          <w:p>
            <w:pPr>
              <w:tabs>
                <w:tab w:val="left" w:pos="540"/>
              </w:tabs>
              <w:ind w:left="-132" w:leftChars="-64" w:right="-105" w:rightChars="-50" w:hanging="2"/>
              <w:jc w:val="center"/>
              <w:rPr>
                <w:rFonts w:ascii="宋体" w:hAnsi="宋体"/>
                <w:color w:val="auto"/>
                <w:sz w:val="24"/>
                <w:szCs w:val="24"/>
              </w:rPr>
            </w:pPr>
            <w:r>
              <w:rPr>
                <w:rFonts w:hint="eastAsia" w:ascii="宋体" w:hAnsi="宋体"/>
                <w:color w:val="auto"/>
                <w:sz w:val="24"/>
                <w:szCs w:val="24"/>
              </w:rPr>
              <w:t>联系人</w:t>
            </w:r>
          </w:p>
        </w:tc>
        <w:tc>
          <w:tcPr>
            <w:tcW w:w="1701" w:type="dxa"/>
            <w:vAlign w:val="center"/>
          </w:tcPr>
          <w:p>
            <w:pPr>
              <w:tabs>
                <w:tab w:val="left" w:pos="540"/>
              </w:tabs>
              <w:ind w:left="-132" w:leftChars="-64" w:right="-105" w:rightChars="-50" w:hanging="2"/>
              <w:jc w:val="center"/>
              <w:rPr>
                <w:rFonts w:ascii="宋体" w:hAnsi="宋体"/>
                <w:color w:val="auto"/>
                <w:sz w:val="24"/>
                <w:szCs w:val="24"/>
              </w:rPr>
            </w:pPr>
          </w:p>
        </w:tc>
        <w:tc>
          <w:tcPr>
            <w:tcW w:w="1418" w:type="dxa"/>
            <w:gridSpan w:val="2"/>
            <w:vAlign w:val="center"/>
          </w:tcPr>
          <w:p>
            <w:pPr>
              <w:tabs>
                <w:tab w:val="left" w:pos="540"/>
              </w:tabs>
              <w:ind w:left="-132" w:leftChars="-64" w:right="-105" w:rightChars="-50" w:hanging="2"/>
              <w:jc w:val="center"/>
              <w:rPr>
                <w:rFonts w:ascii="宋体" w:hAnsi="宋体"/>
                <w:color w:val="auto"/>
                <w:sz w:val="24"/>
                <w:szCs w:val="24"/>
              </w:rPr>
            </w:pPr>
            <w:r>
              <w:rPr>
                <w:rFonts w:hint="eastAsia" w:ascii="宋体" w:hAnsi="宋体"/>
                <w:color w:val="auto"/>
                <w:sz w:val="24"/>
                <w:szCs w:val="24"/>
              </w:rPr>
              <w:t>职务</w:t>
            </w:r>
          </w:p>
        </w:tc>
        <w:tc>
          <w:tcPr>
            <w:tcW w:w="1701" w:type="dxa"/>
            <w:gridSpan w:val="2"/>
            <w:vAlign w:val="center"/>
          </w:tcPr>
          <w:p>
            <w:pPr>
              <w:tabs>
                <w:tab w:val="left" w:pos="540"/>
              </w:tabs>
              <w:ind w:left="-132" w:leftChars="-64" w:right="-105" w:rightChars="-50" w:hanging="2"/>
              <w:jc w:val="center"/>
              <w:rPr>
                <w:rFonts w:ascii="宋体" w:hAnsi="宋体"/>
                <w:color w:val="auto"/>
                <w:sz w:val="24"/>
                <w:szCs w:val="24"/>
              </w:rPr>
            </w:pPr>
          </w:p>
        </w:tc>
        <w:tc>
          <w:tcPr>
            <w:tcW w:w="1332" w:type="dxa"/>
            <w:gridSpan w:val="2"/>
            <w:vAlign w:val="center"/>
          </w:tcPr>
          <w:p>
            <w:pPr>
              <w:tabs>
                <w:tab w:val="left" w:pos="540"/>
              </w:tabs>
              <w:ind w:left="-132" w:leftChars="-64" w:right="-105" w:rightChars="-50" w:hanging="2"/>
              <w:jc w:val="center"/>
              <w:rPr>
                <w:rFonts w:ascii="宋体" w:hAnsi="宋体"/>
                <w:color w:val="auto"/>
                <w:sz w:val="24"/>
                <w:szCs w:val="24"/>
              </w:rPr>
            </w:pPr>
            <w:r>
              <w:rPr>
                <w:rFonts w:hint="eastAsia" w:ascii="宋体" w:hAnsi="宋体"/>
                <w:color w:val="auto"/>
                <w:sz w:val="24"/>
                <w:szCs w:val="24"/>
              </w:rPr>
              <w:t>电话</w:t>
            </w:r>
          </w:p>
        </w:tc>
        <w:tc>
          <w:tcPr>
            <w:tcW w:w="1649" w:type="dxa"/>
          </w:tcPr>
          <w:p>
            <w:pPr>
              <w:tabs>
                <w:tab w:val="left" w:pos="540"/>
              </w:tabs>
              <w:ind w:left="-132" w:leftChars="-64" w:right="-105" w:rightChars="-50" w:hanging="2"/>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Align w:val="center"/>
          </w:tcPr>
          <w:p>
            <w:pPr>
              <w:tabs>
                <w:tab w:val="left" w:pos="540"/>
              </w:tabs>
              <w:ind w:left="-132" w:leftChars="-64" w:right="-105" w:rightChars="-50" w:hanging="2"/>
              <w:jc w:val="center"/>
              <w:rPr>
                <w:rFonts w:ascii="宋体" w:hAnsi="宋体"/>
                <w:color w:val="auto"/>
                <w:sz w:val="24"/>
                <w:szCs w:val="24"/>
              </w:rPr>
            </w:pPr>
            <w:r>
              <w:rPr>
                <w:rFonts w:hint="eastAsia" w:ascii="宋体" w:hAnsi="宋体"/>
                <w:color w:val="auto"/>
                <w:sz w:val="24"/>
                <w:szCs w:val="24"/>
              </w:rPr>
              <w:t>邮编</w:t>
            </w:r>
          </w:p>
        </w:tc>
        <w:tc>
          <w:tcPr>
            <w:tcW w:w="1701" w:type="dxa"/>
            <w:vAlign w:val="center"/>
          </w:tcPr>
          <w:p>
            <w:pPr>
              <w:tabs>
                <w:tab w:val="left" w:pos="540"/>
              </w:tabs>
              <w:ind w:left="-132" w:leftChars="-64" w:right="-105" w:rightChars="-50" w:hanging="2"/>
              <w:jc w:val="center"/>
              <w:rPr>
                <w:rFonts w:ascii="宋体" w:hAnsi="宋体"/>
                <w:color w:val="auto"/>
                <w:sz w:val="24"/>
                <w:szCs w:val="24"/>
              </w:rPr>
            </w:pPr>
          </w:p>
        </w:tc>
        <w:tc>
          <w:tcPr>
            <w:tcW w:w="1418" w:type="dxa"/>
            <w:gridSpan w:val="2"/>
            <w:vAlign w:val="center"/>
          </w:tcPr>
          <w:p>
            <w:pPr>
              <w:tabs>
                <w:tab w:val="left" w:pos="540"/>
              </w:tabs>
              <w:ind w:left="-132" w:leftChars="-64" w:right="-105" w:rightChars="-50" w:hanging="2"/>
              <w:jc w:val="center"/>
              <w:rPr>
                <w:rFonts w:ascii="宋体" w:hAnsi="宋体"/>
                <w:color w:val="auto"/>
                <w:sz w:val="24"/>
                <w:szCs w:val="24"/>
              </w:rPr>
            </w:pPr>
            <w:r>
              <w:rPr>
                <w:rFonts w:hint="eastAsia" w:ascii="宋体" w:hAnsi="宋体"/>
                <w:color w:val="auto"/>
                <w:sz w:val="24"/>
                <w:szCs w:val="24"/>
              </w:rPr>
              <w:t>电话</w:t>
            </w:r>
          </w:p>
        </w:tc>
        <w:tc>
          <w:tcPr>
            <w:tcW w:w="1701" w:type="dxa"/>
            <w:gridSpan w:val="2"/>
            <w:vAlign w:val="center"/>
          </w:tcPr>
          <w:p>
            <w:pPr>
              <w:tabs>
                <w:tab w:val="left" w:pos="540"/>
              </w:tabs>
              <w:ind w:left="-132" w:leftChars="-64" w:right="-105" w:rightChars="-50" w:hanging="2"/>
              <w:jc w:val="center"/>
              <w:rPr>
                <w:rFonts w:ascii="宋体" w:hAnsi="宋体"/>
                <w:color w:val="auto"/>
                <w:sz w:val="24"/>
                <w:szCs w:val="24"/>
              </w:rPr>
            </w:pPr>
          </w:p>
        </w:tc>
        <w:tc>
          <w:tcPr>
            <w:tcW w:w="1332" w:type="dxa"/>
            <w:gridSpan w:val="2"/>
            <w:vAlign w:val="center"/>
          </w:tcPr>
          <w:p>
            <w:pPr>
              <w:tabs>
                <w:tab w:val="left" w:pos="540"/>
              </w:tabs>
              <w:ind w:left="-132" w:leftChars="-64" w:right="-105" w:rightChars="-50" w:hanging="2"/>
              <w:jc w:val="center"/>
              <w:rPr>
                <w:rFonts w:ascii="宋体" w:hAnsi="宋体"/>
                <w:color w:val="auto"/>
                <w:sz w:val="24"/>
                <w:szCs w:val="24"/>
              </w:rPr>
            </w:pPr>
            <w:r>
              <w:rPr>
                <w:rFonts w:hint="eastAsia" w:ascii="宋体" w:hAnsi="宋体"/>
                <w:color w:val="auto"/>
                <w:sz w:val="24"/>
                <w:szCs w:val="24"/>
              </w:rPr>
              <w:t>传真</w:t>
            </w:r>
          </w:p>
        </w:tc>
        <w:tc>
          <w:tcPr>
            <w:tcW w:w="1649" w:type="dxa"/>
          </w:tcPr>
          <w:p>
            <w:pPr>
              <w:tabs>
                <w:tab w:val="left" w:pos="540"/>
              </w:tabs>
              <w:ind w:left="-132" w:leftChars="-64" w:right="-105" w:rightChars="-50" w:hanging="2"/>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Align w:val="center"/>
          </w:tcPr>
          <w:p>
            <w:pPr>
              <w:tabs>
                <w:tab w:val="left" w:pos="540"/>
              </w:tabs>
              <w:ind w:left="-132" w:leftChars="-64" w:right="-105" w:rightChars="-50" w:hanging="2"/>
              <w:jc w:val="center"/>
              <w:rPr>
                <w:rFonts w:ascii="宋体" w:hAnsi="宋体"/>
                <w:color w:val="auto"/>
                <w:sz w:val="24"/>
                <w:szCs w:val="24"/>
              </w:rPr>
            </w:pPr>
            <w:r>
              <w:rPr>
                <w:rFonts w:hint="eastAsia" w:ascii="宋体" w:hAnsi="宋体"/>
                <w:color w:val="auto"/>
                <w:sz w:val="24"/>
                <w:szCs w:val="24"/>
              </w:rPr>
              <w:t>单位简介及机构设置</w:t>
            </w:r>
          </w:p>
        </w:tc>
        <w:tc>
          <w:tcPr>
            <w:tcW w:w="7801" w:type="dxa"/>
            <w:gridSpan w:val="8"/>
          </w:tcPr>
          <w:p>
            <w:pPr>
              <w:tabs>
                <w:tab w:val="left" w:pos="540"/>
              </w:tabs>
              <w:ind w:left="-132" w:leftChars="-64" w:right="-105" w:rightChars="-50" w:hanging="2"/>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Align w:val="center"/>
          </w:tcPr>
          <w:p>
            <w:pPr>
              <w:tabs>
                <w:tab w:val="left" w:pos="540"/>
              </w:tabs>
              <w:ind w:left="-134" w:leftChars="-64" w:right="-105" w:rightChars="-50"/>
              <w:jc w:val="center"/>
              <w:rPr>
                <w:rFonts w:ascii="宋体" w:hAnsi="宋体"/>
                <w:color w:val="auto"/>
                <w:sz w:val="24"/>
                <w:szCs w:val="24"/>
              </w:rPr>
            </w:pPr>
            <w:r>
              <w:rPr>
                <w:rFonts w:hint="eastAsia" w:ascii="宋体" w:hAnsi="宋体"/>
                <w:color w:val="auto"/>
                <w:sz w:val="24"/>
                <w:szCs w:val="24"/>
              </w:rPr>
              <w:t>投标人关联企业情况</w:t>
            </w:r>
          </w:p>
          <w:p>
            <w:pPr>
              <w:tabs>
                <w:tab w:val="left" w:pos="540"/>
              </w:tabs>
              <w:ind w:left="-134" w:leftChars="-64" w:right="-105" w:rightChars="-50"/>
              <w:jc w:val="center"/>
              <w:rPr>
                <w:rFonts w:ascii="宋体" w:hAnsi="宋体"/>
                <w:color w:val="auto"/>
                <w:sz w:val="24"/>
                <w:szCs w:val="24"/>
              </w:rPr>
            </w:pPr>
            <w:r>
              <w:rPr>
                <w:rFonts w:hint="eastAsia" w:ascii="宋体" w:hAnsi="宋体"/>
                <w:color w:val="auto"/>
                <w:sz w:val="24"/>
                <w:szCs w:val="24"/>
              </w:rPr>
              <w:t>（包括但不限于与投标人法定代表人（单位负责人）为同一人或者存在直接控股、管理关系的不同单位）</w:t>
            </w:r>
          </w:p>
        </w:tc>
        <w:tc>
          <w:tcPr>
            <w:tcW w:w="7801" w:type="dxa"/>
            <w:gridSpan w:val="8"/>
          </w:tcPr>
          <w:p>
            <w:pPr>
              <w:tabs>
                <w:tab w:val="left" w:pos="540"/>
              </w:tabs>
              <w:ind w:left="-132" w:leftChars="-64" w:right="-105" w:rightChars="-50" w:hanging="2"/>
              <w:jc w:val="center"/>
              <w:rPr>
                <w:rFonts w:ascii="宋体" w:hAnsi="宋体"/>
                <w:color w:val="auto"/>
                <w:sz w:val="24"/>
                <w:szCs w:val="24"/>
              </w:rPr>
            </w:pPr>
          </w:p>
          <w:p>
            <w:pPr>
              <w:tabs>
                <w:tab w:val="left" w:pos="540"/>
              </w:tabs>
              <w:ind w:left="-132" w:leftChars="-64" w:right="-105" w:rightChars="-50" w:hanging="2"/>
              <w:jc w:val="center"/>
              <w:rPr>
                <w:rFonts w:ascii="宋体" w:hAnsi="宋体"/>
                <w:color w:val="auto"/>
                <w:sz w:val="24"/>
                <w:szCs w:val="24"/>
              </w:rPr>
            </w:pPr>
          </w:p>
          <w:p>
            <w:pPr>
              <w:tabs>
                <w:tab w:val="left" w:pos="540"/>
              </w:tabs>
              <w:ind w:left="-132" w:leftChars="-64" w:right="-105" w:rightChars="-50" w:hanging="2"/>
              <w:jc w:val="center"/>
              <w:rPr>
                <w:rFonts w:ascii="宋体" w:hAnsi="宋体"/>
                <w:color w:val="auto"/>
                <w:sz w:val="24"/>
                <w:szCs w:val="24"/>
              </w:rPr>
            </w:pPr>
            <w:r>
              <w:rPr>
                <w:rFonts w:hint="eastAsia" w:ascii="宋体" w:hAnsi="宋体"/>
                <w:color w:val="auto"/>
                <w:sz w:val="24"/>
                <w:szCs w:val="24"/>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Align w:val="center"/>
          </w:tcPr>
          <w:p>
            <w:pPr>
              <w:tabs>
                <w:tab w:val="left" w:pos="540"/>
              </w:tabs>
              <w:ind w:left="-132" w:leftChars="-64" w:right="-105" w:rightChars="-50" w:hanging="2"/>
              <w:jc w:val="center"/>
              <w:rPr>
                <w:rFonts w:ascii="宋体" w:hAnsi="宋体"/>
                <w:color w:val="auto"/>
                <w:sz w:val="24"/>
                <w:szCs w:val="24"/>
              </w:rPr>
            </w:pPr>
            <w:r>
              <w:rPr>
                <w:rFonts w:hint="eastAsia" w:ascii="宋体" w:hAnsi="宋体"/>
                <w:color w:val="auto"/>
                <w:sz w:val="24"/>
                <w:szCs w:val="24"/>
              </w:rPr>
              <w:t>主营业务介绍</w:t>
            </w:r>
          </w:p>
        </w:tc>
        <w:tc>
          <w:tcPr>
            <w:tcW w:w="7801" w:type="dxa"/>
            <w:gridSpan w:val="8"/>
          </w:tcPr>
          <w:p>
            <w:pPr>
              <w:tabs>
                <w:tab w:val="left" w:pos="540"/>
              </w:tabs>
              <w:ind w:left="-132" w:leftChars="-64" w:right="-105" w:rightChars="-50" w:hanging="2"/>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Merge w:val="restart"/>
            <w:vAlign w:val="center"/>
          </w:tcPr>
          <w:p>
            <w:pPr>
              <w:tabs>
                <w:tab w:val="left" w:pos="540"/>
              </w:tabs>
              <w:ind w:left="-132" w:leftChars="-64" w:right="-105" w:rightChars="-50" w:hanging="2"/>
              <w:jc w:val="center"/>
              <w:rPr>
                <w:rFonts w:ascii="宋体" w:hAnsi="宋体"/>
                <w:color w:val="auto"/>
                <w:sz w:val="24"/>
                <w:szCs w:val="24"/>
              </w:rPr>
            </w:pPr>
            <w:r>
              <w:rPr>
                <w:rFonts w:hint="eastAsia" w:ascii="宋体" w:hAnsi="宋体"/>
                <w:color w:val="auto"/>
                <w:sz w:val="24"/>
                <w:szCs w:val="24"/>
              </w:rPr>
              <w:t>单位概况</w:t>
            </w:r>
          </w:p>
        </w:tc>
        <w:tc>
          <w:tcPr>
            <w:tcW w:w="1701" w:type="dxa"/>
          </w:tcPr>
          <w:p>
            <w:pPr>
              <w:tabs>
                <w:tab w:val="left" w:pos="540"/>
              </w:tabs>
              <w:ind w:left="-132" w:leftChars="-64" w:right="-105" w:rightChars="-50" w:hanging="2"/>
              <w:jc w:val="center"/>
              <w:rPr>
                <w:rFonts w:ascii="宋体" w:hAnsi="宋体"/>
                <w:color w:val="auto"/>
                <w:sz w:val="24"/>
                <w:szCs w:val="24"/>
              </w:rPr>
            </w:pPr>
            <w:r>
              <w:rPr>
                <w:rFonts w:hint="eastAsia" w:ascii="宋体" w:hAnsi="宋体"/>
                <w:color w:val="auto"/>
                <w:sz w:val="24"/>
                <w:szCs w:val="24"/>
              </w:rPr>
              <w:t>注册资本</w:t>
            </w:r>
          </w:p>
        </w:tc>
        <w:tc>
          <w:tcPr>
            <w:tcW w:w="783" w:type="dxa"/>
          </w:tcPr>
          <w:p>
            <w:pPr>
              <w:tabs>
                <w:tab w:val="left" w:pos="540"/>
              </w:tabs>
              <w:ind w:left="-132" w:leftChars="-64" w:right="-105" w:rightChars="-50" w:hanging="2"/>
              <w:jc w:val="right"/>
              <w:rPr>
                <w:rFonts w:ascii="宋体" w:hAnsi="宋体"/>
                <w:color w:val="auto"/>
                <w:sz w:val="24"/>
                <w:szCs w:val="24"/>
              </w:rPr>
            </w:pPr>
            <w:r>
              <w:rPr>
                <w:rFonts w:hint="eastAsia" w:ascii="宋体" w:hAnsi="宋体"/>
                <w:color w:val="auto"/>
                <w:sz w:val="24"/>
                <w:szCs w:val="24"/>
              </w:rPr>
              <w:t>万元</w:t>
            </w:r>
          </w:p>
        </w:tc>
        <w:tc>
          <w:tcPr>
            <w:tcW w:w="1620" w:type="dxa"/>
            <w:gridSpan w:val="2"/>
          </w:tcPr>
          <w:p>
            <w:pPr>
              <w:tabs>
                <w:tab w:val="left" w:pos="540"/>
              </w:tabs>
              <w:ind w:left="-132" w:leftChars="-64" w:right="-105" w:rightChars="-50" w:hanging="2"/>
              <w:jc w:val="center"/>
              <w:rPr>
                <w:rFonts w:ascii="宋体" w:hAnsi="宋体"/>
                <w:color w:val="auto"/>
                <w:sz w:val="24"/>
                <w:szCs w:val="24"/>
              </w:rPr>
            </w:pPr>
            <w:r>
              <w:rPr>
                <w:rFonts w:hint="eastAsia" w:ascii="宋体" w:hAnsi="宋体"/>
                <w:color w:val="auto"/>
                <w:sz w:val="24"/>
                <w:szCs w:val="24"/>
              </w:rPr>
              <w:t>办公场所面积</w:t>
            </w:r>
          </w:p>
        </w:tc>
        <w:tc>
          <w:tcPr>
            <w:tcW w:w="3697" w:type="dxa"/>
            <w:gridSpan w:val="4"/>
          </w:tcPr>
          <w:p>
            <w:pPr>
              <w:tabs>
                <w:tab w:val="left" w:pos="540"/>
              </w:tabs>
              <w:ind w:left="-134" w:leftChars="-64" w:right="-105" w:rightChars="-50" w:firstLine="3480" w:firstLineChars="1450"/>
              <w:jc w:val="center"/>
              <w:rPr>
                <w:rFonts w:ascii="宋体" w:hAnsi="宋体"/>
                <w:color w:val="auto"/>
                <w:sz w:val="24"/>
                <w:szCs w:val="24"/>
              </w:rPr>
            </w:pPr>
            <w:r>
              <w:rPr>
                <w:rFonts w:hint="eastAsia" w:ascii="宋体" w:hAnsi="宋体"/>
                <w:color w:val="auto"/>
                <w:sz w:val="24"/>
                <w:szCs w:val="24"/>
              </w:rPr>
              <w:t>M</w:t>
            </w:r>
            <w:r>
              <w:rPr>
                <w:rFonts w:hint="eastAsia" w:ascii="宋体" w:hAnsi="宋体"/>
                <w:color w:val="auto"/>
                <w:sz w:val="24"/>
                <w:szCs w:val="24"/>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Merge w:val="continue"/>
            <w:vAlign w:val="center"/>
          </w:tcPr>
          <w:p>
            <w:pPr>
              <w:tabs>
                <w:tab w:val="left" w:pos="540"/>
              </w:tabs>
              <w:ind w:left="-132" w:leftChars="-64" w:right="-105" w:rightChars="-50" w:hanging="2"/>
              <w:jc w:val="center"/>
              <w:rPr>
                <w:rFonts w:ascii="宋体" w:hAnsi="宋体"/>
                <w:color w:val="auto"/>
                <w:sz w:val="24"/>
                <w:szCs w:val="24"/>
              </w:rPr>
            </w:pPr>
          </w:p>
        </w:tc>
        <w:tc>
          <w:tcPr>
            <w:tcW w:w="1701" w:type="dxa"/>
          </w:tcPr>
          <w:p>
            <w:pPr>
              <w:tabs>
                <w:tab w:val="left" w:pos="540"/>
              </w:tabs>
              <w:ind w:left="-132" w:leftChars="-64" w:right="-105" w:rightChars="-50" w:hanging="2"/>
              <w:jc w:val="center"/>
              <w:rPr>
                <w:rFonts w:ascii="宋体" w:hAnsi="宋体"/>
                <w:color w:val="auto"/>
                <w:sz w:val="24"/>
                <w:szCs w:val="24"/>
              </w:rPr>
            </w:pPr>
            <w:r>
              <w:rPr>
                <w:rFonts w:hint="eastAsia" w:ascii="宋体" w:hAnsi="宋体"/>
                <w:color w:val="auto"/>
                <w:sz w:val="24"/>
                <w:szCs w:val="24"/>
              </w:rPr>
              <w:t>职工总数</w:t>
            </w:r>
          </w:p>
        </w:tc>
        <w:tc>
          <w:tcPr>
            <w:tcW w:w="6100" w:type="dxa"/>
            <w:gridSpan w:val="7"/>
          </w:tcPr>
          <w:p>
            <w:pPr>
              <w:tabs>
                <w:tab w:val="left" w:pos="540"/>
              </w:tabs>
              <w:ind w:left="-134" w:leftChars="-64" w:right="-105" w:rightChars="-50"/>
              <w:jc w:val="center"/>
              <w:rPr>
                <w:rFonts w:ascii="宋体" w:hAnsi="宋体"/>
                <w:color w:val="auto"/>
                <w:sz w:val="24"/>
                <w:szCs w:val="24"/>
              </w:rPr>
            </w:pPr>
            <w:r>
              <w:rPr>
                <w:rFonts w:hint="eastAsia" w:ascii="宋体" w:hAnsi="宋体"/>
                <w:color w:val="auto"/>
                <w:sz w:val="24"/>
                <w:szCs w:val="24"/>
              </w:rPr>
              <w:t>共</w:t>
            </w:r>
            <w:r>
              <w:rPr>
                <w:rFonts w:hint="eastAsia" w:ascii="宋体" w:hAnsi="宋体"/>
                <w:color w:val="auto"/>
                <w:sz w:val="24"/>
                <w:szCs w:val="24"/>
                <w:u w:val="single"/>
              </w:rPr>
              <w:t xml:space="preserve">  </w:t>
            </w:r>
            <w:r>
              <w:rPr>
                <w:rFonts w:hint="eastAsia" w:ascii="宋体" w:hAnsi="宋体"/>
                <w:color w:val="auto"/>
                <w:sz w:val="24"/>
                <w:szCs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Merge w:val="restart"/>
            <w:vAlign w:val="center"/>
          </w:tcPr>
          <w:p>
            <w:pPr>
              <w:tabs>
                <w:tab w:val="left" w:pos="540"/>
              </w:tabs>
              <w:ind w:left="-132" w:leftChars="-64" w:right="-105" w:rightChars="-50" w:hanging="2"/>
              <w:jc w:val="center"/>
              <w:rPr>
                <w:rFonts w:ascii="宋体" w:hAnsi="宋体"/>
                <w:color w:val="auto"/>
                <w:sz w:val="24"/>
                <w:szCs w:val="24"/>
              </w:rPr>
            </w:pPr>
            <w:r>
              <w:rPr>
                <w:rFonts w:hint="eastAsia" w:ascii="宋体" w:hAnsi="宋体"/>
                <w:color w:val="auto"/>
                <w:sz w:val="24"/>
                <w:szCs w:val="24"/>
              </w:rPr>
              <w:t>分支机构情况</w:t>
            </w:r>
          </w:p>
          <w:p>
            <w:pPr>
              <w:tabs>
                <w:tab w:val="left" w:pos="540"/>
              </w:tabs>
              <w:ind w:left="-132" w:leftChars="-64" w:right="-105" w:rightChars="-50" w:hanging="2"/>
              <w:jc w:val="center"/>
              <w:rPr>
                <w:rFonts w:ascii="宋体" w:hAnsi="宋体"/>
                <w:color w:val="auto"/>
                <w:sz w:val="24"/>
                <w:szCs w:val="24"/>
              </w:rPr>
            </w:pPr>
            <w:r>
              <w:rPr>
                <w:rFonts w:hint="eastAsia" w:ascii="宋体" w:hAnsi="宋体"/>
                <w:color w:val="auto"/>
                <w:sz w:val="24"/>
                <w:szCs w:val="24"/>
              </w:rPr>
              <w:t>（如有）</w:t>
            </w:r>
          </w:p>
        </w:tc>
        <w:tc>
          <w:tcPr>
            <w:tcW w:w="1701" w:type="dxa"/>
          </w:tcPr>
          <w:p>
            <w:pPr>
              <w:tabs>
                <w:tab w:val="left" w:pos="540"/>
              </w:tabs>
              <w:ind w:left="-132" w:leftChars="-64" w:right="-105" w:rightChars="-50" w:hanging="2"/>
              <w:jc w:val="center"/>
              <w:rPr>
                <w:rFonts w:ascii="宋体" w:hAnsi="宋体"/>
                <w:color w:val="auto"/>
                <w:sz w:val="24"/>
                <w:szCs w:val="24"/>
              </w:rPr>
            </w:pPr>
            <w:r>
              <w:rPr>
                <w:rFonts w:hint="eastAsia" w:ascii="宋体" w:hAnsi="宋体"/>
                <w:color w:val="auto"/>
                <w:sz w:val="24"/>
                <w:szCs w:val="24"/>
              </w:rPr>
              <w:t>机构名称</w:t>
            </w:r>
          </w:p>
        </w:tc>
        <w:tc>
          <w:tcPr>
            <w:tcW w:w="3119" w:type="dxa"/>
            <w:gridSpan w:val="4"/>
          </w:tcPr>
          <w:p>
            <w:pPr>
              <w:tabs>
                <w:tab w:val="left" w:pos="540"/>
              </w:tabs>
              <w:ind w:left="-132" w:leftChars="-64" w:right="-105" w:rightChars="-50" w:hanging="2"/>
              <w:jc w:val="center"/>
              <w:rPr>
                <w:rFonts w:ascii="宋体" w:hAnsi="宋体"/>
                <w:color w:val="auto"/>
                <w:sz w:val="24"/>
                <w:szCs w:val="24"/>
              </w:rPr>
            </w:pPr>
          </w:p>
        </w:tc>
        <w:tc>
          <w:tcPr>
            <w:tcW w:w="976" w:type="dxa"/>
          </w:tcPr>
          <w:p>
            <w:pPr>
              <w:tabs>
                <w:tab w:val="left" w:pos="540"/>
              </w:tabs>
              <w:ind w:left="-132" w:leftChars="-64" w:right="-105" w:rightChars="-50" w:hanging="2"/>
              <w:jc w:val="center"/>
              <w:rPr>
                <w:rFonts w:ascii="宋体" w:hAnsi="宋体"/>
                <w:color w:val="auto"/>
                <w:sz w:val="24"/>
                <w:szCs w:val="24"/>
              </w:rPr>
            </w:pPr>
            <w:r>
              <w:rPr>
                <w:rFonts w:hint="eastAsia" w:ascii="宋体" w:hAnsi="宋体"/>
                <w:color w:val="auto"/>
                <w:sz w:val="24"/>
                <w:szCs w:val="24"/>
              </w:rPr>
              <w:t>地址</w:t>
            </w:r>
          </w:p>
        </w:tc>
        <w:tc>
          <w:tcPr>
            <w:tcW w:w="2005" w:type="dxa"/>
            <w:gridSpan w:val="2"/>
          </w:tcPr>
          <w:p>
            <w:pPr>
              <w:tabs>
                <w:tab w:val="left" w:pos="540"/>
              </w:tabs>
              <w:ind w:left="-132" w:leftChars="-64" w:right="-105" w:rightChars="-50" w:hanging="2"/>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Merge w:val="continue"/>
            <w:vAlign w:val="center"/>
          </w:tcPr>
          <w:p>
            <w:pPr>
              <w:tabs>
                <w:tab w:val="left" w:pos="540"/>
              </w:tabs>
              <w:ind w:left="-132" w:leftChars="-64" w:right="-105" w:rightChars="-50" w:hanging="2"/>
              <w:jc w:val="center"/>
              <w:rPr>
                <w:rFonts w:ascii="宋体" w:hAnsi="宋体"/>
                <w:color w:val="auto"/>
                <w:sz w:val="24"/>
                <w:szCs w:val="24"/>
              </w:rPr>
            </w:pPr>
          </w:p>
        </w:tc>
        <w:tc>
          <w:tcPr>
            <w:tcW w:w="1701" w:type="dxa"/>
          </w:tcPr>
          <w:p>
            <w:pPr>
              <w:tabs>
                <w:tab w:val="left" w:pos="540"/>
              </w:tabs>
              <w:ind w:left="-132" w:leftChars="-64" w:right="-105" w:rightChars="-50" w:hanging="2"/>
              <w:jc w:val="center"/>
              <w:rPr>
                <w:rFonts w:ascii="宋体" w:hAnsi="宋体"/>
                <w:color w:val="auto"/>
                <w:sz w:val="24"/>
                <w:szCs w:val="24"/>
              </w:rPr>
            </w:pPr>
            <w:r>
              <w:rPr>
                <w:rFonts w:hint="eastAsia" w:ascii="宋体" w:hAnsi="宋体"/>
                <w:color w:val="auto"/>
                <w:sz w:val="24"/>
                <w:szCs w:val="24"/>
              </w:rPr>
              <w:t>负责人</w:t>
            </w:r>
          </w:p>
        </w:tc>
        <w:tc>
          <w:tcPr>
            <w:tcW w:w="3119" w:type="dxa"/>
            <w:gridSpan w:val="4"/>
          </w:tcPr>
          <w:p>
            <w:pPr>
              <w:tabs>
                <w:tab w:val="left" w:pos="540"/>
              </w:tabs>
              <w:ind w:left="-132" w:leftChars="-64" w:right="-105" w:rightChars="-50" w:hanging="2"/>
              <w:jc w:val="center"/>
              <w:rPr>
                <w:rFonts w:ascii="宋体" w:hAnsi="宋体"/>
                <w:color w:val="auto"/>
                <w:sz w:val="24"/>
                <w:szCs w:val="24"/>
              </w:rPr>
            </w:pPr>
          </w:p>
        </w:tc>
        <w:tc>
          <w:tcPr>
            <w:tcW w:w="976" w:type="dxa"/>
          </w:tcPr>
          <w:p>
            <w:pPr>
              <w:tabs>
                <w:tab w:val="left" w:pos="540"/>
              </w:tabs>
              <w:ind w:left="-132" w:leftChars="-64" w:right="-105" w:rightChars="-50" w:hanging="2"/>
              <w:jc w:val="center"/>
              <w:rPr>
                <w:rFonts w:ascii="宋体" w:hAnsi="宋体"/>
                <w:color w:val="auto"/>
                <w:sz w:val="24"/>
                <w:szCs w:val="24"/>
              </w:rPr>
            </w:pPr>
            <w:r>
              <w:rPr>
                <w:rFonts w:hint="eastAsia" w:ascii="宋体" w:hAnsi="宋体"/>
                <w:color w:val="auto"/>
                <w:sz w:val="24"/>
                <w:szCs w:val="24"/>
              </w:rPr>
              <w:t>电话</w:t>
            </w:r>
          </w:p>
        </w:tc>
        <w:tc>
          <w:tcPr>
            <w:tcW w:w="2005" w:type="dxa"/>
            <w:gridSpan w:val="2"/>
          </w:tcPr>
          <w:p>
            <w:pPr>
              <w:tabs>
                <w:tab w:val="left" w:pos="540"/>
              </w:tabs>
              <w:ind w:left="-132" w:leftChars="-64" w:right="-105" w:rightChars="-50" w:hanging="2"/>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Merge w:val="restart"/>
            <w:vAlign w:val="center"/>
          </w:tcPr>
          <w:p>
            <w:pPr>
              <w:tabs>
                <w:tab w:val="left" w:pos="540"/>
              </w:tabs>
              <w:ind w:left="-132" w:leftChars="-64" w:right="-105" w:rightChars="-50" w:hanging="2"/>
              <w:jc w:val="center"/>
              <w:rPr>
                <w:rFonts w:ascii="宋体" w:hAnsi="宋体"/>
                <w:color w:val="auto"/>
                <w:sz w:val="24"/>
                <w:szCs w:val="24"/>
              </w:rPr>
            </w:pPr>
            <w:r>
              <w:rPr>
                <w:rFonts w:hint="eastAsia" w:ascii="宋体" w:hAnsi="宋体"/>
                <w:color w:val="auto"/>
                <w:sz w:val="24"/>
                <w:szCs w:val="24"/>
              </w:rPr>
              <w:t>售后服务机构</w:t>
            </w:r>
          </w:p>
          <w:p>
            <w:pPr>
              <w:tabs>
                <w:tab w:val="left" w:pos="540"/>
              </w:tabs>
              <w:ind w:left="-132" w:leftChars="-64" w:right="-105" w:rightChars="-50" w:hanging="2"/>
              <w:jc w:val="center"/>
              <w:rPr>
                <w:rFonts w:ascii="宋体" w:hAnsi="宋体"/>
                <w:color w:val="auto"/>
                <w:sz w:val="24"/>
                <w:szCs w:val="24"/>
              </w:rPr>
            </w:pPr>
            <w:r>
              <w:rPr>
                <w:rFonts w:hint="eastAsia" w:ascii="宋体" w:hAnsi="宋体"/>
                <w:color w:val="auto"/>
                <w:sz w:val="24"/>
                <w:szCs w:val="24"/>
              </w:rPr>
              <w:t>（如有）</w:t>
            </w:r>
          </w:p>
        </w:tc>
        <w:tc>
          <w:tcPr>
            <w:tcW w:w="1701" w:type="dxa"/>
          </w:tcPr>
          <w:p>
            <w:pPr>
              <w:tabs>
                <w:tab w:val="left" w:pos="540"/>
              </w:tabs>
              <w:ind w:left="-132" w:leftChars="-64" w:right="-105" w:rightChars="-50" w:hanging="2"/>
              <w:jc w:val="center"/>
              <w:rPr>
                <w:rFonts w:ascii="宋体" w:hAnsi="宋体"/>
                <w:color w:val="auto"/>
                <w:sz w:val="24"/>
                <w:szCs w:val="24"/>
              </w:rPr>
            </w:pPr>
            <w:r>
              <w:rPr>
                <w:rFonts w:hint="eastAsia" w:ascii="宋体" w:hAnsi="宋体"/>
                <w:color w:val="auto"/>
                <w:sz w:val="24"/>
                <w:szCs w:val="24"/>
              </w:rPr>
              <w:t>机构名称</w:t>
            </w:r>
          </w:p>
        </w:tc>
        <w:tc>
          <w:tcPr>
            <w:tcW w:w="3119" w:type="dxa"/>
            <w:gridSpan w:val="4"/>
          </w:tcPr>
          <w:p>
            <w:pPr>
              <w:tabs>
                <w:tab w:val="left" w:pos="540"/>
              </w:tabs>
              <w:ind w:left="-132" w:leftChars="-64" w:right="-105" w:rightChars="-50" w:hanging="2"/>
              <w:jc w:val="center"/>
              <w:rPr>
                <w:rFonts w:ascii="宋体" w:hAnsi="宋体"/>
                <w:color w:val="auto"/>
                <w:sz w:val="24"/>
                <w:szCs w:val="24"/>
              </w:rPr>
            </w:pPr>
          </w:p>
        </w:tc>
        <w:tc>
          <w:tcPr>
            <w:tcW w:w="976" w:type="dxa"/>
          </w:tcPr>
          <w:p>
            <w:pPr>
              <w:tabs>
                <w:tab w:val="left" w:pos="540"/>
              </w:tabs>
              <w:ind w:left="-132" w:leftChars="-64" w:right="-105" w:rightChars="-50" w:hanging="2"/>
              <w:jc w:val="center"/>
              <w:rPr>
                <w:rFonts w:ascii="宋体" w:hAnsi="宋体"/>
                <w:color w:val="auto"/>
                <w:sz w:val="24"/>
                <w:szCs w:val="24"/>
              </w:rPr>
            </w:pPr>
            <w:r>
              <w:rPr>
                <w:rFonts w:hint="eastAsia" w:ascii="宋体" w:hAnsi="宋体"/>
                <w:color w:val="auto"/>
                <w:sz w:val="24"/>
                <w:szCs w:val="24"/>
              </w:rPr>
              <w:t>地址</w:t>
            </w:r>
          </w:p>
        </w:tc>
        <w:tc>
          <w:tcPr>
            <w:tcW w:w="2005" w:type="dxa"/>
            <w:gridSpan w:val="2"/>
          </w:tcPr>
          <w:p>
            <w:pPr>
              <w:tabs>
                <w:tab w:val="left" w:pos="540"/>
              </w:tabs>
              <w:ind w:left="-132" w:leftChars="-64" w:right="-105" w:rightChars="-50" w:hanging="2"/>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Merge w:val="continue"/>
          </w:tcPr>
          <w:p>
            <w:pPr>
              <w:tabs>
                <w:tab w:val="left" w:pos="540"/>
              </w:tabs>
              <w:ind w:left="-132" w:leftChars="-64" w:right="-105" w:rightChars="-50" w:hanging="2"/>
              <w:jc w:val="center"/>
              <w:rPr>
                <w:rFonts w:ascii="宋体" w:hAnsi="宋体"/>
                <w:color w:val="auto"/>
                <w:sz w:val="24"/>
                <w:szCs w:val="24"/>
              </w:rPr>
            </w:pPr>
          </w:p>
        </w:tc>
        <w:tc>
          <w:tcPr>
            <w:tcW w:w="1701" w:type="dxa"/>
          </w:tcPr>
          <w:p>
            <w:pPr>
              <w:tabs>
                <w:tab w:val="left" w:pos="540"/>
              </w:tabs>
              <w:ind w:left="-132" w:leftChars="-64" w:right="-105" w:rightChars="-50" w:hanging="2"/>
              <w:jc w:val="center"/>
              <w:rPr>
                <w:rFonts w:ascii="宋体" w:hAnsi="宋体"/>
                <w:color w:val="auto"/>
                <w:sz w:val="24"/>
                <w:szCs w:val="24"/>
              </w:rPr>
            </w:pPr>
            <w:r>
              <w:rPr>
                <w:rFonts w:hint="eastAsia" w:ascii="宋体" w:hAnsi="宋体"/>
                <w:color w:val="auto"/>
                <w:sz w:val="24"/>
                <w:szCs w:val="24"/>
              </w:rPr>
              <w:t>负责人</w:t>
            </w:r>
          </w:p>
        </w:tc>
        <w:tc>
          <w:tcPr>
            <w:tcW w:w="3119" w:type="dxa"/>
            <w:gridSpan w:val="4"/>
          </w:tcPr>
          <w:p>
            <w:pPr>
              <w:tabs>
                <w:tab w:val="left" w:pos="540"/>
              </w:tabs>
              <w:ind w:left="-132" w:leftChars="-64" w:right="-105" w:rightChars="-50" w:hanging="2"/>
              <w:jc w:val="center"/>
              <w:rPr>
                <w:rFonts w:ascii="宋体" w:hAnsi="宋体"/>
                <w:color w:val="auto"/>
                <w:sz w:val="24"/>
                <w:szCs w:val="24"/>
              </w:rPr>
            </w:pPr>
          </w:p>
        </w:tc>
        <w:tc>
          <w:tcPr>
            <w:tcW w:w="976" w:type="dxa"/>
          </w:tcPr>
          <w:p>
            <w:pPr>
              <w:tabs>
                <w:tab w:val="left" w:pos="540"/>
              </w:tabs>
              <w:ind w:left="-132" w:leftChars="-64" w:right="-105" w:rightChars="-50" w:hanging="2"/>
              <w:jc w:val="center"/>
              <w:rPr>
                <w:rFonts w:ascii="宋体" w:hAnsi="宋体"/>
                <w:color w:val="auto"/>
                <w:sz w:val="24"/>
                <w:szCs w:val="24"/>
              </w:rPr>
            </w:pPr>
            <w:r>
              <w:rPr>
                <w:rFonts w:hint="eastAsia" w:ascii="宋体" w:hAnsi="宋体"/>
                <w:color w:val="auto"/>
                <w:sz w:val="24"/>
                <w:szCs w:val="24"/>
              </w:rPr>
              <w:t>电话</w:t>
            </w:r>
          </w:p>
        </w:tc>
        <w:tc>
          <w:tcPr>
            <w:tcW w:w="2005" w:type="dxa"/>
            <w:gridSpan w:val="2"/>
          </w:tcPr>
          <w:p>
            <w:pPr>
              <w:tabs>
                <w:tab w:val="left" w:pos="540"/>
              </w:tabs>
              <w:ind w:left="-132" w:leftChars="-64" w:right="-105" w:rightChars="-50" w:hanging="2"/>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4" w:type="dxa"/>
            <w:vMerge w:val="continue"/>
          </w:tcPr>
          <w:p>
            <w:pPr>
              <w:tabs>
                <w:tab w:val="left" w:pos="540"/>
              </w:tabs>
              <w:ind w:left="-132" w:leftChars="-64" w:right="-105" w:rightChars="-50" w:hanging="2"/>
              <w:jc w:val="center"/>
              <w:rPr>
                <w:rFonts w:ascii="宋体" w:hAnsi="宋体"/>
                <w:color w:val="auto"/>
                <w:sz w:val="24"/>
                <w:szCs w:val="24"/>
              </w:rPr>
            </w:pPr>
          </w:p>
        </w:tc>
        <w:tc>
          <w:tcPr>
            <w:tcW w:w="1701" w:type="dxa"/>
          </w:tcPr>
          <w:p>
            <w:pPr>
              <w:tabs>
                <w:tab w:val="left" w:pos="540"/>
              </w:tabs>
              <w:ind w:left="-132" w:leftChars="-64" w:right="-105" w:rightChars="-50" w:hanging="2"/>
              <w:jc w:val="center"/>
              <w:rPr>
                <w:rFonts w:ascii="宋体" w:hAnsi="宋体"/>
                <w:color w:val="auto"/>
                <w:sz w:val="24"/>
                <w:szCs w:val="24"/>
              </w:rPr>
            </w:pPr>
            <w:r>
              <w:rPr>
                <w:rFonts w:hint="eastAsia" w:ascii="宋体" w:hAnsi="宋体"/>
                <w:color w:val="auto"/>
                <w:sz w:val="24"/>
                <w:szCs w:val="24"/>
              </w:rPr>
              <w:t>服务机构性质</w:t>
            </w:r>
          </w:p>
        </w:tc>
        <w:tc>
          <w:tcPr>
            <w:tcW w:w="3119" w:type="dxa"/>
            <w:gridSpan w:val="4"/>
          </w:tcPr>
          <w:p>
            <w:pPr>
              <w:tabs>
                <w:tab w:val="left" w:pos="540"/>
              </w:tabs>
              <w:ind w:left="-132" w:leftChars="-64" w:right="-105" w:rightChars="-50" w:hanging="2"/>
              <w:jc w:val="center"/>
              <w:rPr>
                <w:rFonts w:ascii="宋体" w:hAnsi="宋体"/>
                <w:color w:val="auto"/>
                <w:sz w:val="24"/>
                <w:szCs w:val="24"/>
              </w:rPr>
            </w:pPr>
            <w:r>
              <w:rPr>
                <w:rFonts w:hint="eastAsia" w:ascii="宋体" w:hAnsi="宋体"/>
                <w:color w:val="auto"/>
                <w:sz w:val="24"/>
                <w:szCs w:val="24"/>
              </w:rPr>
              <w:t>供应商自有/委托/合作</w:t>
            </w:r>
          </w:p>
        </w:tc>
        <w:tc>
          <w:tcPr>
            <w:tcW w:w="976" w:type="dxa"/>
          </w:tcPr>
          <w:p>
            <w:pPr>
              <w:tabs>
                <w:tab w:val="left" w:pos="540"/>
              </w:tabs>
              <w:ind w:left="-132" w:leftChars="-64" w:right="-105" w:rightChars="-50" w:hanging="2"/>
              <w:jc w:val="center"/>
              <w:rPr>
                <w:rFonts w:ascii="宋体" w:hAnsi="宋体"/>
                <w:color w:val="auto"/>
                <w:sz w:val="24"/>
                <w:szCs w:val="24"/>
              </w:rPr>
            </w:pPr>
          </w:p>
        </w:tc>
        <w:tc>
          <w:tcPr>
            <w:tcW w:w="2005" w:type="dxa"/>
            <w:gridSpan w:val="2"/>
          </w:tcPr>
          <w:p>
            <w:pPr>
              <w:tabs>
                <w:tab w:val="left" w:pos="540"/>
              </w:tabs>
              <w:ind w:left="-132" w:leftChars="-64" w:right="-105" w:rightChars="-50" w:hanging="2"/>
              <w:jc w:val="center"/>
              <w:rPr>
                <w:rFonts w:ascii="宋体" w:hAnsi="宋体"/>
                <w:color w:val="auto"/>
                <w:sz w:val="24"/>
                <w:szCs w:val="24"/>
              </w:rPr>
            </w:pPr>
          </w:p>
        </w:tc>
      </w:tr>
    </w:tbl>
    <w:p>
      <w:pPr>
        <w:autoSpaceDE w:val="0"/>
        <w:autoSpaceDN w:val="0"/>
        <w:spacing w:line="360" w:lineRule="auto"/>
        <w:jc w:val="center"/>
        <w:rPr>
          <w:rFonts w:ascii="宋体" w:hAnsi="宋体"/>
          <w:b/>
          <w:color w:val="auto"/>
          <w:sz w:val="32"/>
          <w:szCs w:val="32"/>
        </w:rPr>
      </w:pPr>
    </w:p>
    <w:p>
      <w:pPr>
        <w:autoSpaceDE w:val="0"/>
        <w:autoSpaceDN w:val="0"/>
        <w:spacing w:line="360" w:lineRule="auto"/>
        <w:jc w:val="center"/>
        <w:rPr>
          <w:rFonts w:ascii="宋体" w:hAnsi="宋体"/>
          <w:b/>
          <w:color w:val="auto"/>
          <w:sz w:val="32"/>
          <w:szCs w:val="32"/>
        </w:rPr>
      </w:pPr>
      <w:r>
        <w:rPr>
          <w:rFonts w:hint="eastAsia" w:ascii="宋体" w:hAnsi="宋体"/>
          <w:b/>
          <w:color w:val="auto"/>
          <w:sz w:val="32"/>
          <w:szCs w:val="32"/>
        </w:rPr>
        <w:t>主要股东或出资人信息</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499"/>
        <w:gridCol w:w="1842"/>
        <w:gridCol w:w="1700"/>
        <w:gridCol w:w="1613"/>
        <w:gridCol w:w="799"/>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trPr>
        <w:tc>
          <w:tcPr>
            <w:tcW w:w="877" w:type="dxa"/>
            <w:vAlign w:val="center"/>
          </w:tcPr>
          <w:p>
            <w:pPr>
              <w:snapToGrid w:val="0"/>
              <w:jc w:val="center"/>
              <w:rPr>
                <w:rFonts w:ascii="宋体" w:hAnsi="宋体" w:cs="Arial"/>
                <w:b/>
                <w:color w:val="auto"/>
                <w:sz w:val="24"/>
              </w:rPr>
            </w:pPr>
            <w:r>
              <w:rPr>
                <w:rFonts w:hint="eastAsia" w:ascii="宋体" w:hAnsi="宋体" w:cs="Arial"/>
                <w:b/>
                <w:color w:val="auto"/>
                <w:sz w:val="24"/>
              </w:rPr>
              <w:t>序号</w:t>
            </w:r>
          </w:p>
        </w:tc>
        <w:tc>
          <w:tcPr>
            <w:tcW w:w="1499" w:type="dxa"/>
            <w:vAlign w:val="center"/>
          </w:tcPr>
          <w:p>
            <w:pPr>
              <w:snapToGrid w:val="0"/>
              <w:jc w:val="center"/>
              <w:rPr>
                <w:rFonts w:ascii="宋体" w:hAnsi="宋体" w:cs="Arial"/>
                <w:b/>
                <w:color w:val="auto"/>
                <w:sz w:val="24"/>
              </w:rPr>
            </w:pPr>
            <w:r>
              <w:rPr>
                <w:rFonts w:hint="eastAsia" w:ascii="宋体" w:hAnsi="宋体" w:cs="Arial"/>
                <w:b/>
                <w:color w:val="auto"/>
                <w:sz w:val="24"/>
              </w:rPr>
              <w:t>股东名称(姓名</w:t>
            </w:r>
          </w:p>
          <w:p>
            <w:pPr>
              <w:snapToGrid w:val="0"/>
              <w:jc w:val="center"/>
              <w:rPr>
                <w:rFonts w:ascii="宋体" w:hAnsi="宋体" w:cs="Arial"/>
                <w:b/>
                <w:color w:val="auto"/>
                <w:sz w:val="24"/>
              </w:rPr>
            </w:pPr>
            <w:r>
              <w:rPr>
                <w:rFonts w:hint="eastAsia" w:ascii="宋体" w:hAnsi="宋体" w:cs="Arial"/>
                <w:b/>
                <w:color w:val="auto"/>
                <w:sz w:val="24"/>
              </w:rPr>
              <w:t>/股东全称)</w:t>
            </w:r>
          </w:p>
        </w:tc>
        <w:tc>
          <w:tcPr>
            <w:tcW w:w="1842" w:type="dxa"/>
          </w:tcPr>
          <w:p>
            <w:pPr>
              <w:pStyle w:val="62"/>
              <w:spacing w:before="107"/>
              <w:ind w:right="1"/>
              <w:jc w:val="center"/>
              <w:rPr>
                <w:rFonts w:hAnsi="宋体"/>
                <w:b/>
                <w:bCs/>
                <w:color w:val="auto"/>
              </w:rPr>
            </w:pPr>
            <w:r>
              <w:rPr>
                <w:rFonts w:hAnsi="宋体"/>
                <w:b/>
                <w:bCs/>
                <w:color w:val="auto"/>
              </w:rPr>
              <w:t>股东类型</w:t>
            </w:r>
          </w:p>
          <w:p>
            <w:pPr>
              <w:pStyle w:val="62"/>
              <w:spacing w:before="107"/>
              <w:ind w:right="1"/>
              <w:jc w:val="center"/>
              <w:rPr>
                <w:rFonts w:hAnsi="宋体" w:cs="Times New Roman"/>
                <w:color w:val="auto"/>
              </w:rPr>
            </w:pPr>
            <w:r>
              <w:rPr>
                <w:rFonts w:hAnsi="宋体" w:cs="Times New Roman"/>
                <w:b/>
                <w:bCs/>
                <w:color w:val="auto"/>
              </w:rPr>
              <w:t>(</w:t>
            </w:r>
            <w:r>
              <w:rPr>
                <w:rFonts w:hAnsi="宋体"/>
                <w:b/>
                <w:bCs/>
                <w:color w:val="auto"/>
              </w:rPr>
              <w:t>自然人股东</w:t>
            </w:r>
            <w:r>
              <w:rPr>
                <w:rFonts w:hAnsi="宋体" w:cs="Times New Roman"/>
                <w:b/>
                <w:bCs/>
                <w:color w:val="auto"/>
              </w:rPr>
              <w:t>/</w:t>
            </w:r>
          </w:p>
          <w:p>
            <w:pPr>
              <w:snapToGrid w:val="0"/>
              <w:jc w:val="center"/>
              <w:rPr>
                <w:rFonts w:ascii="宋体" w:hAnsi="宋体" w:cs="Arial"/>
                <w:b/>
                <w:color w:val="auto"/>
                <w:sz w:val="24"/>
              </w:rPr>
            </w:pPr>
            <w:r>
              <w:rPr>
                <w:rFonts w:ascii="宋体" w:hAnsi="宋体" w:cs="宋体"/>
                <w:b/>
                <w:bCs/>
                <w:color w:val="auto"/>
                <w:sz w:val="24"/>
                <w:szCs w:val="24"/>
              </w:rPr>
              <w:t>法人股东</w:t>
            </w:r>
            <w:r>
              <w:rPr>
                <w:rFonts w:ascii="宋体" w:hAnsi="宋体"/>
                <w:b/>
                <w:bCs/>
                <w:color w:val="auto"/>
                <w:sz w:val="24"/>
                <w:szCs w:val="24"/>
              </w:rPr>
              <w:t>)</w:t>
            </w:r>
          </w:p>
        </w:tc>
        <w:tc>
          <w:tcPr>
            <w:tcW w:w="1700" w:type="dxa"/>
            <w:vAlign w:val="center"/>
          </w:tcPr>
          <w:p>
            <w:pPr>
              <w:snapToGrid w:val="0"/>
              <w:jc w:val="center"/>
              <w:rPr>
                <w:rFonts w:ascii="宋体" w:hAnsi="宋体" w:cs="Arial"/>
                <w:b/>
                <w:color w:val="auto"/>
                <w:sz w:val="24"/>
              </w:rPr>
            </w:pPr>
            <w:r>
              <w:rPr>
                <w:rFonts w:hint="eastAsia" w:ascii="宋体" w:hAnsi="宋体" w:cs="Arial"/>
                <w:b/>
                <w:color w:val="auto"/>
                <w:sz w:val="24"/>
              </w:rPr>
              <w:t>统一社会信用代码（身份证号）</w:t>
            </w:r>
          </w:p>
        </w:tc>
        <w:tc>
          <w:tcPr>
            <w:tcW w:w="1613" w:type="dxa"/>
            <w:vAlign w:val="center"/>
          </w:tcPr>
          <w:p>
            <w:pPr>
              <w:snapToGrid w:val="0"/>
              <w:jc w:val="center"/>
              <w:rPr>
                <w:rFonts w:ascii="宋体" w:hAnsi="宋体" w:cs="Arial"/>
                <w:b/>
                <w:color w:val="auto"/>
                <w:sz w:val="24"/>
              </w:rPr>
            </w:pPr>
            <w:r>
              <w:rPr>
                <w:rFonts w:hint="eastAsia" w:ascii="宋体" w:hAnsi="宋体" w:cs="Arial"/>
                <w:b/>
                <w:color w:val="auto"/>
                <w:sz w:val="24"/>
              </w:rPr>
              <w:t>出资额</w:t>
            </w:r>
          </w:p>
          <w:p>
            <w:pPr>
              <w:snapToGrid w:val="0"/>
              <w:jc w:val="center"/>
              <w:rPr>
                <w:rFonts w:ascii="宋体" w:hAnsi="宋体" w:cs="Arial"/>
                <w:b/>
                <w:color w:val="auto"/>
                <w:sz w:val="24"/>
              </w:rPr>
            </w:pPr>
            <w:r>
              <w:rPr>
                <w:rFonts w:hint="eastAsia" w:ascii="宋体" w:hAnsi="宋体" w:cs="Arial"/>
                <w:b/>
                <w:color w:val="auto"/>
                <w:sz w:val="24"/>
              </w:rPr>
              <w:t>（人民币 万元）</w:t>
            </w:r>
          </w:p>
        </w:tc>
        <w:tc>
          <w:tcPr>
            <w:tcW w:w="799" w:type="dxa"/>
            <w:vAlign w:val="center"/>
          </w:tcPr>
          <w:p>
            <w:pPr>
              <w:snapToGrid w:val="0"/>
              <w:jc w:val="center"/>
              <w:rPr>
                <w:rFonts w:ascii="宋体" w:hAnsi="宋体" w:cs="Arial"/>
                <w:b/>
                <w:color w:val="auto"/>
                <w:sz w:val="24"/>
              </w:rPr>
            </w:pPr>
            <w:r>
              <w:rPr>
                <w:rFonts w:hint="eastAsia" w:ascii="宋体" w:hAnsi="宋体" w:cs="Arial"/>
                <w:b/>
                <w:color w:val="auto"/>
                <w:sz w:val="24"/>
              </w:rPr>
              <w:t>出资方式</w:t>
            </w:r>
          </w:p>
        </w:tc>
        <w:tc>
          <w:tcPr>
            <w:tcW w:w="1070" w:type="dxa"/>
            <w:vAlign w:val="center"/>
          </w:tcPr>
          <w:p>
            <w:pPr>
              <w:snapToGrid w:val="0"/>
              <w:jc w:val="center"/>
              <w:rPr>
                <w:rFonts w:ascii="宋体" w:hAnsi="宋体" w:cs="Arial"/>
                <w:b/>
                <w:color w:val="auto"/>
                <w:sz w:val="24"/>
              </w:rPr>
            </w:pPr>
            <w:r>
              <w:rPr>
                <w:rFonts w:hint="eastAsia" w:ascii="宋体" w:hAnsi="宋体" w:cs="Arial"/>
                <w:b/>
                <w:color w:val="auto"/>
                <w:sz w:val="24"/>
              </w:rPr>
              <w:t>占全部股份比例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77" w:type="dxa"/>
          </w:tcPr>
          <w:p>
            <w:pPr>
              <w:jc w:val="center"/>
              <w:rPr>
                <w:rFonts w:ascii="宋体" w:hAnsi="宋体" w:cs="Arial"/>
                <w:color w:val="auto"/>
                <w:sz w:val="24"/>
              </w:rPr>
            </w:pPr>
            <w:r>
              <w:rPr>
                <w:rFonts w:hint="eastAsia" w:ascii="宋体" w:hAnsi="宋体" w:cs="Arial"/>
                <w:color w:val="auto"/>
                <w:sz w:val="24"/>
              </w:rPr>
              <w:t>1</w:t>
            </w:r>
          </w:p>
        </w:tc>
        <w:tc>
          <w:tcPr>
            <w:tcW w:w="1499" w:type="dxa"/>
          </w:tcPr>
          <w:p>
            <w:pPr>
              <w:jc w:val="center"/>
              <w:rPr>
                <w:rFonts w:ascii="宋体" w:hAnsi="宋体" w:cs="Arial"/>
                <w:color w:val="auto"/>
                <w:sz w:val="24"/>
              </w:rPr>
            </w:pPr>
          </w:p>
        </w:tc>
        <w:tc>
          <w:tcPr>
            <w:tcW w:w="1842" w:type="dxa"/>
          </w:tcPr>
          <w:p>
            <w:pPr>
              <w:jc w:val="center"/>
              <w:rPr>
                <w:rFonts w:ascii="宋体" w:hAnsi="宋体" w:cs="Arial"/>
                <w:color w:val="auto"/>
                <w:sz w:val="24"/>
              </w:rPr>
            </w:pPr>
          </w:p>
        </w:tc>
        <w:tc>
          <w:tcPr>
            <w:tcW w:w="1700" w:type="dxa"/>
          </w:tcPr>
          <w:p>
            <w:pPr>
              <w:jc w:val="center"/>
              <w:rPr>
                <w:rFonts w:ascii="宋体" w:hAnsi="宋体" w:cs="Arial"/>
                <w:color w:val="auto"/>
                <w:sz w:val="24"/>
              </w:rPr>
            </w:pPr>
          </w:p>
        </w:tc>
        <w:tc>
          <w:tcPr>
            <w:tcW w:w="1613" w:type="dxa"/>
          </w:tcPr>
          <w:p>
            <w:pPr>
              <w:jc w:val="center"/>
              <w:rPr>
                <w:rFonts w:ascii="宋体" w:hAnsi="宋体" w:cs="Arial"/>
                <w:color w:val="auto"/>
                <w:sz w:val="24"/>
              </w:rPr>
            </w:pPr>
          </w:p>
        </w:tc>
        <w:tc>
          <w:tcPr>
            <w:tcW w:w="799" w:type="dxa"/>
          </w:tcPr>
          <w:p>
            <w:pPr>
              <w:jc w:val="center"/>
              <w:rPr>
                <w:rFonts w:ascii="宋体" w:hAnsi="宋体" w:cs="Arial"/>
                <w:color w:val="auto"/>
                <w:sz w:val="24"/>
              </w:rPr>
            </w:pPr>
          </w:p>
        </w:tc>
        <w:tc>
          <w:tcPr>
            <w:tcW w:w="1070" w:type="dxa"/>
          </w:tcPr>
          <w:p>
            <w:pPr>
              <w:jc w:val="center"/>
              <w:rPr>
                <w:rFonts w:ascii="宋体" w:hAnsi="宋体" w:cs="Arial"/>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77" w:type="dxa"/>
          </w:tcPr>
          <w:p>
            <w:pPr>
              <w:jc w:val="center"/>
              <w:rPr>
                <w:rFonts w:ascii="宋体" w:hAnsi="宋体" w:cs="Arial"/>
                <w:color w:val="auto"/>
                <w:sz w:val="24"/>
              </w:rPr>
            </w:pPr>
            <w:r>
              <w:rPr>
                <w:rFonts w:hint="eastAsia" w:ascii="宋体" w:hAnsi="宋体" w:cs="Arial"/>
                <w:color w:val="auto"/>
                <w:sz w:val="24"/>
              </w:rPr>
              <w:t>…</w:t>
            </w:r>
          </w:p>
        </w:tc>
        <w:tc>
          <w:tcPr>
            <w:tcW w:w="1499" w:type="dxa"/>
          </w:tcPr>
          <w:p>
            <w:pPr>
              <w:jc w:val="center"/>
              <w:rPr>
                <w:rFonts w:ascii="宋体" w:hAnsi="宋体" w:cs="Arial"/>
                <w:color w:val="auto"/>
                <w:sz w:val="24"/>
              </w:rPr>
            </w:pPr>
          </w:p>
        </w:tc>
        <w:tc>
          <w:tcPr>
            <w:tcW w:w="1842" w:type="dxa"/>
          </w:tcPr>
          <w:p>
            <w:pPr>
              <w:jc w:val="center"/>
              <w:rPr>
                <w:rFonts w:ascii="宋体" w:hAnsi="宋体" w:cs="Arial"/>
                <w:color w:val="auto"/>
                <w:sz w:val="24"/>
              </w:rPr>
            </w:pPr>
          </w:p>
        </w:tc>
        <w:tc>
          <w:tcPr>
            <w:tcW w:w="1700" w:type="dxa"/>
          </w:tcPr>
          <w:p>
            <w:pPr>
              <w:jc w:val="center"/>
              <w:rPr>
                <w:rFonts w:ascii="宋体" w:hAnsi="宋体" w:cs="Arial"/>
                <w:color w:val="auto"/>
                <w:sz w:val="24"/>
              </w:rPr>
            </w:pPr>
          </w:p>
        </w:tc>
        <w:tc>
          <w:tcPr>
            <w:tcW w:w="1613" w:type="dxa"/>
          </w:tcPr>
          <w:p>
            <w:pPr>
              <w:jc w:val="center"/>
              <w:rPr>
                <w:rFonts w:ascii="宋体" w:hAnsi="宋体" w:cs="Arial"/>
                <w:color w:val="auto"/>
                <w:sz w:val="24"/>
              </w:rPr>
            </w:pPr>
          </w:p>
        </w:tc>
        <w:tc>
          <w:tcPr>
            <w:tcW w:w="799" w:type="dxa"/>
          </w:tcPr>
          <w:p>
            <w:pPr>
              <w:jc w:val="center"/>
              <w:rPr>
                <w:rFonts w:ascii="宋体" w:hAnsi="宋体" w:cs="Arial"/>
                <w:color w:val="auto"/>
                <w:sz w:val="24"/>
              </w:rPr>
            </w:pPr>
          </w:p>
        </w:tc>
        <w:tc>
          <w:tcPr>
            <w:tcW w:w="1070" w:type="dxa"/>
          </w:tcPr>
          <w:p>
            <w:pPr>
              <w:jc w:val="center"/>
              <w:rPr>
                <w:rFonts w:ascii="宋体" w:hAnsi="宋体" w:cs="Arial"/>
                <w:color w:val="auto"/>
                <w:sz w:val="24"/>
              </w:rPr>
            </w:pPr>
          </w:p>
        </w:tc>
      </w:tr>
    </w:tbl>
    <w:p>
      <w:pPr>
        <w:jc w:val="left"/>
        <w:rPr>
          <w:rFonts w:ascii="宋体" w:hAnsi="宋体" w:cs="Arial"/>
          <w:b/>
          <w:color w:val="auto"/>
          <w:sz w:val="24"/>
        </w:rPr>
      </w:pPr>
      <w:r>
        <w:rPr>
          <w:rFonts w:hint="eastAsia" w:ascii="宋体" w:hAnsi="宋体" w:cs="Arial"/>
          <w:b/>
          <w:color w:val="auto"/>
          <w:sz w:val="24"/>
        </w:rPr>
        <w:t>备注：</w:t>
      </w:r>
    </w:p>
    <w:p>
      <w:pPr>
        <w:pStyle w:val="58"/>
        <w:numPr>
          <w:ilvl w:val="0"/>
          <w:numId w:val="100"/>
        </w:numPr>
        <w:adjustRightInd w:val="0"/>
        <w:ind w:left="0" w:firstLine="480"/>
        <w:jc w:val="left"/>
        <w:textAlignment w:val="baseline"/>
        <w:rPr>
          <w:rFonts w:ascii="宋体" w:hAnsi="宋体" w:cs="Arial"/>
          <w:color w:val="auto"/>
          <w:sz w:val="24"/>
        </w:rPr>
      </w:pPr>
      <w:r>
        <w:rPr>
          <w:rFonts w:hint="eastAsia" w:ascii="宋体" w:hAnsi="宋体" w:cs="Arial"/>
          <w:color w:val="auto"/>
          <w:sz w:val="24"/>
        </w:rPr>
        <w:t>主要股东或出资人为法人的，填写法人全称及统一社会信用代码（尚未办理三证合一的填写组织机构代码）；为自然人的，填写自然人姓名和身份证号。</w:t>
      </w:r>
    </w:p>
    <w:p>
      <w:pPr>
        <w:pStyle w:val="58"/>
        <w:numPr>
          <w:ilvl w:val="0"/>
          <w:numId w:val="100"/>
        </w:numPr>
        <w:adjustRightInd w:val="0"/>
        <w:ind w:left="0" w:firstLine="480"/>
        <w:jc w:val="left"/>
        <w:textAlignment w:val="baseline"/>
        <w:rPr>
          <w:rFonts w:ascii="宋体" w:hAnsi="宋体" w:cs="Arial"/>
          <w:color w:val="auto"/>
          <w:sz w:val="24"/>
        </w:rPr>
      </w:pPr>
      <w:r>
        <w:rPr>
          <w:rFonts w:hint="eastAsia" w:ascii="宋体" w:hAnsi="宋体" w:cs="Arial"/>
          <w:color w:val="auto"/>
          <w:sz w:val="24"/>
        </w:rPr>
        <w:t>出资方式填写：货币、实物、工艺产权和非专利技术、土地使用权等。</w:t>
      </w:r>
    </w:p>
    <w:p>
      <w:pPr>
        <w:pStyle w:val="58"/>
        <w:numPr>
          <w:ilvl w:val="0"/>
          <w:numId w:val="100"/>
        </w:numPr>
        <w:adjustRightInd w:val="0"/>
        <w:ind w:left="0" w:firstLine="480"/>
        <w:jc w:val="left"/>
        <w:textAlignment w:val="baseline"/>
        <w:rPr>
          <w:rFonts w:ascii="宋体" w:hAnsi="宋体" w:cs="Arial"/>
          <w:color w:val="auto"/>
          <w:sz w:val="24"/>
        </w:rPr>
      </w:pPr>
      <w:r>
        <w:rPr>
          <w:rFonts w:hint="eastAsia" w:ascii="宋体" w:hAnsi="宋体" w:cs="Arial"/>
          <w:color w:val="auto"/>
          <w:sz w:val="24"/>
        </w:rPr>
        <w:t>供应商应按照占全部股份比例从大到小依次逐个股东填写，股东数量多于10个的，填写前10名，不足10个全部填写。</w:t>
      </w:r>
    </w:p>
    <w:p>
      <w:pPr>
        <w:pStyle w:val="58"/>
        <w:numPr>
          <w:ilvl w:val="0"/>
          <w:numId w:val="100"/>
        </w:numPr>
        <w:adjustRightInd w:val="0"/>
        <w:ind w:left="0" w:firstLine="480"/>
        <w:jc w:val="left"/>
        <w:textAlignment w:val="baseline"/>
        <w:rPr>
          <w:rFonts w:ascii="宋体" w:hAnsi="宋体" w:cs="Arial"/>
          <w:color w:val="auto"/>
          <w:sz w:val="24"/>
        </w:rPr>
      </w:pPr>
      <w:r>
        <w:rPr>
          <w:rFonts w:hint="eastAsia" w:ascii="宋体" w:hAnsi="宋体" w:cs="Arial"/>
          <w:color w:val="auto"/>
          <w:sz w:val="24"/>
        </w:rPr>
        <w:t>投标人必须如实填写股东或出资人构成情况，具体信息情况应与“国家企业信用信息公示系统” (网站： http://www.gsxt.gov.cn)查询的信息一致。</w:t>
      </w:r>
    </w:p>
    <w:p>
      <w:pPr>
        <w:autoSpaceDE w:val="0"/>
        <w:autoSpaceDN w:val="0"/>
        <w:spacing w:line="360" w:lineRule="auto"/>
        <w:jc w:val="center"/>
        <w:rPr>
          <w:rFonts w:ascii="宋体" w:hAnsi="宋体"/>
          <w:b/>
          <w:color w:val="auto"/>
          <w:sz w:val="32"/>
          <w:szCs w:val="32"/>
        </w:rPr>
      </w:pPr>
      <w:r>
        <w:rPr>
          <w:rFonts w:hint="eastAsia" w:ascii="宋体" w:hAnsi="宋体"/>
          <w:b/>
          <w:color w:val="auto"/>
          <w:sz w:val="32"/>
          <w:szCs w:val="32"/>
        </w:rPr>
        <w:t>名称变更、机构并立、分立情况（如有）</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4961"/>
        <w:gridCol w:w="127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发生日期</w:t>
            </w:r>
          </w:p>
        </w:tc>
        <w:tc>
          <w:tcPr>
            <w:tcW w:w="4961"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事项</w:t>
            </w:r>
          </w:p>
        </w:tc>
        <w:tc>
          <w:tcPr>
            <w:tcW w:w="1276"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核准机构</w:t>
            </w:r>
          </w:p>
        </w:tc>
        <w:tc>
          <w:tcPr>
            <w:tcW w:w="1134"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 xml:space="preserve">    年  月  日</w:t>
            </w:r>
          </w:p>
        </w:tc>
        <w:tc>
          <w:tcPr>
            <w:tcW w:w="4961" w:type="dxa"/>
            <w:vAlign w:val="center"/>
          </w:tcPr>
          <w:p>
            <w:pPr>
              <w:autoSpaceDE w:val="0"/>
              <w:autoSpaceDN w:val="0"/>
              <w:spacing w:line="360" w:lineRule="auto"/>
              <w:jc w:val="center"/>
              <w:rPr>
                <w:rFonts w:ascii="宋体" w:hAnsi="宋体"/>
                <w:color w:val="auto"/>
                <w:sz w:val="24"/>
                <w:szCs w:val="24"/>
              </w:rPr>
            </w:pPr>
          </w:p>
        </w:tc>
        <w:tc>
          <w:tcPr>
            <w:tcW w:w="1276" w:type="dxa"/>
            <w:vAlign w:val="center"/>
          </w:tcPr>
          <w:p>
            <w:pPr>
              <w:autoSpaceDE w:val="0"/>
              <w:autoSpaceDN w:val="0"/>
              <w:spacing w:line="360" w:lineRule="auto"/>
              <w:jc w:val="center"/>
              <w:rPr>
                <w:rFonts w:ascii="宋体" w:hAnsi="宋体"/>
                <w:color w:val="auto"/>
                <w:sz w:val="24"/>
                <w:szCs w:val="24"/>
              </w:rPr>
            </w:pPr>
          </w:p>
        </w:tc>
        <w:tc>
          <w:tcPr>
            <w:tcW w:w="1134" w:type="dxa"/>
            <w:vAlign w:val="center"/>
          </w:tcPr>
          <w:p>
            <w:pPr>
              <w:autoSpaceDE w:val="0"/>
              <w:autoSpaceDN w:val="0"/>
              <w:spacing w:line="360" w:lineRule="auto"/>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 xml:space="preserve">    年  月  日</w:t>
            </w:r>
          </w:p>
        </w:tc>
        <w:tc>
          <w:tcPr>
            <w:tcW w:w="4961" w:type="dxa"/>
            <w:vAlign w:val="center"/>
          </w:tcPr>
          <w:p>
            <w:pPr>
              <w:autoSpaceDE w:val="0"/>
              <w:autoSpaceDN w:val="0"/>
              <w:spacing w:line="360" w:lineRule="auto"/>
              <w:jc w:val="center"/>
              <w:rPr>
                <w:rFonts w:ascii="宋体" w:hAnsi="宋体"/>
                <w:color w:val="auto"/>
                <w:sz w:val="24"/>
                <w:szCs w:val="24"/>
              </w:rPr>
            </w:pPr>
          </w:p>
        </w:tc>
        <w:tc>
          <w:tcPr>
            <w:tcW w:w="1276" w:type="dxa"/>
            <w:vAlign w:val="center"/>
          </w:tcPr>
          <w:p>
            <w:pPr>
              <w:autoSpaceDE w:val="0"/>
              <w:autoSpaceDN w:val="0"/>
              <w:spacing w:line="360" w:lineRule="auto"/>
              <w:jc w:val="center"/>
              <w:rPr>
                <w:rFonts w:ascii="宋体" w:hAnsi="宋体"/>
                <w:color w:val="auto"/>
                <w:sz w:val="24"/>
                <w:szCs w:val="24"/>
              </w:rPr>
            </w:pPr>
          </w:p>
        </w:tc>
        <w:tc>
          <w:tcPr>
            <w:tcW w:w="1134" w:type="dxa"/>
            <w:vAlign w:val="center"/>
          </w:tcPr>
          <w:p>
            <w:pPr>
              <w:autoSpaceDE w:val="0"/>
              <w:autoSpaceDN w:val="0"/>
              <w:spacing w:line="360" w:lineRule="auto"/>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 xml:space="preserve">    年  月  日</w:t>
            </w:r>
          </w:p>
        </w:tc>
        <w:tc>
          <w:tcPr>
            <w:tcW w:w="4961" w:type="dxa"/>
            <w:vAlign w:val="center"/>
          </w:tcPr>
          <w:p>
            <w:pPr>
              <w:autoSpaceDE w:val="0"/>
              <w:autoSpaceDN w:val="0"/>
              <w:spacing w:line="360" w:lineRule="auto"/>
              <w:jc w:val="center"/>
              <w:rPr>
                <w:rFonts w:ascii="宋体" w:hAnsi="宋体"/>
                <w:color w:val="auto"/>
                <w:sz w:val="24"/>
                <w:szCs w:val="24"/>
              </w:rPr>
            </w:pPr>
          </w:p>
        </w:tc>
        <w:tc>
          <w:tcPr>
            <w:tcW w:w="1276" w:type="dxa"/>
            <w:vAlign w:val="center"/>
          </w:tcPr>
          <w:p>
            <w:pPr>
              <w:autoSpaceDE w:val="0"/>
              <w:autoSpaceDN w:val="0"/>
              <w:spacing w:line="360" w:lineRule="auto"/>
              <w:jc w:val="center"/>
              <w:rPr>
                <w:rFonts w:ascii="宋体" w:hAnsi="宋体"/>
                <w:color w:val="auto"/>
                <w:sz w:val="24"/>
                <w:szCs w:val="24"/>
              </w:rPr>
            </w:pPr>
          </w:p>
        </w:tc>
        <w:tc>
          <w:tcPr>
            <w:tcW w:w="1134" w:type="dxa"/>
            <w:vAlign w:val="center"/>
          </w:tcPr>
          <w:p>
            <w:pPr>
              <w:autoSpaceDE w:val="0"/>
              <w:autoSpaceDN w:val="0"/>
              <w:spacing w:line="360" w:lineRule="auto"/>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 xml:space="preserve">    年  月  日</w:t>
            </w:r>
          </w:p>
        </w:tc>
        <w:tc>
          <w:tcPr>
            <w:tcW w:w="4961" w:type="dxa"/>
            <w:vAlign w:val="center"/>
          </w:tcPr>
          <w:p>
            <w:pPr>
              <w:autoSpaceDE w:val="0"/>
              <w:autoSpaceDN w:val="0"/>
              <w:spacing w:line="360" w:lineRule="auto"/>
              <w:jc w:val="center"/>
              <w:rPr>
                <w:rFonts w:ascii="宋体" w:hAnsi="宋体"/>
                <w:color w:val="auto"/>
                <w:sz w:val="24"/>
                <w:szCs w:val="24"/>
              </w:rPr>
            </w:pPr>
          </w:p>
        </w:tc>
        <w:tc>
          <w:tcPr>
            <w:tcW w:w="1276" w:type="dxa"/>
            <w:vAlign w:val="center"/>
          </w:tcPr>
          <w:p>
            <w:pPr>
              <w:autoSpaceDE w:val="0"/>
              <w:autoSpaceDN w:val="0"/>
              <w:spacing w:line="360" w:lineRule="auto"/>
              <w:jc w:val="center"/>
              <w:rPr>
                <w:rFonts w:ascii="宋体" w:hAnsi="宋体"/>
                <w:color w:val="auto"/>
                <w:sz w:val="24"/>
                <w:szCs w:val="24"/>
              </w:rPr>
            </w:pPr>
          </w:p>
        </w:tc>
        <w:tc>
          <w:tcPr>
            <w:tcW w:w="1134" w:type="dxa"/>
            <w:vAlign w:val="center"/>
          </w:tcPr>
          <w:p>
            <w:pPr>
              <w:autoSpaceDE w:val="0"/>
              <w:autoSpaceDN w:val="0"/>
              <w:spacing w:line="360" w:lineRule="auto"/>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autoSpaceDE w:val="0"/>
              <w:autoSpaceDN w:val="0"/>
              <w:spacing w:line="360" w:lineRule="auto"/>
              <w:jc w:val="center"/>
              <w:rPr>
                <w:rFonts w:ascii="宋体" w:hAnsi="宋体"/>
                <w:color w:val="auto"/>
                <w:sz w:val="24"/>
                <w:szCs w:val="24"/>
              </w:rPr>
            </w:pPr>
            <w:r>
              <w:rPr>
                <w:rFonts w:ascii="宋体" w:hAnsi="宋体"/>
                <w:color w:val="auto"/>
                <w:sz w:val="24"/>
                <w:szCs w:val="24"/>
              </w:rPr>
              <w:t>……</w:t>
            </w:r>
          </w:p>
        </w:tc>
        <w:tc>
          <w:tcPr>
            <w:tcW w:w="4961" w:type="dxa"/>
            <w:vAlign w:val="center"/>
          </w:tcPr>
          <w:p>
            <w:pPr>
              <w:autoSpaceDE w:val="0"/>
              <w:autoSpaceDN w:val="0"/>
              <w:spacing w:line="360" w:lineRule="auto"/>
              <w:jc w:val="center"/>
              <w:rPr>
                <w:rFonts w:ascii="宋体" w:hAnsi="宋体"/>
                <w:color w:val="auto"/>
                <w:sz w:val="24"/>
                <w:szCs w:val="24"/>
              </w:rPr>
            </w:pPr>
          </w:p>
        </w:tc>
        <w:tc>
          <w:tcPr>
            <w:tcW w:w="1276" w:type="dxa"/>
            <w:vAlign w:val="center"/>
          </w:tcPr>
          <w:p>
            <w:pPr>
              <w:autoSpaceDE w:val="0"/>
              <w:autoSpaceDN w:val="0"/>
              <w:spacing w:line="360" w:lineRule="auto"/>
              <w:jc w:val="center"/>
              <w:rPr>
                <w:rFonts w:ascii="宋体" w:hAnsi="宋体"/>
                <w:color w:val="auto"/>
                <w:sz w:val="24"/>
                <w:szCs w:val="24"/>
              </w:rPr>
            </w:pPr>
          </w:p>
        </w:tc>
        <w:tc>
          <w:tcPr>
            <w:tcW w:w="1134" w:type="dxa"/>
            <w:vAlign w:val="center"/>
          </w:tcPr>
          <w:p>
            <w:pPr>
              <w:autoSpaceDE w:val="0"/>
              <w:autoSpaceDN w:val="0"/>
              <w:spacing w:line="360" w:lineRule="auto"/>
              <w:jc w:val="center"/>
              <w:rPr>
                <w:rFonts w:ascii="宋体" w:hAnsi="宋体"/>
                <w:color w:val="auto"/>
                <w:sz w:val="24"/>
                <w:szCs w:val="24"/>
              </w:rPr>
            </w:pPr>
          </w:p>
        </w:tc>
      </w:tr>
    </w:tbl>
    <w:p>
      <w:pPr>
        <w:spacing w:line="360" w:lineRule="auto"/>
        <w:rPr>
          <w:rFonts w:ascii="宋体" w:hAnsi="宋体"/>
          <w:color w:val="auto"/>
          <w:sz w:val="24"/>
          <w:szCs w:val="24"/>
        </w:rPr>
      </w:pPr>
    </w:p>
    <w:p>
      <w:pPr>
        <w:rPr>
          <w:rFonts w:ascii="宋体" w:hAnsi="宋体"/>
          <w:b/>
          <w:color w:val="auto"/>
          <w:sz w:val="24"/>
          <w:szCs w:val="24"/>
        </w:rPr>
      </w:pPr>
      <w:r>
        <w:rPr>
          <w:rFonts w:hint="eastAsia" w:ascii="宋体" w:hAnsi="宋体"/>
          <w:b/>
          <w:color w:val="auto"/>
          <w:sz w:val="24"/>
          <w:szCs w:val="24"/>
        </w:rPr>
        <w:t>备注：</w:t>
      </w:r>
    </w:p>
    <w:p>
      <w:pPr>
        <w:ind w:firstLine="480" w:firstLineChars="200"/>
        <w:rPr>
          <w:rFonts w:ascii="宋体" w:hAnsi="宋体"/>
          <w:color w:val="auto"/>
          <w:sz w:val="24"/>
          <w:szCs w:val="24"/>
        </w:rPr>
      </w:pPr>
      <w:r>
        <w:rPr>
          <w:rFonts w:hint="eastAsia" w:ascii="宋体" w:hAnsi="宋体"/>
          <w:color w:val="auto"/>
          <w:sz w:val="24"/>
          <w:szCs w:val="24"/>
        </w:rPr>
        <w:t>1.供应商应如实填写上述各表，不得弄虚作假；</w:t>
      </w:r>
    </w:p>
    <w:p>
      <w:pPr>
        <w:ind w:firstLine="480" w:firstLineChars="200"/>
        <w:rPr>
          <w:rFonts w:ascii="宋体" w:hAnsi="宋体"/>
          <w:color w:val="auto"/>
          <w:sz w:val="24"/>
          <w:szCs w:val="24"/>
        </w:rPr>
      </w:pPr>
      <w:r>
        <w:rPr>
          <w:rFonts w:hint="eastAsia" w:ascii="宋体" w:hAnsi="宋体"/>
          <w:color w:val="auto"/>
          <w:sz w:val="24"/>
          <w:szCs w:val="24"/>
        </w:rPr>
        <w:t>2.供应商可根据实际情况在表后提供相关证明材料；</w:t>
      </w:r>
    </w:p>
    <w:p>
      <w:pPr>
        <w:ind w:firstLine="480" w:firstLineChars="200"/>
        <w:rPr>
          <w:rFonts w:ascii="宋体" w:hAnsi="宋体"/>
          <w:color w:val="auto"/>
          <w:sz w:val="24"/>
          <w:szCs w:val="24"/>
        </w:rPr>
      </w:pPr>
      <w:r>
        <w:rPr>
          <w:rFonts w:hint="eastAsia" w:ascii="宋体" w:hAnsi="宋体"/>
          <w:color w:val="auto"/>
          <w:sz w:val="24"/>
          <w:szCs w:val="24"/>
        </w:rPr>
        <w:t>3.如不具有相应情况，可填写“无”。</w:t>
      </w:r>
    </w:p>
    <w:p>
      <w:pPr>
        <w:ind w:firstLine="480" w:firstLineChars="200"/>
        <w:rPr>
          <w:rFonts w:ascii="宋体" w:hAnsi="宋体"/>
          <w:color w:val="auto"/>
          <w:sz w:val="24"/>
          <w:szCs w:val="24"/>
        </w:rPr>
      </w:pPr>
      <w:r>
        <w:rPr>
          <w:rFonts w:hint="eastAsia" w:ascii="宋体" w:hAnsi="宋体"/>
          <w:color w:val="auto"/>
          <w:sz w:val="24"/>
          <w:szCs w:val="24"/>
        </w:rPr>
        <w:t>4.联合体投标的，各成员分别列表说明。各成员提供的自身独立的证明材料（如有）均可以由《联合协议》约定的方式加盖公章及签署。</w:t>
      </w:r>
    </w:p>
    <w:p>
      <w:pPr>
        <w:ind w:firstLine="480" w:firstLineChars="200"/>
        <w:rPr>
          <w:rFonts w:ascii="宋体" w:hAnsi="宋体"/>
          <w:color w:val="auto"/>
          <w:sz w:val="24"/>
          <w:szCs w:val="24"/>
        </w:rPr>
      </w:pPr>
      <w:r>
        <w:rPr>
          <w:rFonts w:hint="eastAsia" w:ascii="宋体" w:hAnsi="宋体"/>
          <w:color w:val="auto"/>
          <w:sz w:val="24"/>
          <w:szCs w:val="24"/>
        </w:rPr>
        <w:t>5.分支机构投标的，总公司（总所）和分支机构分别列表说明，证明材料均可以由总公司（总所）或分支机构加盖公章及签署。</w:t>
      </w:r>
    </w:p>
    <w:p>
      <w:pPr>
        <w:ind w:firstLine="480" w:firstLineChars="200"/>
        <w:rPr>
          <w:rFonts w:ascii="宋体" w:hAnsi="宋体"/>
          <w:color w:val="auto"/>
          <w:sz w:val="24"/>
          <w:szCs w:val="24"/>
        </w:rPr>
      </w:pPr>
      <w:r>
        <w:rPr>
          <w:rFonts w:hint="eastAsia" w:ascii="宋体" w:hAnsi="宋体"/>
          <w:color w:val="auto"/>
          <w:sz w:val="24"/>
          <w:szCs w:val="24"/>
        </w:rPr>
        <w:t>6.以合同分包形式投标的，除非特别说明，仅需提供投标供应商的证明材料。</w:t>
      </w:r>
    </w:p>
    <w:p>
      <w:pPr>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投标人名称（加盖公章）：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投标人法定代表人或授权代表（签字或盖章）：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日期：</w:t>
      </w:r>
      <w:r>
        <w:rPr>
          <w:rFonts w:hint="eastAsia" w:ascii="宋体" w:hAnsi="宋体"/>
          <w:color w:val="auto"/>
          <w:sz w:val="24"/>
          <w:szCs w:val="24"/>
          <w:u w:val="single"/>
        </w:rPr>
        <w:t xml:space="preserve">        </w:t>
      </w:r>
      <w:r>
        <w:rPr>
          <w:rFonts w:hint="eastAsia" w:ascii="宋体" w:hAnsi="宋体"/>
          <w:color w:val="auto"/>
          <w:sz w:val="24"/>
          <w:szCs w:val="24"/>
        </w:rPr>
        <w:t>年</w:t>
      </w:r>
      <w:r>
        <w:rPr>
          <w:rFonts w:hint="eastAsia" w:ascii="宋体" w:hAnsi="宋体"/>
          <w:color w:val="auto"/>
          <w:sz w:val="24"/>
          <w:szCs w:val="24"/>
          <w:u w:val="single"/>
        </w:rPr>
        <w:t xml:space="preserve">    </w:t>
      </w:r>
      <w:r>
        <w:rPr>
          <w:rFonts w:hint="eastAsia" w:ascii="宋体" w:hAnsi="宋体"/>
          <w:color w:val="auto"/>
          <w:sz w:val="24"/>
          <w:szCs w:val="24"/>
        </w:rPr>
        <w:t>月</w:t>
      </w:r>
      <w:r>
        <w:rPr>
          <w:rFonts w:hint="eastAsia" w:ascii="宋体" w:hAnsi="宋体"/>
          <w:color w:val="auto"/>
          <w:sz w:val="24"/>
          <w:szCs w:val="24"/>
          <w:u w:val="single"/>
        </w:rPr>
        <w:t xml:space="preserve">    </w:t>
      </w:r>
      <w:r>
        <w:rPr>
          <w:rFonts w:hint="eastAsia" w:ascii="宋体" w:hAnsi="宋体"/>
          <w:color w:val="auto"/>
          <w:sz w:val="24"/>
          <w:szCs w:val="24"/>
        </w:rPr>
        <w:t>日</w:t>
      </w: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spacing w:line="360" w:lineRule="auto"/>
        <w:rPr>
          <w:rFonts w:ascii="宋体" w:hAnsi="宋体"/>
          <w:color w:val="auto"/>
          <w:sz w:val="24"/>
          <w:szCs w:val="24"/>
        </w:rPr>
      </w:pPr>
    </w:p>
    <w:p>
      <w:pPr>
        <w:pStyle w:val="5"/>
        <w:numPr>
          <w:ilvl w:val="0"/>
          <w:numId w:val="99"/>
        </w:numPr>
        <w:tabs>
          <w:tab w:val="left" w:pos="0"/>
          <w:tab w:val="left" w:pos="945"/>
        </w:tabs>
        <w:spacing w:before="0" w:after="0" w:line="360" w:lineRule="auto"/>
        <w:ind w:left="0" w:firstLine="0"/>
        <w:rPr>
          <w:color w:val="auto"/>
          <w:sz w:val="28"/>
          <w:szCs w:val="28"/>
        </w:rPr>
      </w:pPr>
      <w:bookmarkStart w:id="410" w:name="_Toc22806215"/>
      <w:bookmarkStart w:id="411" w:name="_Toc54335480"/>
      <w:bookmarkStart w:id="412" w:name="_Toc30120"/>
      <w:r>
        <w:rPr>
          <w:rFonts w:hint="eastAsia"/>
          <w:color w:val="auto"/>
          <w:sz w:val="28"/>
          <w:szCs w:val="28"/>
        </w:rPr>
        <w:t>制造商或总代理商授权书（要求提供授权书时供参考）</w:t>
      </w:r>
      <w:bookmarkEnd w:id="410"/>
      <w:bookmarkEnd w:id="411"/>
      <w:bookmarkEnd w:id="412"/>
    </w:p>
    <w:p>
      <w:pPr>
        <w:spacing w:line="360" w:lineRule="auto"/>
        <w:jc w:val="center"/>
        <w:rPr>
          <w:rFonts w:ascii="宋体" w:hAnsi="宋体"/>
          <w:b/>
          <w:color w:val="auto"/>
          <w:sz w:val="32"/>
          <w:szCs w:val="32"/>
        </w:rPr>
      </w:pPr>
      <w:r>
        <w:rPr>
          <w:rFonts w:hint="eastAsia" w:ascii="宋体" w:hAnsi="宋体"/>
          <w:b/>
          <w:color w:val="auto"/>
          <w:sz w:val="32"/>
          <w:szCs w:val="32"/>
        </w:rPr>
        <w:t>制造商（或总代理）授权书</w:t>
      </w:r>
    </w:p>
    <w:p>
      <w:pPr>
        <w:spacing w:line="360" w:lineRule="auto"/>
        <w:rPr>
          <w:rFonts w:ascii="宋体" w:hAnsi="宋体"/>
          <w:color w:val="auto"/>
          <w:sz w:val="24"/>
          <w:szCs w:val="24"/>
        </w:rPr>
      </w:pPr>
    </w:p>
    <w:p>
      <w:pPr>
        <w:spacing w:line="360" w:lineRule="auto"/>
        <w:rPr>
          <w:rFonts w:ascii="宋体" w:hAnsi="宋体"/>
          <w:color w:val="auto"/>
          <w:sz w:val="24"/>
          <w:szCs w:val="24"/>
        </w:rPr>
      </w:pPr>
      <w:r>
        <w:rPr>
          <w:rFonts w:hint="eastAsia" w:ascii="宋体" w:hAnsi="宋体"/>
          <w:i/>
          <w:color w:val="auto"/>
          <w:sz w:val="24"/>
          <w:szCs w:val="24"/>
          <w:u w:val="single"/>
        </w:rPr>
        <w:t>（采购人名称）</w:t>
      </w:r>
      <w:r>
        <w:rPr>
          <w:rFonts w:hint="eastAsia" w:ascii="宋体" w:hAnsi="宋体"/>
          <w:color w:val="auto"/>
          <w:sz w:val="24"/>
          <w:szCs w:val="24"/>
          <w:u w:val="single"/>
        </w:rPr>
        <w:t>/广东华伦招标有限公司</w:t>
      </w:r>
      <w:r>
        <w:rPr>
          <w:rFonts w:hint="eastAsia" w:ascii="宋体" w:hAnsi="宋体"/>
          <w:color w:val="auto"/>
          <w:sz w:val="24"/>
          <w:szCs w:val="24"/>
        </w:rPr>
        <w:t>：</w:t>
      </w:r>
    </w:p>
    <w:p>
      <w:pPr>
        <w:spacing w:line="360" w:lineRule="auto"/>
        <w:ind w:firstLine="480" w:firstLineChars="200"/>
        <w:rPr>
          <w:rFonts w:ascii="宋体" w:hAnsi="宋体"/>
          <w:color w:val="auto"/>
          <w:sz w:val="24"/>
          <w:szCs w:val="24"/>
        </w:rPr>
      </w:pPr>
      <w:r>
        <w:rPr>
          <w:rFonts w:hint="eastAsia" w:ascii="宋体" w:hAnsi="宋体"/>
          <w:color w:val="auto"/>
          <w:sz w:val="24"/>
          <w:szCs w:val="24"/>
        </w:rPr>
        <w:t>我方</w:t>
      </w:r>
      <w:r>
        <w:rPr>
          <w:rFonts w:hint="eastAsia" w:ascii="宋体" w:hAnsi="宋体"/>
          <w:i/>
          <w:color w:val="auto"/>
          <w:sz w:val="24"/>
          <w:szCs w:val="24"/>
          <w:u w:val="single"/>
        </w:rPr>
        <w:t>（制造商或总代理名称）</w:t>
      </w:r>
      <w:r>
        <w:rPr>
          <w:rFonts w:hint="eastAsia" w:ascii="宋体" w:hAnsi="宋体"/>
          <w:color w:val="auto"/>
          <w:sz w:val="24"/>
          <w:szCs w:val="24"/>
        </w:rPr>
        <w:t>是依法成立、有效存续并以制造（或总代理）</w:t>
      </w:r>
      <w:r>
        <w:rPr>
          <w:rFonts w:hint="eastAsia" w:ascii="宋体" w:hAnsi="宋体"/>
          <w:i/>
          <w:color w:val="auto"/>
          <w:sz w:val="24"/>
          <w:szCs w:val="24"/>
          <w:u w:val="single"/>
        </w:rPr>
        <w:t>（产品名称）</w:t>
      </w:r>
      <w:r>
        <w:rPr>
          <w:rFonts w:hint="eastAsia" w:ascii="宋体" w:hAnsi="宋体"/>
          <w:color w:val="auto"/>
          <w:sz w:val="24"/>
          <w:szCs w:val="24"/>
        </w:rPr>
        <w:t>为主的法人，主要营业的地点设在</w:t>
      </w:r>
      <w:r>
        <w:rPr>
          <w:rFonts w:hint="eastAsia" w:ascii="宋体" w:hAnsi="宋体"/>
          <w:i/>
          <w:color w:val="auto"/>
          <w:sz w:val="24"/>
          <w:szCs w:val="24"/>
          <w:u w:val="single"/>
        </w:rPr>
        <w:t>（制造商或总代理法定地址）</w:t>
      </w:r>
      <w:r>
        <w:rPr>
          <w:rFonts w:hint="eastAsia" w:ascii="宋体" w:hAnsi="宋体"/>
          <w:color w:val="auto"/>
          <w:sz w:val="24"/>
          <w:szCs w:val="24"/>
        </w:rPr>
        <w:t>。兹授权</w:t>
      </w:r>
      <w:r>
        <w:rPr>
          <w:rFonts w:hint="eastAsia" w:ascii="宋体" w:hAnsi="宋体"/>
          <w:i/>
          <w:color w:val="auto"/>
          <w:sz w:val="24"/>
          <w:szCs w:val="24"/>
          <w:u w:val="single"/>
        </w:rPr>
        <w:t>（投标人名称）</w:t>
      </w:r>
      <w:r>
        <w:rPr>
          <w:rFonts w:hint="eastAsia" w:ascii="宋体" w:hAnsi="宋体"/>
          <w:color w:val="auto"/>
          <w:sz w:val="24"/>
          <w:szCs w:val="24"/>
        </w:rPr>
        <w:t>作为我方真正的合法代理人进行下列活动：</w:t>
      </w:r>
    </w:p>
    <w:p>
      <w:pPr>
        <w:spacing w:line="360" w:lineRule="auto"/>
        <w:ind w:firstLine="480" w:firstLineChars="200"/>
        <w:rPr>
          <w:rFonts w:ascii="宋体" w:hAnsi="宋体"/>
          <w:color w:val="auto"/>
          <w:sz w:val="24"/>
          <w:szCs w:val="24"/>
        </w:rPr>
      </w:pPr>
      <w:r>
        <w:rPr>
          <w:rFonts w:hint="eastAsia" w:ascii="宋体" w:hAnsi="宋体"/>
          <w:color w:val="auto"/>
          <w:sz w:val="24"/>
          <w:szCs w:val="24"/>
        </w:rPr>
        <w:t>1.代表我方办理贵方采购文件编号为</w:t>
      </w:r>
      <w:r>
        <w:rPr>
          <w:rFonts w:hint="eastAsia" w:ascii="宋体" w:hAnsi="宋体"/>
          <w:color w:val="auto"/>
          <w:sz w:val="24"/>
          <w:szCs w:val="24"/>
          <w:u w:val="single"/>
          <w:lang w:eastAsia="zh-CN"/>
        </w:rPr>
        <w:t>0809-2241GZG14036</w:t>
      </w:r>
      <w:r>
        <w:rPr>
          <w:rFonts w:hint="eastAsia" w:ascii="宋体" w:hAnsi="宋体"/>
          <w:color w:val="auto"/>
          <w:sz w:val="24"/>
          <w:szCs w:val="24"/>
        </w:rPr>
        <w:t>、项目名称：</w:t>
      </w:r>
      <w:r>
        <w:rPr>
          <w:rFonts w:hint="eastAsia" w:ascii="宋体" w:hAnsi="宋体"/>
          <w:color w:val="auto"/>
          <w:sz w:val="24"/>
          <w:szCs w:val="24"/>
          <w:u w:val="single"/>
          <w:lang w:eastAsia="zh-CN"/>
        </w:rPr>
        <w:t>工业和信息化部电子第五研究所动力电池配套使用环境试验箱采购项目</w:t>
      </w:r>
      <w:r>
        <w:rPr>
          <w:rFonts w:hint="eastAsia" w:ascii="宋体" w:hAnsi="宋体"/>
          <w:color w:val="auto"/>
          <w:sz w:val="24"/>
          <w:szCs w:val="24"/>
        </w:rPr>
        <w:t>的文件要求提供的由我方制造（或总代理）的</w:t>
      </w:r>
      <w:r>
        <w:rPr>
          <w:rFonts w:hint="eastAsia" w:ascii="宋体" w:hAnsi="宋体"/>
          <w:i/>
          <w:color w:val="auto"/>
          <w:sz w:val="24"/>
          <w:szCs w:val="24"/>
          <w:u w:val="single"/>
        </w:rPr>
        <w:t>（投标货物名称）</w:t>
      </w:r>
      <w:r>
        <w:rPr>
          <w:rFonts w:hint="eastAsia" w:ascii="宋体" w:hAnsi="宋体"/>
          <w:color w:val="auto"/>
          <w:sz w:val="24"/>
          <w:szCs w:val="24"/>
        </w:rPr>
        <w:t>的有关事宜，并对我方具有约束力。</w:t>
      </w:r>
    </w:p>
    <w:p>
      <w:pPr>
        <w:spacing w:line="360" w:lineRule="auto"/>
        <w:ind w:firstLine="480" w:firstLineChars="200"/>
        <w:rPr>
          <w:rFonts w:ascii="宋体" w:hAnsi="宋体"/>
          <w:color w:val="auto"/>
          <w:sz w:val="24"/>
          <w:szCs w:val="24"/>
        </w:rPr>
      </w:pPr>
      <w:r>
        <w:rPr>
          <w:rFonts w:hint="eastAsia" w:ascii="宋体" w:hAnsi="宋体"/>
          <w:color w:val="auto"/>
          <w:sz w:val="24"/>
          <w:szCs w:val="24"/>
        </w:rPr>
        <w:t>2.作为制造商（或总代理），我方保证以投标人合作者身份来约束自己，并对该响应共同和分别负责。</w:t>
      </w:r>
    </w:p>
    <w:p>
      <w:pPr>
        <w:spacing w:line="360" w:lineRule="auto"/>
        <w:ind w:firstLine="480" w:firstLineChars="200"/>
        <w:rPr>
          <w:rFonts w:ascii="宋体" w:hAnsi="宋体"/>
          <w:color w:val="auto"/>
          <w:sz w:val="24"/>
          <w:szCs w:val="24"/>
        </w:rPr>
      </w:pPr>
      <w:r>
        <w:rPr>
          <w:rFonts w:hint="eastAsia" w:ascii="宋体" w:hAnsi="宋体"/>
          <w:color w:val="auto"/>
          <w:sz w:val="24"/>
          <w:szCs w:val="24"/>
        </w:rPr>
        <w:t>3.我方兹授权</w:t>
      </w:r>
      <w:r>
        <w:rPr>
          <w:rFonts w:hint="eastAsia" w:ascii="宋体" w:hAnsi="宋体"/>
          <w:i/>
          <w:color w:val="auto"/>
          <w:sz w:val="24"/>
          <w:szCs w:val="24"/>
          <w:u w:val="single"/>
        </w:rPr>
        <w:t>（投标人名称）</w:t>
      </w:r>
      <w:r>
        <w:rPr>
          <w:rFonts w:hint="eastAsia" w:ascii="宋体" w:hAnsi="宋体"/>
          <w:color w:val="auto"/>
          <w:sz w:val="24"/>
          <w:szCs w:val="24"/>
        </w:rPr>
        <w:t>全权办理和履行此项目文件中规定的相关事宜。兹确认</w:t>
      </w:r>
      <w:r>
        <w:rPr>
          <w:rFonts w:hint="eastAsia" w:ascii="宋体" w:hAnsi="宋体"/>
          <w:i/>
          <w:color w:val="auto"/>
          <w:sz w:val="24"/>
          <w:szCs w:val="24"/>
          <w:u w:val="single"/>
        </w:rPr>
        <w:t>（投标人名称）</w:t>
      </w:r>
      <w:r>
        <w:rPr>
          <w:rFonts w:hint="eastAsia" w:ascii="宋体" w:hAnsi="宋体"/>
          <w:color w:val="auto"/>
          <w:sz w:val="24"/>
          <w:szCs w:val="24"/>
        </w:rPr>
        <w:t>及其正式授权代表依此办理一切合法事宜。</w:t>
      </w:r>
    </w:p>
    <w:p>
      <w:pPr>
        <w:spacing w:line="360" w:lineRule="auto"/>
        <w:ind w:firstLine="480" w:firstLineChars="200"/>
        <w:rPr>
          <w:rFonts w:ascii="宋体" w:hAnsi="宋体"/>
          <w:color w:val="auto"/>
          <w:sz w:val="24"/>
          <w:szCs w:val="24"/>
        </w:rPr>
      </w:pPr>
      <w:r>
        <w:rPr>
          <w:rFonts w:hint="eastAsia" w:ascii="宋体" w:hAnsi="宋体"/>
          <w:color w:val="auto"/>
          <w:sz w:val="24"/>
          <w:szCs w:val="24"/>
        </w:rPr>
        <w:t>4.授权有效期为本授权书签署生效之日起至该项目的采购合同履行完毕止，若投标人未中标，其有效期至该项目采购活动结束时自动终止。</w:t>
      </w:r>
    </w:p>
    <w:p>
      <w:pPr>
        <w:spacing w:line="360" w:lineRule="auto"/>
        <w:ind w:firstLine="480" w:firstLineChars="200"/>
        <w:rPr>
          <w:rFonts w:ascii="宋体" w:hAnsi="宋体"/>
          <w:color w:val="auto"/>
          <w:sz w:val="24"/>
          <w:szCs w:val="24"/>
        </w:rPr>
      </w:pPr>
      <w:r>
        <w:rPr>
          <w:rFonts w:hint="eastAsia" w:ascii="宋体" w:hAnsi="宋体"/>
          <w:color w:val="auto"/>
          <w:sz w:val="24"/>
          <w:szCs w:val="24"/>
        </w:rPr>
        <w:t>5.我方于</w:t>
      </w:r>
      <w:r>
        <w:rPr>
          <w:rFonts w:hint="eastAsia" w:ascii="宋体" w:hAnsi="宋体"/>
          <w:color w:val="auto"/>
          <w:sz w:val="24"/>
          <w:szCs w:val="24"/>
          <w:u w:val="single"/>
        </w:rPr>
        <w:t xml:space="preserve">        </w:t>
      </w:r>
      <w:r>
        <w:rPr>
          <w:rFonts w:hint="eastAsia" w:ascii="宋体" w:hAnsi="宋体"/>
          <w:color w:val="auto"/>
          <w:sz w:val="24"/>
          <w:szCs w:val="24"/>
        </w:rPr>
        <w:t>年</w:t>
      </w:r>
      <w:r>
        <w:rPr>
          <w:rFonts w:hint="eastAsia" w:ascii="宋体" w:hAnsi="宋体"/>
          <w:color w:val="auto"/>
          <w:sz w:val="24"/>
          <w:szCs w:val="24"/>
          <w:u w:val="single"/>
        </w:rPr>
        <w:t xml:space="preserve">    </w:t>
      </w:r>
      <w:r>
        <w:rPr>
          <w:rFonts w:hint="eastAsia" w:ascii="宋体" w:hAnsi="宋体"/>
          <w:color w:val="auto"/>
          <w:sz w:val="24"/>
          <w:szCs w:val="24"/>
        </w:rPr>
        <w:t>月</w:t>
      </w:r>
      <w:r>
        <w:rPr>
          <w:rFonts w:hint="eastAsia" w:ascii="宋体" w:hAnsi="宋体"/>
          <w:color w:val="auto"/>
          <w:sz w:val="24"/>
          <w:szCs w:val="24"/>
          <w:u w:val="single"/>
        </w:rPr>
        <w:t xml:space="preserve">    </w:t>
      </w:r>
      <w:r>
        <w:rPr>
          <w:rFonts w:hint="eastAsia" w:ascii="宋体" w:hAnsi="宋体"/>
          <w:color w:val="auto"/>
          <w:sz w:val="24"/>
          <w:szCs w:val="24"/>
        </w:rPr>
        <w:t>日签署本文件。</w:t>
      </w:r>
    </w:p>
    <w:p>
      <w:pPr>
        <w:spacing w:line="360" w:lineRule="auto"/>
        <w:rPr>
          <w:rFonts w:ascii="宋体" w:hAnsi="宋体"/>
          <w:color w:val="auto"/>
          <w:sz w:val="24"/>
          <w:szCs w:val="24"/>
        </w:rPr>
      </w:pPr>
    </w:p>
    <w:p>
      <w:pPr>
        <w:spacing w:line="360" w:lineRule="auto"/>
        <w:rPr>
          <w:rFonts w:ascii="宋体" w:hAnsi="宋体"/>
          <w:color w:val="auto"/>
          <w:sz w:val="24"/>
          <w:szCs w:val="24"/>
          <w:u w:val="single"/>
        </w:rPr>
      </w:pPr>
      <w:r>
        <w:rPr>
          <w:rFonts w:hint="eastAsia" w:ascii="宋体" w:hAnsi="宋体"/>
          <w:color w:val="auto"/>
          <w:sz w:val="24"/>
          <w:szCs w:val="24"/>
        </w:rPr>
        <w:t>制造商（或总代理）名称（加盖公章）：</w:t>
      </w:r>
      <w:r>
        <w:rPr>
          <w:rFonts w:hint="eastAsia" w:ascii="宋体" w:hAnsi="宋体"/>
          <w:color w:val="auto"/>
          <w:sz w:val="24"/>
          <w:szCs w:val="24"/>
          <w:u w:val="single"/>
        </w:rPr>
        <w:t xml:space="preserve">                                </w:t>
      </w:r>
    </w:p>
    <w:p>
      <w:pPr>
        <w:spacing w:line="360" w:lineRule="auto"/>
        <w:rPr>
          <w:rFonts w:ascii="宋体" w:hAnsi="宋体"/>
          <w:color w:val="auto"/>
          <w:sz w:val="24"/>
          <w:szCs w:val="24"/>
        </w:rPr>
      </w:pPr>
      <w:r>
        <w:rPr>
          <w:rFonts w:hint="eastAsia" w:ascii="宋体" w:hAnsi="宋体"/>
          <w:color w:val="auto"/>
          <w:sz w:val="24"/>
          <w:szCs w:val="24"/>
        </w:rPr>
        <w:t>制造商（或总代理）法定代表人或授权代表（签字或盖章）：</w:t>
      </w:r>
      <w:r>
        <w:rPr>
          <w:rFonts w:hint="eastAsia" w:ascii="宋体" w:hAnsi="宋体"/>
          <w:color w:val="auto"/>
          <w:sz w:val="24"/>
          <w:szCs w:val="24"/>
          <w:u w:val="single"/>
        </w:rPr>
        <w:t xml:space="preserve">              </w:t>
      </w:r>
    </w:p>
    <w:p>
      <w:pPr>
        <w:spacing w:line="360" w:lineRule="auto"/>
        <w:rPr>
          <w:rFonts w:ascii="宋体" w:hAnsi="宋体"/>
          <w:color w:val="auto"/>
          <w:sz w:val="24"/>
          <w:szCs w:val="24"/>
        </w:rPr>
      </w:pPr>
      <w:r>
        <w:rPr>
          <w:rFonts w:hint="eastAsia" w:ascii="宋体" w:hAnsi="宋体"/>
          <w:color w:val="auto"/>
          <w:sz w:val="24"/>
          <w:szCs w:val="24"/>
        </w:rPr>
        <w:t>签署人职务：</w:t>
      </w:r>
      <w:r>
        <w:rPr>
          <w:rFonts w:hint="eastAsia" w:ascii="宋体" w:hAnsi="宋体"/>
          <w:color w:val="auto"/>
          <w:sz w:val="24"/>
          <w:szCs w:val="24"/>
          <w:u w:val="single"/>
        </w:rPr>
        <w:t xml:space="preserve">                                                       </w:t>
      </w:r>
    </w:p>
    <w:p>
      <w:pPr>
        <w:spacing w:line="360" w:lineRule="auto"/>
        <w:rPr>
          <w:rFonts w:ascii="宋体" w:hAnsi="宋体"/>
          <w:color w:val="auto"/>
          <w:sz w:val="24"/>
          <w:szCs w:val="24"/>
        </w:rPr>
      </w:pPr>
      <w:r>
        <w:rPr>
          <w:rFonts w:hint="eastAsia" w:ascii="宋体" w:hAnsi="宋体"/>
          <w:color w:val="auto"/>
          <w:sz w:val="24"/>
          <w:szCs w:val="24"/>
        </w:rPr>
        <w:t>签署人部门：</w:t>
      </w:r>
      <w:r>
        <w:rPr>
          <w:rFonts w:hint="eastAsia" w:ascii="宋体" w:hAnsi="宋体"/>
          <w:color w:val="auto"/>
          <w:sz w:val="24"/>
          <w:szCs w:val="24"/>
          <w:u w:val="single"/>
        </w:rPr>
        <w:t xml:space="preserve">                                                       </w:t>
      </w:r>
    </w:p>
    <w:p>
      <w:pPr>
        <w:spacing w:line="360" w:lineRule="auto"/>
        <w:rPr>
          <w:rFonts w:ascii="宋体" w:hAnsi="宋体"/>
          <w:color w:val="auto"/>
          <w:sz w:val="24"/>
          <w:szCs w:val="24"/>
        </w:rPr>
      </w:pPr>
    </w:p>
    <w:p>
      <w:pPr>
        <w:rPr>
          <w:rFonts w:ascii="宋体" w:hAnsi="宋体"/>
          <w:b/>
          <w:color w:val="auto"/>
          <w:sz w:val="24"/>
          <w:szCs w:val="24"/>
        </w:rPr>
      </w:pPr>
      <w:r>
        <w:rPr>
          <w:rFonts w:hint="eastAsia" w:ascii="宋体" w:hAnsi="宋体"/>
          <w:b/>
          <w:color w:val="auto"/>
          <w:sz w:val="24"/>
          <w:szCs w:val="24"/>
        </w:rPr>
        <w:t>备注：</w:t>
      </w:r>
    </w:p>
    <w:p>
      <w:pPr>
        <w:ind w:firstLine="480" w:firstLineChars="200"/>
        <w:rPr>
          <w:rFonts w:ascii="宋体" w:hAnsi="宋体"/>
          <w:color w:val="auto"/>
          <w:sz w:val="24"/>
          <w:szCs w:val="24"/>
        </w:rPr>
      </w:pPr>
      <w:r>
        <w:rPr>
          <w:rFonts w:hint="eastAsia" w:ascii="宋体" w:hAnsi="宋体"/>
          <w:color w:val="auto"/>
          <w:sz w:val="24"/>
          <w:szCs w:val="24"/>
        </w:rPr>
        <w:t>1.本格式仅为生产厂家（制造商或总代理商）授权书的参考格式，可根据授权内容进行调整。</w:t>
      </w:r>
    </w:p>
    <w:p>
      <w:pPr>
        <w:ind w:firstLine="480" w:firstLineChars="200"/>
        <w:rPr>
          <w:rFonts w:ascii="宋体" w:hAnsi="宋体"/>
          <w:color w:val="auto"/>
          <w:sz w:val="24"/>
          <w:szCs w:val="24"/>
        </w:rPr>
      </w:pPr>
      <w:r>
        <w:rPr>
          <w:rFonts w:hint="eastAsia" w:ascii="宋体" w:hAnsi="宋体"/>
          <w:color w:val="auto"/>
          <w:sz w:val="24"/>
          <w:szCs w:val="24"/>
        </w:rPr>
        <w:t>2.供应商非生产厂家或制造商的，如招标文件要求提供授权书时，应提供产品来源渠道合法的证明文件（包括但不限于原厂授权销售协议、代理协议、授权书等）；若属于总代理商授权的，如招标文件有要求，必须同时提供生产厂家或制造商向总代理商出具的有效授权证明文件。</w:t>
      </w:r>
      <w:bookmarkStart w:id="413" w:name="_Toc22806216"/>
    </w:p>
    <w:p>
      <w:pPr>
        <w:ind w:firstLine="560" w:firstLineChars="200"/>
        <w:rPr>
          <w:color w:val="auto"/>
          <w:sz w:val="28"/>
          <w:szCs w:val="28"/>
        </w:rPr>
      </w:pPr>
    </w:p>
    <w:p>
      <w:pPr>
        <w:ind w:firstLine="560" w:firstLineChars="200"/>
        <w:rPr>
          <w:color w:val="auto"/>
          <w:sz w:val="28"/>
          <w:szCs w:val="28"/>
        </w:rPr>
      </w:pPr>
    </w:p>
    <w:p>
      <w:pPr>
        <w:pStyle w:val="5"/>
        <w:numPr>
          <w:ilvl w:val="0"/>
          <w:numId w:val="99"/>
        </w:numPr>
        <w:tabs>
          <w:tab w:val="left" w:pos="0"/>
          <w:tab w:val="left" w:pos="945"/>
        </w:tabs>
        <w:spacing w:before="0" w:after="0" w:line="360" w:lineRule="auto"/>
        <w:ind w:left="0" w:firstLine="0"/>
        <w:rPr>
          <w:color w:val="auto"/>
          <w:sz w:val="28"/>
          <w:szCs w:val="28"/>
        </w:rPr>
      </w:pPr>
      <w:bookmarkStart w:id="414" w:name="_Toc27995"/>
      <w:bookmarkStart w:id="415" w:name="_Toc54335481"/>
      <w:r>
        <w:rPr>
          <w:rFonts w:hint="eastAsia"/>
          <w:color w:val="auto"/>
          <w:sz w:val="28"/>
          <w:szCs w:val="28"/>
        </w:rPr>
        <w:t>中小企业、监狱企业及残疾人福利性单位证明文件（如适用）</w:t>
      </w:r>
      <w:bookmarkEnd w:id="413"/>
      <w:bookmarkEnd w:id="414"/>
      <w:bookmarkEnd w:id="415"/>
    </w:p>
    <w:p>
      <w:pPr>
        <w:ind w:firstLine="480" w:firstLineChars="200"/>
        <w:rPr>
          <w:rFonts w:ascii="宋体" w:hAnsi="宋体"/>
          <w:color w:val="auto"/>
          <w:sz w:val="24"/>
          <w:szCs w:val="24"/>
        </w:rPr>
      </w:pPr>
      <w:bookmarkStart w:id="416" w:name="_Toc22806217"/>
      <w:r>
        <w:rPr>
          <w:rFonts w:hint="eastAsia" w:ascii="宋体" w:hAnsi="宋体"/>
          <w:b/>
          <w:color w:val="auto"/>
          <w:sz w:val="24"/>
          <w:szCs w:val="24"/>
        </w:rPr>
        <w:t>备注：</w:t>
      </w:r>
      <w:r>
        <w:rPr>
          <w:rFonts w:hint="eastAsia" w:ascii="宋体" w:hAnsi="宋体"/>
          <w:color w:val="auto"/>
          <w:sz w:val="24"/>
          <w:szCs w:val="24"/>
        </w:rPr>
        <w:t>如本项目不属于专门面向中小企业采购的项目,供应商为中小企业或监狱企业或残疾人福利性单位的，应按本部分格式提供证明材料，否则不能享受政府采购政策的评审优惠。如本项目属于专门面向中小企业采购的项目,参加采购活动的中小微企业或监狱企业或残疾人福利性单位，须按本部分格式提供证明材料。</w:t>
      </w:r>
    </w:p>
    <w:p>
      <w:pPr>
        <w:pStyle w:val="6"/>
        <w:numPr>
          <w:ilvl w:val="1"/>
          <w:numId w:val="99"/>
        </w:numPr>
        <w:tabs>
          <w:tab w:val="left" w:pos="945"/>
        </w:tabs>
        <w:ind w:left="0" w:firstLine="0"/>
        <w:rPr>
          <w:rFonts w:ascii="宋体" w:hAnsi="宋体"/>
          <w:color w:val="auto"/>
          <w:szCs w:val="24"/>
        </w:rPr>
      </w:pPr>
      <w:r>
        <w:rPr>
          <w:rFonts w:hint="eastAsia" w:ascii="宋体" w:hAnsi="宋体"/>
          <w:color w:val="auto"/>
          <w:szCs w:val="24"/>
        </w:rPr>
        <w:t>中小企业声明</w:t>
      </w:r>
      <w:bookmarkEnd w:id="416"/>
      <w:r>
        <w:rPr>
          <w:rFonts w:hint="eastAsia" w:ascii="宋体" w:hAnsi="宋体"/>
          <w:color w:val="auto"/>
          <w:szCs w:val="24"/>
        </w:rPr>
        <w:t>函（如适用）</w:t>
      </w:r>
    </w:p>
    <w:p>
      <w:pPr>
        <w:spacing w:line="360" w:lineRule="auto"/>
        <w:jc w:val="center"/>
        <w:rPr>
          <w:rFonts w:ascii="宋体" w:hAnsi="宋体"/>
          <w:b/>
          <w:color w:val="auto"/>
          <w:sz w:val="32"/>
          <w:szCs w:val="32"/>
        </w:rPr>
      </w:pPr>
      <w:r>
        <w:rPr>
          <w:rFonts w:hint="eastAsia" w:ascii="宋体" w:hAnsi="宋体"/>
          <w:b/>
          <w:color w:val="auto"/>
          <w:sz w:val="32"/>
          <w:szCs w:val="32"/>
        </w:rPr>
        <w:t>中小企业声明函（货物）</w:t>
      </w:r>
    </w:p>
    <w:p>
      <w:pPr>
        <w:autoSpaceDE w:val="0"/>
        <w:autoSpaceDN w:val="0"/>
        <w:adjustRightInd w:val="0"/>
        <w:ind w:firstLine="480" w:firstLineChars="200"/>
        <w:rPr>
          <w:rFonts w:ascii="宋体" w:hAnsi="宋体" w:cs="仿宋"/>
          <w:color w:val="auto"/>
          <w:kern w:val="0"/>
          <w:sz w:val="24"/>
          <w:szCs w:val="24"/>
        </w:rPr>
      </w:pPr>
      <w:r>
        <w:rPr>
          <w:rFonts w:hint="eastAsia" w:ascii="宋体" w:hAnsi="宋体" w:cs="仿宋"/>
          <w:color w:val="auto"/>
          <w:kern w:val="0"/>
          <w:sz w:val="24"/>
          <w:szCs w:val="24"/>
        </w:rPr>
        <w:t>本公司（联合体）郑重声明，根据《政府采购促进中小企业发展管理办法》（财库</w:t>
      </w:r>
      <w:r>
        <w:rPr>
          <w:rFonts w:hint="eastAsia" w:ascii="宋体" w:hAnsi="宋体" w:cs="宋体"/>
          <w:color w:val="auto"/>
          <w:kern w:val="0"/>
          <w:sz w:val="24"/>
          <w:szCs w:val="24"/>
        </w:rPr>
        <w:t>﹝</w:t>
      </w:r>
      <w:r>
        <w:rPr>
          <w:rFonts w:ascii="宋体" w:hAnsi="宋体" w:cs="仿宋"/>
          <w:color w:val="auto"/>
          <w:kern w:val="0"/>
          <w:sz w:val="24"/>
          <w:szCs w:val="24"/>
        </w:rPr>
        <w:t>2020</w:t>
      </w:r>
      <w:r>
        <w:rPr>
          <w:rFonts w:hint="eastAsia" w:ascii="宋体" w:hAnsi="宋体" w:cs="宋体"/>
          <w:color w:val="auto"/>
          <w:kern w:val="0"/>
          <w:sz w:val="24"/>
          <w:szCs w:val="24"/>
        </w:rPr>
        <w:t>﹞</w:t>
      </w:r>
      <w:r>
        <w:rPr>
          <w:rFonts w:ascii="宋体" w:hAnsi="宋体" w:cs="仿宋"/>
          <w:color w:val="auto"/>
          <w:kern w:val="0"/>
          <w:sz w:val="24"/>
          <w:szCs w:val="24"/>
        </w:rPr>
        <w:t xml:space="preserve">46 </w:t>
      </w:r>
      <w:r>
        <w:rPr>
          <w:rFonts w:hint="eastAsia" w:ascii="宋体" w:hAnsi="宋体" w:cs="仿宋"/>
          <w:color w:val="auto"/>
          <w:kern w:val="0"/>
          <w:sz w:val="24"/>
          <w:szCs w:val="24"/>
        </w:rPr>
        <w:t>号）的规定，本公司（联合体）参加</w:t>
      </w:r>
      <w:r>
        <w:rPr>
          <w:rFonts w:hint="eastAsia" w:ascii="宋体" w:hAnsi="宋体" w:cs="仿宋"/>
          <w:i/>
          <w:color w:val="auto"/>
          <w:kern w:val="0"/>
          <w:sz w:val="24"/>
          <w:szCs w:val="24"/>
          <w:u w:val="single"/>
        </w:rPr>
        <w:t>（单位名称）</w:t>
      </w:r>
      <w:r>
        <w:rPr>
          <w:rFonts w:hint="eastAsia" w:ascii="宋体" w:hAnsi="宋体" w:cs="仿宋"/>
          <w:color w:val="auto"/>
          <w:kern w:val="0"/>
          <w:sz w:val="24"/>
          <w:szCs w:val="24"/>
        </w:rPr>
        <w:t>的</w:t>
      </w:r>
      <w:r>
        <w:rPr>
          <w:rFonts w:hint="eastAsia" w:ascii="宋体" w:hAnsi="宋体" w:cs="仿宋"/>
          <w:i/>
          <w:color w:val="auto"/>
          <w:kern w:val="0"/>
          <w:sz w:val="24"/>
          <w:szCs w:val="24"/>
          <w:u w:val="single"/>
        </w:rPr>
        <w:t>（项目名称）</w:t>
      </w:r>
      <w:r>
        <w:rPr>
          <w:rFonts w:hint="eastAsia" w:ascii="宋体" w:hAnsi="宋体" w:cs="仿宋"/>
          <w:color w:val="auto"/>
          <w:kern w:val="0"/>
          <w:sz w:val="24"/>
          <w:szCs w:val="24"/>
        </w:rPr>
        <w:t>采购活动，提供的货物全部由符合政策要求的中小企业制造。相关企业</w:t>
      </w:r>
    </w:p>
    <w:p>
      <w:pPr>
        <w:autoSpaceDE w:val="0"/>
        <w:autoSpaceDN w:val="0"/>
        <w:adjustRightInd w:val="0"/>
        <w:rPr>
          <w:rFonts w:ascii="宋体" w:hAnsi="宋体" w:cs="仿宋"/>
          <w:color w:val="auto"/>
          <w:kern w:val="0"/>
          <w:sz w:val="24"/>
          <w:szCs w:val="24"/>
        </w:rPr>
      </w:pPr>
      <w:r>
        <w:rPr>
          <w:rFonts w:hint="eastAsia" w:ascii="宋体" w:hAnsi="宋体" w:cs="仿宋"/>
          <w:color w:val="auto"/>
          <w:kern w:val="0"/>
          <w:sz w:val="24"/>
          <w:szCs w:val="24"/>
        </w:rPr>
        <w:t>（含联合体中的中小企业、签订分包意向协议的中小企业）的具体情况如下：</w:t>
      </w:r>
    </w:p>
    <w:p>
      <w:pPr>
        <w:autoSpaceDE w:val="0"/>
        <w:autoSpaceDN w:val="0"/>
        <w:adjustRightInd w:val="0"/>
        <w:ind w:firstLine="480" w:firstLineChars="200"/>
        <w:rPr>
          <w:rFonts w:ascii="宋体" w:hAnsi="宋体" w:cs="仿宋"/>
          <w:color w:val="auto"/>
          <w:kern w:val="0"/>
          <w:sz w:val="24"/>
          <w:szCs w:val="24"/>
        </w:rPr>
      </w:pPr>
      <w:r>
        <w:rPr>
          <w:rFonts w:ascii="宋体" w:hAnsi="宋体" w:cs="仿宋"/>
          <w:color w:val="auto"/>
          <w:kern w:val="0"/>
          <w:sz w:val="24"/>
          <w:szCs w:val="24"/>
        </w:rPr>
        <w:t>1.</w:t>
      </w:r>
      <w:r>
        <w:rPr>
          <w:rFonts w:hint="eastAsia" w:ascii="宋体" w:hAnsi="宋体" w:cs="仿宋"/>
          <w:i/>
          <w:color w:val="auto"/>
          <w:kern w:val="0"/>
          <w:sz w:val="24"/>
          <w:szCs w:val="24"/>
          <w:u w:val="single"/>
        </w:rPr>
        <w:t>（标的名称）</w:t>
      </w:r>
      <w:r>
        <w:rPr>
          <w:rFonts w:hint="eastAsia" w:ascii="宋体" w:hAnsi="宋体" w:cs="仿宋"/>
          <w:color w:val="auto"/>
          <w:kern w:val="0"/>
          <w:sz w:val="24"/>
          <w:szCs w:val="24"/>
        </w:rPr>
        <w:t>，属于</w:t>
      </w:r>
      <w:r>
        <w:rPr>
          <w:rFonts w:hint="eastAsia" w:ascii="宋体" w:hAnsi="宋体" w:cs="仿宋"/>
          <w:i/>
          <w:color w:val="auto"/>
          <w:kern w:val="0"/>
          <w:sz w:val="24"/>
          <w:szCs w:val="24"/>
          <w:u w:val="single"/>
        </w:rPr>
        <w:t>（采购文件中明确的所属行业）</w:t>
      </w:r>
      <w:r>
        <w:rPr>
          <w:rFonts w:hint="eastAsia" w:ascii="宋体" w:hAnsi="宋体" w:cs="仿宋"/>
          <w:color w:val="auto"/>
          <w:kern w:val="0"/>
          <w:sz w:val="24"/>
          <w:szCs w:val="24"/>
        </w:rPr>
        <w:t>行业；制造商为</w:t>
      </w:r>
      <w:r>
        <w:rPr>
          <w:rFonts w:hint="eastAsia" w:ascii="宋体" w:hAnsi="宋体" w:cs="仿宋"/>
          <w:i/>
          <w:color w:val="auto"/>
          <w:kern w:val="0"/>
          <w:sz w:val="24"/>
          <w:szCs w:val="24"/>
          <w:u w:val="single"/>
        </w:rPr>
        <w:t>（企业名称）</w:t>
      </w:r>
      <w:r>
        <w:rPr>
          <w:rFonts w:hint="eastAsia" w:ascii="宋体" w:hAnsi="宋体" w:cs="仿宋"/>
          <w:color w:val="auto"/>
          <w:kern w:val="0"/>
          <w:sz w:val="24"/>
          <w:szCs w:val="24"/>
        </w:rPr>
        <w:t>，从业人员</w:t>
      </w:r>
      <w:r>
        <w:rPr>
          <w:rFonts w:hint="eastAsia" w:ascii="宋体" w:hAnsi="宋体" w:cs="仿宋"/>
          <w:color w:val="auto"/>
          <w:kern w:val="0"/>
          <w:sz w:val="24"/>
          <w:szCs w:val="24"/>
          <w:u w:val="single"/>
        </w:rPr>
        <w:t xml:space="preserve">     </w:t>
      </w:r>
      <w:r>
        <w:rPr>
          <w:rFonts w:hint="eastAsia" w:ascii="宋体" w:hAnsi="宋体" w:cs="仿宋"/>
          <w:color w:val="auto"/>
          <w:kern w:val="0"/>
          <w:sz w:val="24"/>
          <w:szCs w:val="24"/>
        </w:rPr>
        <w:t>人，营业收入为</w:t>
      </w:r>
      <w:r>
        <w:rPr>
          <w:rFonts w:hint="eastAsia" w:ascii="宋体" w:hAnsi="宋体" w:cs="仿宋"/>
          <w:color w:val="auto"/>
          <w:kern w:val="0"/>
          <w:sz w:val="24"/>
          <w:szCs w:val="24"/>
          <w:u w:val="single"/>
        </w:rPr>
        <w:t xml:space="preserve">     </w:t>
      </w:r>
      <w:r>
        <w:rPr>
          <w:rFonts w:hint="eastAsia" w:ascii="宋体" w:hAnsi="宋体" w:cs="仿宋"/>
          <w:color w:val="auto"/>
          <w:kern w:val="0"/>
          <w:sz w:val="24"/>
          <w:szCs w:val="24"/>
        </w:rPr>
        <w:t>万元，资产总额为</w:t>
      </w:r>
      <w:r>
        <w:rPr>
          <w:rFonts w:hint="eastAsia" w:ascii="宋体" w:hAnsi="宋体" w:cs="仿宋"/>
          <w:i/>
          <w:color w:val="auto"/>
          <w:kern w:val="0"/>
          <w:sz w:val="24"/>
          <w:szCs w:val="24"/>
          <w:u w:val="single"/>
        </w:rPr>
        <w:t xml:space="preserve">     </w:t>
      </w:r>
      <w:r>
        <w:rPr>
          <w:rFonts w:hint="eastAsia" w:ascii="宋体" w:hAnsi="宋体" w:cs="仿宋"/>
          <w:color w:val="auto"/>
          <w:kern w:val="0"/>
          <w:sz w:val="24"/>
          <w:szCs w:val="24"/>
        </w:rPr>
        <w:t>万元，属于</w:t>
      </w:r>
      <w:r>
        <w:rPr>
          <w:rFonts w:hint="eastAsia" w:ascii="宋体" w:hAnsi="宋体" w:cs="仿宋"/>
          <w:i/>
          <w:color w:val="auto"/>
          <w:kern w:val="0"/>
          <w:sz w:val="24"/>
          <w:szCs w:val="24"/>
          <w:u w:val="single"/>
        </w:rPr>
        <w:t>（中型企业、小型企业、微型企业）</w:t>
      </w:r>
      <w:r>
        <w:rPr>
          <w:rFonts w:hint="eastAsia" w:ascii="宋体" w:hAnsi="宋体" w:cs="仿宋"/>
          <w:color w:val="auto"/>
          <w:kern w:val="0"/>
          <w:sz w:val="24"/>
          <w:szCs w:val="24"/>
        </w:rPr>
        <w:t>；</w:t>
      </w:r>
    </w:p>
    <w:p>
      <w:pPr>
        <w:autoSpaceDE w:val="0"/>
        <w:autoSpaceDN w:val="0"/>
        <w:adjustRightInd w:val="0"/>
        <w:ind w:firstLine="480" w:firstLineChars="200"/>
        <w:rPr>
          <w:rFonts w:ascii="宋体" w:hAnsi="宋体" w:cs="仿宋"/>
          <w:color w:val="auto"/>
          <w:kern w:val="0"/>
          <w:sz w:val="24"/>
          <w:szCs w:val="24"/>
        </w:rPr>
      </w:pPr>
      <w:r>
        <w:rPr>
          <w:rFonts w:ascii="宋体" w:hAnsi="宋体" w:cs="仿宋"/>
          <w:color w:val="auto"/>
          <w:kern w:val="0"/>
          <w:sz w:val="24"/>
          <w:szCs w:val="24"/>
        </w:rPr>
        <w:t>2.</w:t>
      </w:r>
      <w:r>
        <w:rPr>
          <w:rFonts w:hint="eastAsia" w:ascii="宋体" w:hAnsi="宋体" w:cs="仿宋"/>
          <w:color w:val="auto"/>
          <w:kern w:val="0"/>
          <w:sz w:val="24"/>
          <w:szCs w:val="24"/>
          <w:u w:val="single"/>
        </w:rPr>
        <w:t>（标的名称）</w:t>
      </w:r>
      <w:r>
        <w:rPr>
          <w:rFonts w:hint="eastAsia" w:ascii="宋体" w:hAnsi="宋体" w:cs="仿宋"/>
          <w:color w:val="auto"/>
          <w:kern w:val="0"/>
          <w:sz w:val="24"/>
          <w:szCs w:val="24"/>
        </w:rPr>
        <w:t>，属于</w:t>
      </w:r>
      <w:r>
        <w:rPr>
          <w:rFonts w:hint="eastAsia" w:ascii="宋体" w:hAnsi="宋体" w:cs="仿宋"/>
          <w:i/>
          <w:color w:val="auto"/>
          <w:kern w:val="0"/>
          <w:sz w:val="24"/>
          <w:szCs w:val="24"/>
          <w:u w:val="single"/>
        </w:rPr>
        <w:t>（采购文件中明确的所属行业）</w:t>
      </w:r>
      <w:r>
        <w:rPr>
          <w:rFonts w:hint="eastAsia" w:ascii="宋体" w:hAnsi="宋体" w:cs="仿宋"/>
          <w:color w:val="auto"/>
          <w:kern w:val="0"/>
          <w:sz w:val="24"/>
          <w:szCs w:val="24"/>
        </w:rPr>
        <w:t>行业；制造商为</w:t>
      </w:r>
      <w:r>
        <w:rPr>
          <w:rFonts w:hint="eastAsia" w:ascii="宋体" w:hAnsi="宋体" w:cs="仿宋"/>
          <w:i/>
          <w:color w:val="auto"/>
          <w:kern w:val="0"/>
          <w:sz w:val="24"/>
          <w:szCs w:val="24"/>
          <w:u w:val="single"/>
        </w:rPr>
        <w:t>（企业名称）</w:t>
      </w:r>
      <w:r>
        <w:rPr>
          <w:rFonts w:hint="eastAsia" w:ascii="宋体" w:hAnsi="宋体" w:cs="仿宋"/>
          <w:color w:val="auto"/>
          <w:kern w:val="0"/>
          <w:sz w:val="24"/>
          <w:szCs w:val="24"/>
        </w:rPr>
        <w:t>，从业人员</w:t>
      </w:r>
      <w:r>
        <w:rPr>
          <w:rFonts w:hint="eastAsia" w:ascii="宋体" w:hAnsi="宋体" w:cs="仿宋"/>
          <w:i/>
          <w:color w:val="auto"/>
          <w:kern w:val="0"/>
          <w:sz w:val="24"/>
          <w:szCs w:val="24"/>
          <w:u w:val="single"/>
        </w:rPr>
        <w:t xml:space="preserve">     </w:t>
      </w:r>
      <w:r>
        <w:rPr>
          <w:rFonts w:hint="eastAsia" w:ascii="宋体" w:hAnsi="宋体" w:cs="仿宋"/>
          <w:color w:val="auto"/>
          <w:kern w:val="0"/>
          <w:sz w:val="24"/>
          <w:szCs w:val="24"/>
        </w:rPr>
        <w:t>人，营业收入为</w:t>
      </w:r>
      <w:r>
        <w:rPr>
          <w:rFonts w:hint="eastAsia" w:ascii="宋体" w:hAnsi="宋体" w:cs="仿宋"/>
          <w:color w:val="auto"/>
          <w:kern w:val="0"/>
          <w:sz w:val="24"/>
          <w:szCs w:val="24"/>
          <w:u w:val="single"/>
        </w:rPr>
        <w:t xml:space="preserve">     </w:t>
      </w:r>
      <w:r>
        <w:rPr>
          <w:rFonts w:hint="eastAsia" w:ascii="宋体" w:hAnsi="宋体" w:cs="仿宋"/>
          <w:color w:val="auto"/>
          <w:kern w:val="0"/>
          <w:sz w:val="24"/>
          <w:szCs w:val="24"/>
        </w:rPr>
        <w:t>万元，资产总额为</w:t>
      </w:r>
      <w:r>
        <w:rPr>
          <w:rFonts w:hint="eastAsia" w:ascii="宋体" w:hAnsi="宋体" w:cs="仿宋"/>
          <w:color w:val="auto"/>
          <w:kern w:val="0"/>
          <w:sz w:val="24"/>
          <w:szCs w:val="24"/>
          <w:u w:val="single"/>
        </w:rPr>
        <w:t xml:space="preserve">     </w:t>
      </w:r>
      <w:r>
        <w:rPr>
          <w:rFonts w:hint="eastAsia" w:ascii="宋体" w:hAnsi="宋体" w:cs="仿宋"/>
          <w:color w:val="auto"/>
          <w:kern w:val="0"/>
          <w:sz w:val="24"/>
          <w:szCs w:val="24"/>
        </w:rPr>
        <w:t>万元，属于（中型企业、小型企业、微型企业）；</w:t>
      </w:r>
    </w:p>
    <w:p>
      <w:pPr>
        <w:autoSpaceDE w:val="0"/>
        <w:autoSpaceDN w:val="0"/>
        <w:adjustRightInd w:val="0"/>
        <w:ind w:firstLine="480" w:firstLineChars="200"/>
        <w:rPr>
          <w:rFonts w:ascii="宋体" w:hAnsi="宋体" w:cs="仿宋"/>
          <w:color w:val="auto"/>
          <w:kern w:val="0"/>
          <w:sz w:val="24"/>
          <w:szCs w:val="24"/>
        </w:rPr>
      </w:pPr>
      <w:r>
        <w:rPr>
          <w:rFonts w:hint="eastAsia" w:ascii="宋体" w:hAnsi="宋体" w:cs="仿宋"/>
          <w:color w:val="auto"/>
          <w:kern w:val="0"/>
          <w:sz w:val="24"/>
          <w:szCs w:val="24"/>
        </w:rPr>
        <w:t>……</w:t>
      </w:r>
    </w:p>
    <w:p>
      <w:pPr>
        <w:autoSpaceDE w:val="0"/>
        <w:autoSpaceDN w:val="0"/>
        <w:adjustRightInd w:val="0"/>
        <w:ind w:firstLine="480" w:firstLineChars="200"/>
        <w:rPr>
          <w:rFonts w:ascii="宋体" w:hAnsi="宋体" w:cs="仿宋"/>
          <w:color w:val="auto"/>
          <w:kern w:val="0"/>
          <w:sz w:val="24"/>
          <w:szCs w:val="24"/>
        </w:rPr>
      </w:pPr>
      <w:r>
        <w:rPr>
          <w:rFonts w:hint="eastAsia" w:ascii="宋体" w:hAnsi="宋体" w:cs="仿宋"/>
          <w:color w:val="auto"/>
          <w:kern w:val="0"/>
          <w:sz w:val="24"/>
          <w:szCs w:val="24"/>
        </w:rPr>
        <w:t>以上企业，不属于大企业的分支机构，不存在控股股东为大企业的情形，也不存在与大企业的负责人为同一人的情形。</w:t>
      </w:r>
    </w:p>
    <w:p>
      <w:pPr>
        <w:autoSpaceDE w:val="0"/>
        <w:autoSpaceDN w:val="0"/>
        <w:adjustRightInd w:val="0"/>
        <w:ind w:firstLine="480" w:firstLineChars="200"/>
        <w:rPr>
          <w:rFonts w:ascii="宋体" w:hAnsi="宋体" w:cs="仿宋"/>
          <w:color w:val="auto"/>
          <w:kern w:val="0"/>
          <w:sz w:val="24"/>
          <w:szCs w:val="24"/>
        </w:rPr>
      </w:pPr>
      <w:r>
        <w:rPr>
          <w:rFonts w:hint="eastAsia" w:ascii="宋体" w:hAnsi="宋体" w:cs="仿宋"/>
          <w:color w:val="auto"/>
          <w:kern w:val="0"/>
          <w:sz w:val="24"/>
          <w:szCs w:val="24"/>
        </w:rPr>
        <w:t>本企业对上述声明内容的真实性负责。如有虚假，将依法承担相应责任。</w:t>
      </w:r>
    </w:p>
    <w:p>
      <w:pPr>
        <w:autoSpaceDE w:val="0"/>
        <w:autoSpaceDN w:val="0"/>
        <w:adjustRightInd w:val="0"/>
        <w:ind w:firstLine="3960" w:firstLineChars="1650"/>
        <w:rPr>
          <w:rFonts w:ascii="宋体" w:hAnsi="宋体" w:cs="仿宋"/>
          <w:color w:val="auto"/>
          <w:kern w:val="0"/>
          <w:sz w:val="24"/>
          <w:szCs w:val="24"/>
        </w:rPr>
      </w:pPr>
      <w:r>
        <w:rPr>
          <w:rFonts w:hint="eastAsia" w:ascii="宋体" w:hAnsi="宋体" w:cs="仿宋"/>
          <w:color w:val="auto"/>
          <w:kern w:val="0"/>
          <w:sz w:val="24"/>
          <w:szCs w:val="24"/>
        </w:rPr>
        <w:t>企业名称（盖章）：</w:t>
      </w:r>
      <w:r>
        <w:rPr>
          <w:rFonts w:hint="eastAsia" w:ascii="宋体" w:hAnsi="宋体" w:cs="仿宋"/>
          <w:i/>
          <w:color w:val="auto"/>
          <w:kern w:val="0"/>
          <w:sz w:val="24"/>
          <w:szCs w:val="24"/>
          <w:u w:val="single"/>
        </w:rPr>
        <w:t>（投标供应商）</w:t>
      </w:r>
    </w:p>
    <w:p>
      <w:pPr>
        <w:autoSpaceDE w:val="0"/>
        <w:autoSpaceDN w:val="0"/>
        <w:adjustRightInd w:val="0"/>
        <w:ind w:firstLine="3960" w:firstLineChars="1650"/>
        <w:rPr>
          <w:rFonts w:ascii="宋体" w:hAnsi="宋体" w:cs="仿宋"/>
          <w:color w:val="auto"/>
          <w:kern w:val="0"/>
          <w:sz w:val="24"/>
          <w:szCs w:val="24"/>
        </w:rPr>
      </w:pPr>
      <w:r>
        <w:rPr>
          <w:rFonts w:hint="eastAsia" w:ascii="宋体" w:hAnsi="宋体" w:cs="仿宋"/>
          <w:color w:val="auto"/>
          <w:kern w:val="0"/>
          <w:sz w:val="24"/>
          <w:szCs w:val="24"/>
        </w:rPr>
        <w:t>日期：</w:t>
      </w:r>
    </w:p>
    <w:p>
      <w:pPr>
        <w:autoSpaceDE w:val="0"/>
        <w:autoSpaceDN w:val="0"/>
        <w:adjustRightInd w:val="0"/>
        <w:ind w:left="480" w:hanging="480" w:hangingChars="200"/>
        <w:rPr>
          <w:rFonts w:ascii="宋体" w:hAnsi="宋体" w:cs="宋体"/>
          <w:color w:val="auto"/>
          <w:kern w:val="0"/>
          <w:sz w:val="24"/>
          <w:szCs w:val="24"/>
        </w:rPr>
      </w:pPr>
      <w:r>
        <w:rPr>
          <w:rFonts w:hint="eastAsia" w:ascii="宋体" w:hAnsi="宋体" w:cs="宋体"/>
          <w:color w:val="auto"/>
          <w:kern w:val="0"/>
          <w:sz w:val="24"/>
          <w:szCs w:val="24"/>
        </w:rPr>
        <w:t>备注：</w:t>
      </w:r>
    </w:p>
    <w:p>
      <w:pPr>
        <w:autoSpaceDE w:val="0"/>
        <w:autoSpaceDN w:val="0"/>
        <w:adjustRightInd w:val="0"/>
        <w:ind w:left="480" w:hanging="480" w:hangingChars="200"/>
        <w:rPr>
          <w:rFonts w:ascii="宋体" w:hAnsi="宋体" w:cs="宋体"/>
          <w:color w:val="auto"/>
          <w:kern w:val="0"/>
          <w:sz w:val="24"/>
          <w:szCs w:val="24"/>
        </w:rPr>
      </w:pPr>
      <w:r>
        <w:rPr>
          <w:rFonts w:hint="eastAsia" w:ascii="宋体" w:hAnsi="宋体" w:cs="宋体"/>
          <w:color w:val="auto"/>
          <w:kern w:val="0"/>
          <w:sz w:val="24"/>
          <w:szCs w:val="24"/>
        </w:rPr>
        <w:t>1.  从业人员、营业收入、资产总额填报上一年度数据，无上一年度数据的新成立企业可不填报。</w:t>
      </w:r>
    </w:p>
    <w:p>
      <w:pPr>
        <w:autoSpaceDE w:val="0"/>
        <w:autoSpaceDN w:val="0"/>
        <w:adjustRightInd w:val="0"/>
        <w:ind w:left="480" w:hanging="480" w:hangingChars="200"/>
        <w:rPr>
          <w:rFonts w:ascii="宋体" w:hAnsi="宋体" w:cs="宋体"/>
          <w:color w:val="auto"/>
          <w:kern w:val="0"/>
          <w:sz w:val="24"/>
          <w:szCs w:val="24"/>
        </w:rPr>
      </w:pPr>
      <w:r>
        <w:rPr>
          <w:rFonts w:hint="eastAsia" w:ascii="宋体" w:hAnsi="宋体" w:cs="宋体"/>
          <w:color w:val="auto"/>
          <w:kern w:val="0"/>
          <w:sz w:val="24"/>
          <w:szCs w:val="24"/>
        </w:rPr>
        <w:t>2. 《中小企业声明函》由参加本项目（采购包）政府采购活动的报价供应商出具。声明函的企业名称为报价供应商的名称，以联合体形式报价的，企业名称可表述为“成员1全称、成员2全称、……、成员……全称联合体”，并由《联合协议》约定的方式加盖公章及签署；以合同分包形式投标的，企业名称可表述为“投标供应商全称”，并由投标供应商加盖公章及签署。</w:t>
      </w:r>
    </w:p>
    <w:p>
      <w:pPr>
        <w:autoSpaceDE w:val="0"/>
        <w:autoSpaceDN w:val="0"/>
        <w:adjustRightInd w:val="0"/>
        <w:ind w:left="480" w:hanging="480" w:hangingChars="200"/>
        <w:rPr>
          <w:rFonts w:ascii="宋体" w:hAnsi="宋体" w:cs="宋体"/>
          <w:color w:val="auto"/>
          <w:kern w:val="0"/>
          <w:sz w:val="24"/>
          <w:szCs w:val="24"/>
        </w:rPr>
      </w:pPr>
      <w:r>
        <w:rPr>
          <w:rFonts w:hint="eastAsia" w:ascii="宋体" w:hAnsi="宋体" w:cs="宋体"/>
          <w:color w:val="auto"/>
          <w:kern w:val="0"/>
          <w:sz w:val="24"/>
          <w:szCs w:val="24"/>
        </w:rPr>
        <w:t>3.  要求以联合体形式（或合同分包形式）参加政府采购活动的，《中小企业声明函》中需填写联合体中的中小企业或签订分包意向协议的中小企业相关信息。对于联合体中由中小企业承担的部分，或者分包给中小企业的部分，必须全部由中小企业制造（货物类项目）【/承建（工程类项目）或者承接（服务类项目）】。供应商应当在声明函“（标的名称）”处标明联合体中中小企业承担的具体内容或者中小企业的具体分包内容。</w:t>
      </w:r>
    </w:p>
    <w:p>
      <w:pPr>
        <w:autoSpaceDE w:val="0"/>
        <w:autoSpaceDN w:val="0"/>
        <w:adjustRightInd w:val="0"/>
        <w:ind w:left="480" w:hanging="480" w:hangingChars="200"/>
        <w:rPr>
          <w:rFonts w:ascii="宋体" w:hAnsi="宋体" w:cs="宋体"/>
          <w:color w:val="auto"/>
          <w:kern w:val="0"/>
          <w:sz w:val="24"/>
          <w:szCs w:val="24"/>
        </w:rPr>
      </w:pPr>
      <w:r>
        <w:rPr>
          <w:rFonts w:hint="eastAsia" w:ascii="宋体" w:hAnsi="宋体" w:cs="宋体"/>
          <w:color w:val="auto"/>
          <w:kern w:val="0"/>
          <w:sz w:val="24"/>
          <w:szCs w:val="24"/>
        </w:rPr>
        <w:t>4.  新成立企业应参照国务院批准的中小企业划分标准，根据企业自身情况如实判断。认为该企业属于中小企业的，可按照《政府采购促进中小企业发展管理办法》（财库﹝</w:t>
      </w:r>
      <w:r>
        <w:rPr>
          <w:rFonts w:ascii="宋体" w:hAnsi="宋体" w:cs="宋体"/>
          <w:color w:val="auto"/>
          <w:kern w:val="0"/>
          <w:sz w:val="24"/>
          <w:szCs w:val="24"/>
        </w:rPr>
        <w:t>2020</w:t>
      </w:r>
      <w:r>
        <w:rPr>
          <w:rFonts w:hint="eastAsia" w:ascii="宋体" w:hAnsi="宋体" w:cs="宋体"/>
          <w:color w:val="auto"/>
          <w:kern w:val="0"/>
          <w:sz w:val="24"/>
          <w:szCs w:val="24"/>
        </w:rPr>
        <w:t>﹞</w:t>
      </w:r>
      <w:r>
        <w:rPr>
          <w:rFonts w:ascii="宋体" w:hAnsi="宋体" w:cs="宋体"/>
          <w:color w:val="auto"/>
          <w:kern w:val="0"/>
          <w:sz w:val="24"/>
          <w:szCs w:val="24"/>
        </w:rPr>
        <w:t xml:space="preserve">46 </w:t>
      </w:r>
      <w:r>
        <w:rPr>
          <w:rFonts w:hint="eastAsia" w:ascii="宋体" w:hAnsi="宋体" w:cs="宋体"/>
          <w:color w:val="auto"/>
          <w:kern w:val="0"/>
          <w:sz w:val="24"/>
          <w:szCs w:val="24"/>
        </w:rPr>
        <w:t>号）的规定出具《中小企业声明函》，享受相关扶持政策。</w:t>
      </w:r>
    </w:p>
    <w:p>
      <w:pPr>
        <w:autoSpaceDE w:val="0"/>
        <w:autoSpaceDN w:val="0"/>
        <w:adjustRightInd w:val="0"/>
        <w:ind w:left="480" w:hanging="480" w:hangingChars="200"/>
        <w:rPr>
          <w:rFonts w:ascii="宋体" w:hAnsi="宋体" w:cs="宋体"/>
          <w:color w:val="auto"/>
          <w:kern w:val="0"/>
          <w:sz w:val="24"/>
          <w:szCs w:val="24"/>
        </w:rPr>
      </w:pPr>
      <w:r>
        <w:rPr>
          <w:rFonts w:hint="eastAsia" w:ascii="宋体" w:hAnsi="宋体" w:cs="宋体"/>
          <w:color w:val="auto"/>
          <w:kern w:val="0"/>
          <w:sz w:val="24"/>
          <w:szCs w:val="24"/>
        </w:rPr>
        <w:t>5.  投标供应商应当对其出具的《中小企业声明函》真实性负责，投标供应商出具的《中小企业声明函》内容不实的，属于提供虚假材料谋取中标。投标供应商提供其他小微企业制造的货物（货物类项目）【/承建的工程（工程类项目）或者承接的服务（服务类项目）】，希望获得《办法》规定政策支持的，应从相关其他小微企业处获得充分、准确的信息，确保出具的《中小企业声明函》真实、准确。</w:t>
      </w:r>
    </w:p>
    <w:p>
      <w:pPr>
        <w:autoSpaceDE w:val="0"/>
        <w:autoSpaceDN w:val="0"/>
        <w:adjustRightInd w:val="0"/>
        <w:ind w:left="480" w:hanging="480" w:hangingChars="200"/>
        <w:rPr>
          <w:rFonts w:ascii="宋体" w:hAnsi="宋体"/>
          <w:color w:val="auto"/>
          <w:sz w:val="24"/>
          <w:szCs w:val="24"/>
        </w:rPr>
      </w:pPr>
      <w:r>
        <w:rPr>
          <w:rFonts w:hint="eastAsia" w:ascii="宋体" w:hAnsi="宋体"/>
          <w:color w:val="auto"/>
          <w:sz w:val="24"/>
          <w:szCs w:val="24"/>
        </w:rPr>
        <w:t>6.  说明：供应商应当认真填写声明函，若有虚假将追究其责任。供应商可通过“</w:t>
      </w:r>
      <w:r>
        <w:rPr>
          <w:rFonts w:hint="eastAsia" w:ascii="宋体" w:hAnsi="宋体" w:cs="宋体"/>
          <w:color w:val="auto"/>
          <w:kern w:val="0"/>
          <w:sz w:val="24"/>
          <w:szCs w:val="24"/>
        </w:rPr>
        <w:t>国家企业信用信息公示系统</w:t>
      </w:r>
      <w:r>
        <w:rPr>
          <w:rFonts w:hint="eastAsia" w:ascii="宋体" w:hAnsi="宋体"/>
          <w:color w:val="auto"/>
          <w:sz w:val="24"/>
          <w:szCs w:val="24"/>
        </w:rPr>
        <w:t>”（http://www.gsxt.gov.cn/index.html），点击“小微企业名录”（http://xwqy.gsxt.gov.cn/）进行搜索、查询，自行核实是否属于小微企业。</w:t>
      </w:r>
    </w:p>
    <w:p>
      <w:pPr>
        <w:autoSpaceDE w:val="0"/>
        <w:autoSpaceDN w:val="0"/>
        <w:spacing w:line="360" w:lineRule="auto"/>
        <w:rPr>
          <w:rFonts w:ascii="宋体" w:hAnsi="宋体"/>
          <w:color w:val="auto"/>
          <w:sz w:val="24"/>
          <w:szCs w:val="24"/>
        </w:rPr>
      </w:pPr>
    </w:p>
    <w:p>
      <w:pPr>
        <w:pStyle w:val="6"/>
        <w:numPr>
          <w:ilvl w:val="1"/>
          <w:numId w:val="99"/>
        </w:numPr>
        <w:tabs>
          <w:tab w:val="left" w:pos="945"/>
        </w:tabs>
        <w:ind w:left="0" w:firstLine="0"/>
        <w:rPr>
          <w:rFonts w:ascii="宋体" w:hAnsi="宋体"/>
          <w:color w:val="auto"/>
          <w:szCs w:val="24"/>
        </w:rPr>
      </w:pPr>
      <w:bookmarkStart w:id="417" w:name="_Toc22806218"/>
      <w:r>
        <w:rPr>
          <w:rFonts w:hint="eastAsia" w:ascii="宋体" w:hAnsi="宋体"/>
          <w:color w:val="auto"/>
          <w:szCs w:val="24"/>
        </w:rPr>
        <w:t>监狱企业证明文件</w:t>
      </w:r>
      <w:bookmarkEnd w:id="417"/>
      <w:r>
        <w:rPr>
          <w:rFonts w:hint="eastAsia" w:ascii="宋体" w:hAnsi="宋体"/>
          <w:color w:val="auto"/>
          <w:szCs w:val="24"/>
        </w:rPr>
        <w:t>（如适用）</w:t>
      </w:r>
    </w:p>
    <w:p>
      <w:pPr>
        <w:spacing w:line="360" w:lineRule="auto"/>
        <w:jc w:val="center"/>
        <w:rPr>
          <w:rFonts w:ascii="宋体" w:hAnsi="宋体"/>
          <w:b/>
          <w:color w:val="auto"/>
          <w:sz w:val="32"/>
          <w:szCs w:val="32"/>
        </w:rPr>
      </w:pPr>
      <w:r>
        <w:rPr>
          <w:rFonts w:hint="eastAsia" w:ascii="宋体" w:hAnsi="宋体"/>
          <w:b/>
          <w:color w:val="auto"/>
          <w:sz w:val="32"/>
          <w:szCs w:val="32"/>
        </w:rPr>
        <w:t>监狱企业证明文件</w:t>
      </w:r>
    </w:p>
    <w:p>
      <w:pPr>
        <w:spacing w:line="360" w:lineRule="auto"/>
        <w:ind w:firstLine="360" w:firstLineChars="150"/>
        <w:rPr>
          <w:rFonts w:ascii="宋体" w:hAnsi="宋体"/>
          <w:color w:val="auto"/>
          <w:sz w:val="24"/>
          <w:szCs w:val="24"/>
        </w:rPr>
      </w:pPr>
      <w:r>
        <w:rPr>
          <w:rFonts w:hint="eastAsia" w:ascii="宋体" w:hAnsi="宋体"/>
          <w:color w:val="auto"/>
          <w:sz w:val="24"/>
          <w:szCs w:val="24"/>
        </w:rPr>
        <w:t>根据《财政部 司法部关于政府采购支持监狱企业发展有关问题的通知》（财库〔2014〕68号），监狱企业参加政府采购活动时，应当提供由省级以上监狱管理局、戒毒管理局（含新疆生产建设兵团）出具的属于监狱企业的证明文件复印件（加盖投标人公章），否则不能享受政府采购政策评审优惠。</w:t>
      </w:r>
    </w:p>
    <w:p>
      <w:pPr>
        <w:ind w:left="360"/>
        <w:rPr>
          <w:rFonts w:ascii="宋体" w:hAnsi="宋体"/>
          <w:b/>
          <w:color w:val="auto"/>
          <w:sz w:val="24"/>
          <w:szCs w:val="24"/>
        </w:rPr>
      </w:pPr>
      <w:r>
        <w:rPr>
          <w:rFonts w:hint="eastAsia" w:ascii="宋体" w:hAnsi="宋体"/>
          <w:b/>
          <w:color w:val="auto"/>
          <w:sz w:val="24"/>
          <w:szCs w:val="24"/>
        </w:rPr>
        <w:t>备注：</w:t>
      </w:r>
    </w:p>
    <w:p>
      <w:pPr>
        <w:ind w:firstLine="480" w:firstLineChars="200"/>
        <w:rPr>
          <w:rFonts w:ascii="宋体" w:hAnsi="宋体"/>
          <w:color w:val="auto"/>
          <w:spacing w:val="6"/>
          <w:sz w:val="24"/>
          <w:szCs w:val="24"/>
        </w:rPr>
      </w:pPr>
      <w:r>
        <w:rPr>
          <w:rFonts w:hint="eastAsia" w:ascii="宋体" w:hAnsi="宋体"/>
          <w:b/>
          <w:color w:val="auto"/>
          <w:sz w:val="24"/>
          <w:szCs w:val="24"/>
        </w:rPr>
        <w:t>1.</w:t>
      </w:r>
      <w:r>
        <w:rPr>
          <w:rFonts w:hint="eastAsia" w:ascii="宋体" w:hAnsi="宋体"/>
          <w:color w:val="auto"/>
          <w:spacing w:val="6"/>
          <w:sz w:val="24"/>
          <w:szCs w:val="24"/>
        </w:rPr>
        <w:t>联合体投标的，联合体成员中有多个</w:t>
      </w:r>
      <w:r>
        <w:rPr>
          <w:rFonts w:hint="eastAsia" w:ascii="宋体" w:hAnsi="宋体"/>
          <w:color w:val="auto"/>
          <w:sz w:val="24"/>
          <w:szCs w:val="24"/>
        </w:rPr>
        <w:t>监狱企业的</w:t>
      </w:r>
      <w:r>
        <w:rPr>
          <w:rFonts w:hint="eastAsia" w:ascii="宋体" w:hAnsi="宋体"/>
          <w:color w:val="auto"/>
          <w:spacing w:val="6"/>
          <w:sz w:val="24"/>
          <w:szCs w:val="24"/>
        </w:rPr>
        <w:t>，各</w:t>
      </w:r>
      <w:r>
        <w:rPr>
          <w:rFonts w:hint="eastAsia" w:ascii="宋体" w:hAnsi="宋体"/>
          <w:color w:val="auto"/>
          <w:sz w:val="24"/>
          <w:szCs w:val="24"/>
        </w:rPr>
        <w:t>监狱企业</w:t>
      </w:r>
      <w:r>
        <w:rPr>
          <w:rFonts w:hint="eastAsia" w:ascii="宋体" w:hAnsi="宋体"/>
          <w:color w:val="auto"/>
          <w:spacing w:val="6"/>
          <w:sz w:val="24"/>
          <w:szCs w:val="24"/>
        </w:rPr>
        <w:t>分别提供证明文件复印件，均加盖投标人</w:t>
      </w:r>
      <w:r>
        <w:rPr>
          <w:rFonts w:hint="eastAsia" w:ascii="宋体" w:hAnsi="宋体"/>
          <w:color w:val="auto"/>
          <w:sz w:val="24"/>
          <w:szCs w:val="24"/>
        </w:rPr>
        <w:t>公章</w:t>
      </w:r>
      <w:r>
        <w:rPr>
          <w:rFonts w:hint="eastAsia" w:ascii="宋体" w:hAnsi="宋体"/>
          <w:color w:val="auto"/>
          <w:spacing w:val="6"/>
          <w:sz w:val="24"/>
          <w:szCs w:val="24"/>
        </w:rPr>
        <w:t>确认。</w:t>
      </w:r>
    </w:p>
    <w:p>
      <w:pPr>
        <w:ind w:firstLine="480" w:firstLineChars="200"/>
        <w:rPr>
          <w:rFonts w:ascii="宋体" w:hAnsi="宋体"/>
          <w:color w:val="auto"/>
          <w:spacing w:val="6"/>
          <w:sz w:val="24"/>
          <w:szCs w:val="24"/>
        </w:rPr>
      </w:pPr>
      <w:r>
        <w:rPr>
          <w:rFonts w:hint="eastAsia" w:ascii="宋体" w:hAnsi="宋体"/>
          <w:color w:val="auto"/>
          <w:sz w:val="24"/>
          <w:szCs w:val="24"/>
        </w:rPr>
        <w:t>2.以合同分包形式参加投标的，成员中有多个监狱企业的，</w:t>
      </w:r>
      <w:r>
        <w:rPr>
          <w:rFonts w:hint="eastAsia" w:ascii="宋体" w:hAnsi="宋体"/>
          <w:color w:val="auto"/>
          <w:spacing w:val="6"/>
          <w:sz w:val="24"/>
          <w:szCs w:val="24"/>
        </w:rPr>
        <w:t>各</w:t>
      </w:r>
      <w:r>
        <w:rPr>
          <w:rFonts w:hint="eastAsia" w:ascii="宋体" w:hAnsi="宋体"/>
          <w:color w:val="auto"/>
          <w:sz w:val="24"/>
          <w:szCs w:val="24"/>
        </w:rPr>
        <w:t>监狱企业</w:t>
      </w:r>
      <w:r>
        <w:rPr>
          <w:rFonts w:hint="eastAsia" w:ascii="宋体" w:hAnsi="宋体"/>
          <w:color w:val="auto"/>
          <w:spacing w:val="6"/>
          <w:sz w:val="24"/>
          <w:szCs w:val="24"/>
        </w:rPr>
        <w:t>分别提供证明文件复印件，再按《分包意向协议》的约定加盖投标人</w:t>
      </w:r>
      <w:r>
        <w:rPr>
          <w:rFonts w:hint="eastAsia" w:ascii="宋体" w:hAnsi="宋体"/>
          <w:color w:val="auto"/>
          <w:sz w:val="24"/>
          <w:szCs w:val="24"/>
        </w:rPr>
        <w:t>公章</w:t>
      </w:r>
      <w:r>
        <w:rPr>
          <w:rFonts w:hint="eastAsia" w:ascii="宋体" w:hAnsi="宋体"/>
          <w:color w:val="auto"/>
          <w:spacing w:val="6"/>
          <w:sz w:val="24"/>
          <w:szCs w:val="24"/>
        </w:rPr>
        <w:t>确认。</w:t>
      </w:r>
    </w:p>
    <w:p>
      <w:pPr>
        <w:ind w:firstLine="480" w:firstLineChars="200"/>
        <w:rPr>
          <w:rFonts w:ascii="宋体" w:hAnsi="宋体"/>
          <w:color w:val="auto"/>
          <w:sz w:val="24"/>
          <w:szCs w:val="24"/>
        </w:rPr>
      </w:pPr>
    </w:p>
    <w:p>
      <w:pPr>
        <w:pStyle w:val="6"/>
        <w:numPr>
          <w:ilvl w:val="1"/>
          <w:numId w:val="99"/>
        </w:numPr>
        <w:tabs>
          <w:tab w:val="left" w:pos="945"/>
        </w:tabs>
        <w:ind w:left="0" w:firstLine="0"/>
        <w:rPr>
          <w:rFonts w:ascii="宋体" w:hAnsi="宋体"/>
          <w:color w:val="auto"/>
          <w:szCs w:val="24"/>
        </w:rPr>
      </w:pPr>
      <w:bookmarkStart w:id="418" w:name="_Toc22806219"/>
      <w:r>
        <w:rPr>
          <w:rFonts w:hint="eastAsia" w:ascii="宋体" w:hAnsi="宋体"/>
          <w:color w:val="auto"/>
          <w:szCs w:val="24"/>
        </w:rPr>
        <w:t>残疾人福利性单位声明</w:t>
      </w:r>
      <w:bookmarkEnd w:id="418"/>
      <w:r>
        <w:rPr>
          <w:rFonts w:hint="eastAsia" w:ascii="宋体" w:hAnsi="宋体"/>
          <w:color w:val="auto"/>
          <w:szCs w:val="24"/>
        </w:rPr>
        <w:t>（如适用）</w:t>
      </w:r>
    </w:p>
    <w:p>
      <w:pPr>
        <w:spacing w:line="360" w:lineRule="auto"/>
        <w:jc w:val="center"/>
        <w:rPr>
          <w:rFonts w:ascii="宋体" w:hAnsi="宋体"/>
          <w:b/>
          <w:color w:val="auto"/>
          <w:sz w:val="32"/>
          <w:szCs w:val="32"/>
        </w:rPr>
      </w:pPr>
      <w:r>
        <w:rPr>
          <w:rFonts w:hint="eastAsia" w:ascii="宋体" w:hAnsi="宋体"/>
          <w:b/>
          <w:color w:val="auto"/>
          <w:sz w:val="32"/>
          <w:szCs w:val="32"/>
        </w:rPr>
        <w:t>残疾人福利性单位声明函</w:t>
      </w:r>
    </w:p>
    <w:p>
      <w:pPr>
        <w:spacing w:line="360" w:lineRule="auto"/>
        <w:ind w:firstLine="480" w:firstLineChars="200"/>
        <w:rPr>
          <w:rFonts w:ascii="宋体" w:hAnsi="宋体"/>
          <w:color w:val="auto"/>
          <w:sz w:val="24"/>
          <w:szCs w:val="24"/>
        </w:rPr>
      </w:pPr>
      <w:r>
        <w:rPr>
          <w:rFonts w:hint="eastAsia" w:ascii="宋体" w:hAnsi="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i/>
          <w:color w:val="auto"/>
          <w:sz w:val="24"/>
          <w:szCs w:val="24"/>
          <w:u w:val="single"/>
        </w:rPr>
        <w:t>（采购人名称）</w:t>
      </w:r>
      <w:r>
        <w:rPr>
          <w:rFonts w:hint="eastAsia" w:ascii="宋体" w:hAnsi="宋体"/>
          <w:color w:val="auto"/>
          <w:sz w:val="24"/>
          <w:szCs w:val="24"/>
        </w:rPr>
        <w:t>单位的</w:t>
      </w:r>
      <w:r>
        <w:rPr>
          <w:rFonts w:hint="eastAsia" w:ascii="宋体" w:hAnsi="宋体"/>
          <w:color w:val="auto"/>
          <w:sz w:val="24"/>
          <w:szCs w:val="24"/>
          <w:u w:val="single"/>
          <w:lang w:eastAsia="zh-CN"/>
        </w:rPr>
        <w:t>工业和信息化部电子第五研究所动力电池配套使用环境试验箱采购项目</w:t>
      </w:r>
      <w:r>
        <w:rPr>
          <w:rFonts w:hint="eastAsia" w:ascii="宋体" w:hAnsi="宋体"/>
          <w:color w:val="auto"/>
          <w:sz w:val="24"/>
          <w:szCs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olor w:val="auto"/>
          <w:sz w:val="24"/>
          <w:szCs w:val="24"/>
        </w:rPr>
      </w:pPr>
      <w:r>
        <w:rPr>
          <w:rFonts w:hint="eastAsia" w:ascii="宋体" w:hAnsi="宋体"/>
          <w:color w:val="auto"/>
          <w:sz w:val="24"/>
          <w:szCs w:val="24"/>
        </w:rPr>
        <w:t>本单位对上述声明的真实性负责。如有虚假，将依法承担相应责任。</w:t>
      </w:r>
    </w:p>
    <w:p>
      <w:pPr>
        <w:autoSpaceDE w:val="0"/>
        <w:autoSpaceDN w:val="0"/>
        <w:spacing w:line="360" w:lineRule="auto"/>
        <w:rPr>
          <w:rFonts w:ascii="宋体" w:hAnsi="宋体"/>
          <w:color w:val="auto"/>
          <w:sz w:val="24"/>
          <w:szCs w:val="24"/>
        </w:rPr>
      </w:pPr>
      <w:r>
        <w:rPr>
          <w:rFonts w:hint="eastAsia" w:ascii="宋体" w:hAnsi="宋体"/>
          <w:color w:val="auto"/>
          <w:sz w:val="24"/>
          <w:szCs w:val="24"/>
        </w:rPr>
        <w:t>单位名称（加盖公章）：</w:t>
      </w:r>
      <w:r>
        <w:rPr>
          <w:rFonts w:hint="eastAsia" w:ascii="宋体" w:hAnsi="宋体"/>
          <w:color w:val="auto"/>
          <w:sz w:val="24"/>
          <w:szCs w:val="24"/>
          <w:u w:val="single"/>
        </w:rPr>
        <w:t xml:space="preserve">  </w:t>
      </w:r>
      <w:r>
        <w:rPr>
          <w:rFonts w:hint="eastAsia" w:ascii="宋体" w:hAnsi="宋体"/>
          <w:i/>
          <w:color w:val="auto"/>
          <w:sz w:val="24"/>
          <w:szCs w:val="24"/>
          <w:u w:val="single"/>
        </w:rPr>
        <w:t>（单位名称为出具声明函的单位名称，并盖该单位公章）</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日期：</w:t>
      </w:r>
      <w:r>
        <w:rPr>
          <w:rFonts w:hint="eastAsia" w:ascii="宋体" w:hAnsi="宋体"/>
          <w:color w:val="auto"/>
          <w:sz w:val="24"/>
          <w:szCs w:val="24"/>
          <w:u w:val="single"/>
        </w:rPr>
        <w:t xml:space="preserve">        </w:t>
      </w:r>
      <w:r>
        <w:rPr>
          <w:rFonts w:hint="eastAsia" w:ascii="宋体" w:hAnsi="宋体"/>
          <w:color w:val="auto"/>
          <w:sz w:val="24"/>
          <w:szCs w:val="24"/>
        </w:rPr>
        <w:t>年</w:t>
      </w:r>
      <w:r>
        <w:rPr>
          <w:rFonts w:hint="eastAsia" w:ascii="宋体" w:hAnsi="宋体"/>
          <w:color w:val="auto"/>
          <w:sz w:val="24"/>
          <w:szCs w:val="24"/>
          <w:u w:val="single"/>
        </w:rPr>
        <w:t xml:space="preserve">    </w:t>
      </w:r>
      <w:r>
        <w:rPr>
          <w:rFonts w:hint="eastAsia" w:ascii="宋体" w:hAnsi="宋体"/>
          <w:color w:val="auto"/>
          <w:sz w:val="24"/>
          <w:szCs w:val="24"/>
        </w:rPr>
        <w:t>月</w:t>
      </w:r>
      <w:r>
        <w:rPr>
          <w:rFonts w:hint="eastAsia" w:ascii="宋体" w:hAnsi="宋体"/>
          <w:color w:val="auto"/>
          <w:sz w:val="24"/>
          <w:szCs w:val="24"/>
          <w:u w:val="single"/>
        </w:rPr>
        <w:t xml:space="preserve">    </w:t>
      </w:r>
      <w:r>
        <w:rPr>
          <w:rFonts w:hint="eastAsia" w:ascii="宋体" w:hAnsi="宋体"/>
          <w:color w:val="auto"/>
          <w:sz w:val="24"/>
          <w:szCs w:val="24"/>
        </w:rPr>
        <w:t>日</w:t>
      </w:r>
    </w:p>
    <w:p>
      <w:pPr>
        <w:autoSpaceDE w:val="0"/>
        <w:autoSpaceDN w:val="0"/>
        <w:rPr>
          <w:rFonts w:ascii="宋体" w:hAnsi="宋体"/>
          <w:b/>
          <w:color w:val="auto"/>
          <w:sz w:val="24"/>
          <w:szCs w:val="24"/>
        </w:rPr>
      </w:pPr>
      <w:r>
        <w:rPr>
          <w:rFonts w:hint="eastAsia" w:ascii="宋体" w:hAnsi="宋体"/>
          <w:b/>
          <w:color w:val="auto"/>
          <w:sz w:val="24"/>
          <w:szCs w:val="24"/>
        </w:rPr>
        <w:t>备注：</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 xml:space="preserve">1.中标人为残疾人福利性单位的，将会随中标结果同时公告其《残疾人福利性单 位声明函》，接受社会监督。 </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2.提供的《残疾人福利性单位声明函》与事实不符的，依照《政府采购法》第七十七条第一款的规定追究法律责任。</w:t>
      </w:r>
    </w:p>
    <w:p>
      <w:pPr>
        <w:autoSpaceDE w:val="0"/>
        <w:autoSpaceDN w:val="0"/>
        <w:ind w:firstLine="480" w:firstLineChars="200"/>
        <w:rPr>
          <w:rFonts w:ascii="宋体" w:hAnsi="宋体"/>
          <w:color w:val="auto"/>
          <w:spacing w:val="6"/>
          <w:sz w:val="24"/>
          <w:szCs w:val="24"/>
        </w:rPr>
      </w:pPr>
      <w:r>
        <w:rPr>
          <w:rFonts w:hint="eastAsia" w:ascii="宋体" w:hAnsi="宋体"/>
          <w:color w:val="auto"/>
          <w:sz w:val="24"/>
          <w:szCs w:val="24"/>
        </w:rPr>
        <w:t>3.</w:t>
      </w:r>
      <w:r>
        <w:rPr>
          <w:rFonts w:hint="eastAsia" w:ascii="宋体" w:hAnsi="宋体"/>
          <w:color w:val="auto"/>
          <w:spacing w:val="6"/>
          <w:sz w:val="24"/>
          <w:szCs w:val="24"/>
        </w:rPr>
        <w:t>联合体投标的，联合体成员中有多个</w:t>
      </w:r>
      <w:r>
        <w:rPr>
          <w:rFonts w:hint="eastAsia" w:ascii="宋体" w:hAnsi="宋体"/>
          <w:color w:val="auto"/>
          <w:sz w:val="24"/>
          <w:szCs w:val="24"/>
        </w:rPr>
        <w:t>残疾人福利性单位</w:t>
      </w:r>
      <w:r>
        <w:rPr>
          <w:rFonts w:hint="eastAsia" w:ascii="宋体" w:hAnsi="宋体"/>
          <w:color w:val="auto"/>
          <w:spacing w:val="6"/>
          <w:sz w:val="24"/>
          <w:szCs w:val="24"/>
        </w:rPr>
        <w:t>的，各</w:t>
      </w:r>
      <w:r>
        <w:rPr>
          <w:rFonts w:hint="eastAsia" w:ascii="宋体" w:hAnsi="宋体"/>
          <w:color w:val="auto"/>
          <w:sz w:val="24"/>
          <w:szCs w:val="24"/>
        </w:rPr>
        <w:t>残疾人福利性单位</w:t>
      </w:r>
      <w:r>
        <w:rPr>
          <w:rFonts w:hint="eastAsia" w:ascii="宋体" w:hAnsi="宋体"/>
          <w:color w:val="auto"/>
          <w:spacing w:val="6"/>
          <w:sz w:val="24"/>
          <w:szCs w:val="24"/>
        </w:rPr>
        <w:t>分别提供《残疾人福利性单位声明函》（由各</w:t>
      </w:r>
      <w:r>
        <w:rPr>
          <w:rFonts w:hint="eastAsia" w:ascii="宋体" w:hAnsi="宋体"/>
          <w:color w:val="auto"/>
          <w:sz w:val="24"/>
          <w:szCs w:val="24"/>
        </w:rPr>
        <w:t>残疾人福利性单位</w:t>
      </w:r>
      <w:r>
        <w:rPr>
          <w:rFonts w:hint="eastAsia" w:ascii="宋体" w:hAnsi="宋体"/>
          <w:color w:val="auto"/>
          <w:spacing w:val="6"/>
          <w:sz w:val="24"/>
          <w:szCs w:val="24"/>
        </w:rPr>
        <w:t>盖章确认）。</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4.以合同分包形式</w:t>
      </w:r>
      <w:r>
        <w:rPr>
          <w:rFonts w:hint="eastAsia" w:ascii="宋体" w:hAnsi="宋体"/>
          <w:color w:val="auto"/>
          <w:spacing w:val="6"/>
          <w:sz w:val="24"/>
          <w:szCs w:val="24"/>
        </w:rPr>
        <w:t>投标的，成员中有多个</w:t>
      </w:r>
      <w:r>
        <w:rPr>
          <w:rFonts w:hint="eastAsia" w:ascii="宋体" w:hAnsi="宋体"/>
          <w:color w:val="auto"/>
          <w:sz w:val="24"/>
          <w:szCs w:val="24"/>
        </w:rPr>
        <w:t>残疾人福利性单位</w:t>
      </w:r>
      <w:r>
        <w:rPr>
          <w:rFonts w:hint="eastAsia" w:ascii="宋体" w:hAnsi="宋体"/>
          <w:color w:val="auto"/>
          <w:spacing w:val="6"/>
          <w:sz w:val="24"/>
          <w:szCs w:val="24"/>
        </w:rPr>
        <w:t>的，各</w:t>
      </w:r>
      <w:r>
        <w:rPr>
          <w:rFonts w:hint="eastAsia" w:ascii="宋体" w:hAnsi="宋体"/>
          <w:color w:val="auto"/>
          <w:sz w:val="24"/>
          <w:szCs w:val="24"/>
        </w:rPr>
        <w:t>残疾人福利性单位</w:t>
      </w:r>
      <w:r>
        <w:rPr>
          <w:rFonts w:hint="eastAsia" w:ascii="宋体" w:hAnsi="宋体"/>
          <w:color w:val="auto"/>
          <w:spacing w:val="6"/>
          <w:sz w:val="24"/>
          <w:szCs w:val="24"/>
        </w:rPr>
        <w:t>分别提供《残疾人福利性单位声明函》（由各</w:t>
      </w:r>
      <w:r>
        <w:rPr>
          <w:rFonts w:hint="eastAsia" w:ascii="宋体" w:hAnsi="宋体"/>
          <w:color w:val="auto"/>
          <w:sz w:val="24"/>
          <w:szCs w:val="24"/>
        </w:rPr>
        <w:t>残疾人福利性单位</w:t>
      </w:r>
      <w:r>
        <w:rPr>
          <w:rFonts w:hint="eastAsia" w:ascii="宋体" w:hAnsi="宋体"/>
          <w:color w:val="auto"/>
          <w:spacing w:val="6"/>
          <w:sz w:val="24"/>
          <w:szCs w:val="24"/>
        </w:rPr>
        <w:t>盖章确认）。</w:t>
      </w:r>
    </w:p>
    <w:p>
      <w:pPr>
        <w:pStyle w:val="5"/>
        <w:numPr>
          <w:ilvl w:val="0"/>
          <w:numId w:val="99"/>
        </w:numPr>
        <w:tabs>
          <w:tab w:val="left" w:pos="945"/>
        </w:tabs>
        <w:spacing w:before="0" w:after="0" w:line="360" w:lineRule="auto"/>
        <w:ind w:left="0" w:firstLine="0"/>
        <w:rPr>
          <w:color w:val="auto"/>
          <w:sz w:val="28"/>
          <w:szCs w:val="28"/>
        </w:rPr>
      </w:pPr>
      <w:bookmarkStart w:id="419" w:name="_Toc22806220"/>
      <w:bookmarkStart w:id="420" w:name="_Toc21932"/>
      <w:bookmarkStart w:id="421" w:name="_Toc54335482"/>
      <w:r>
        <w:rPr>
          <w:rFonts w:hint="eastAsia"/>
          <w:color w:val="auto"/>
          <w:sz w:val="28"/>
          <w:szCs w:val="28"/>
        </w:rPr>
        <w:t>采购代理服务费支付承诺书</w:t>
      </w:r>
      <w:bookmarkEnd w:id="419"/>
      <w:bookmarkEnd w:id="420"/>
      <w:bookmarkEnd w:id="421"/>
    </w:p>
    <w:p>
      <w:pPr>
        <w:spacing w:line="360" w:lineRule="auto"/>
        <w:jc w:val="center"/>
        <w:rPr>
          <w:rFonts w:ascii="宋体" w:hAnsi="宋体"/>
          <w:b/>
          <w:color w:val="auto"/>
          <w:sz w:val="32"/>
          <w:szCs w:val="32"/>
        </w:rPr>
      </w:pPr>
      <w:r>
        <w:rPr>
          <w:rFonts w:hint="eastAsia" w:ascii="宋体" w:hAnsi="宋体"/>
          <w:b/>
          <w:color w:val="auto"/>
          <w:sz w:val="32"/>
          <w:szCs w:val="32"/>
        </w:rPr>
        <w:t>采购代理服务费支付承诺书</w:t>
      </w:r>
    </w:p>
    <w:p>
      <w:pPr>
        <w:spacing w:line="360" w:lineRule="auto"/>
        <w:rPr>
          <w:rFonts w:ascii="宋体" w:hAnsi="宋体"/>
          <w:color w:val="auto"/>
          <w:sz w:val="24"/>
          <w:szCs w:val="24"/>
        </w:rPr>
      </w:pPr>
    </w:p>
    <w:p>
      <w:pPr>
        <w:spacing w:line="360" w:lineRule="auto"/>
        <w:rPr>
          <w:rFonts w:ascii="宋体" w:hAnsi="宋体"/>
          <w:b/>
          <w:color w:val="auto"/>
          <w:sz w:val="24"/>
          <w:szCs w:val="24"/>
        </w:rPr>
      </w:pPr>
      <w:r>
        <w:rPr>
          <w:rFonts w:hint="eastAsia" w:ascii="宋体" w:hAnsi="宋体"/>
          <w:color w:val="auto"/>
          <w:sz w:val="24"/>
          <w:szCs w:val="24"/>
        </w:rPr>
        <w:t>致：</w:t>
      </w:r>
      <w:r>
        <w:rPr>
          <w:rFonts w:hint="eastAsia" w:ascii="宋体" w:hAnsi="宋体"/>
          <w:b/>
          <w:color w:val="auto"/>
          <w:sz w:val="24"/>
          <w:szCs w:val="24"/>
        </w:rPr>
        <w:t>广东华伦招标有限公司</w:t>
      </w:r>
    </w:p>
    <w:p>
      <w:pPr>
        <w:spacing w:line="360" w:lineRule="auto"/>
        <w:rPr>
          <w:rFonts w:ascii="宋体" w:hAnsi="宋体"/>
          <w:color w:val="auto"/>
          <w:sz w:val="24"/>
          <w:szCs w:val="24"/>
        </w:rPr>
      </w:pPr>
    </w:p>
    <w:p>
      <w:pPr>
        <w:spacing w:line="360" w:lineRule="auto"/>
        <w:ind w:firstLine="480" w:firstLineChars="200"/>
        <w:rPr>
          <w:rFonts w:ascii="宋体" w:hAnsi="宋体"/>
          <w:color w:val="auto"/>
          <w:sz w:val="24"/>
          <w:szCs w:val="24"/>
        </w:rPr>
      </w:pPr>
      <w:r>
        <w:rPr>
          <w:rFonts w:hint="eastAsia" w:ascii="宋体" w:hAnsi="宋体"/>
          <w:color w:val="auto"/>
          <w:sz w:val="24"/>
          <w:szCs w:val="24"/>
        </w:rPr>
        <w:t>如果我方在贵公司组织的</w:t>
      </w:r>
      <w:r>
        <w:rPr>
          <w:rFonts w:hint="eastAsia" w:ascii="宋体" w:hAnsi="宋体"/>
          <w:color w:val="auto"/>
          <w:kern w:val="28"/>
          <w:sz w:val="24"/>
          <w:szCs w:val="24"/>
          <w:u w:val="single"/>
          <w:lang w:eastAsia="zh-CN"/>
        </w:rPr>
        <w:t>工业和信息化部电子第五研究所动力电池配套使用环境试验箱采购项目</w:t>
      </w:r>
      <w:r>
        <w:rPr>
          <w:rFonts w:hint="eastAsia" w:ascii="宋体" w:hAnsi="宋体"/>
          <w:color w:val="auto"/>
          <w:sz w:val="24"/>
          <w:szCs w:val="24"/>
        </w:rPr>
        <w:t>招标中获中标（采购文件编号：</w:t>
      </w:r>
      <w:r>
        <w:rPr>
          <w:rFonts w:hint="eastAsia" w:ascii="宋体" w:hAnsi="宋体"/>
          <w:color w:val="auto"/>
          <w:kern w:val="28"/>
          <w:sz w:val="24"/>
          <w:szCs w:val="24"/>
          <w:u w:val="single"/>
          <w:lang w:eastAsia="zh-CN"/>
        </w:rPr>
        <w:t>0809-2241GZG14036</w:t>
      </w:r>
      <w:r>
        <w:rPr>
          <w:rFonts w:hint="eastAsia" w:ascii="宋体" w:hAnsi="宋体"/>
          <w:color w:val="auto"/>
          <w:kern w:val="28"/>
          <w:sz w:val="24"/>
          <w:szCs w:val="24"/>
          <w:u w:val="single"/>
        </w:rPr>
        <w:t>）</w:t>
      </w:r>
      <w:r>
        <w:rPr>
          <w:rFonts w:hint="eastAsia" w:ascii="宋体" w:hAnsi="宋体"/>
          <w:color w:val="auto"/>
          <w:sz w:val="24"/>
          <w:szCs w:val="24"/>
        </w:rPr>
        <w:t>，我方保证在收取《中标通知书》前，按招标文件规定向贵公司交纳采购代理服务费。</w:t>
      </w:r>
    </w:p>
    <w:p>
      <w:pPr>
        <w:spacing w:line="360" w:lineRule="auto"/>
        <w:ind w:firstLine="480" w:firstLineChars="200"/>
        <w:rPr>
          <w:rFonts w:ascii="宋体" w:hAnsi="宋体"/>
          <w:color w:val="auto"/>
          <w:sz w:val="24"/>
          <w:szCs w:val="24"/>
        </w:rPr>
      </w:pPr>
      <w:r>
        <w:rPr>
          <w:rFonts w:hint="eastAsia" w:ascii="宋体" w:hAnsi="宋体"/>
          <w:color w:val="auto"/>
          <w:sz w:val="24"/>
          <w:szCs w:val="24"/>
        </w:rPr>
        <w:t>我方如违约，愿凭贵公司开出的违约通知，由采购人从我方提交的投标保证金中支付，不足部分由采购人在支付我方的中标合同款中代为扣付；以投标保函或担保函或保证保险函方式提交投标保证金时，我方同意和要求相应的</w:t>
      </w:r>
      <w:r>
        <w:rPr>
          <w:rFonts w:hint="eastAsia" w:ascii="宋体" w:hAnsi="宋体" w:cs="宋体"/>
          <w:color w:val="auto"/>
          <w:kern w:val="0"/>
          <w:sz w:val="24"/>
          <w:szCs w:val="24"/>
        </w:rPr>
        <w:t>金融机构、担保公司或保险机构</w:t>
      </w:r>
      <w:r>
        <w:rPr>
          <w:rFonts w:hint="eastAsia" w:ascii="宋体" w:hAnsi="宋体"/>
          <w:color w:val="auto"/>
          <w:sz w:val="24"/>
          <w:szCs w:val="24"/>
        </w:rPr>
        <w:t>应</w:t>
      </w:r>
      <w:r>
        <w:rPr>
          <w:rFonts w:hint="eastAsia" w:ascii="宋体" w:hAnsi="宋体"/>
          <w:b/>
          <w:color w:val="auto"/>
          <w:sz w:val="24"/>
          <w:szCs w:val="24"/>
        </w:rPr>
        <w:t>广东华伦招标有限公司</w:t>
      </w:r>
      <w:r>
        <w:rPr>
          <w:rFonts w:hint="eastAsia" w:ascii="宋体" w:hAnsi="宋体"/>
          <w:color w:val="auto"/>
          <w:sz w:val="24"/>
          <w:szCs w:val="24"/>
        </w:rPr>
        <w:t>的要求办理支付手续；如项目不需要缴纳投标保证金的，由采购人在支付我方的中标合同款中代为扣付。</w:t>
      </w:r>
    </w:p>
    <w:p>
      <w:pPr>
        <w:spacing w:line="360" w:lineRule="auto"/>
        <w:ind w:firstLine="405"/>
        <w:rPr>
          <w:rFonts w:ascii="宋体" w:hAnsi="宋体"/>
          <w:color w:val="auto"/>
          <w:sz w:val="24"/>
          <w:szCs w:val="24"/>
        </w:rPr>
      </w:pPr>
      <w:r>
        <w:rPr>
          <w:rFonts w:hint="eastAsia" w:ascii="宋体" w:hAnsi="宋体"/>
          <w:color w:val="auto"/>
          <w:sz w:val="24"/>
          <w:szCs w:val="24"/>
        </w:rPr>
        <w:t>特此承诺！</w:t>
      </w:r>
    </w:p>
    <w:p>
      <w:pPr>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投标人名称（加盖公章）：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投标人法定代表人或授权代表（签字或盖章）：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日期：</w:t>
      </w:r>
      <w:r>
        <w:rPr>
          <w:rFonts w:hint="eastAsia" w:ascii="宋体" w:hAnsi="宋体"/>
          <w:color w:val="auto"/>
          <w:sz w:val="24"/>
          <w:szCs w:val="24"/>
          <w:u w:val="single"/>
        </w:rPr>
        <w:t xml:space="preserve">        </w:t>
      </w:r>
      <w:r>
        <w:rPr>
          <w:rFonts w:hint="eastAsia" w:ascii="宋体" w:hAnsi="宋体"/>
          <w:color w:val="auto"/>
          <w:sz w:val="24"/>
          <w:szCs w:val="24"/>
        </w:rPr>
        <w:t>年</w:t>
      </w:r>
      <w:r>
        <w:rPr>
          <w:rFonts w:hint="eastAsia" w:ascii="宋体" w:hAnsi="宋体"/>
          <w:color w:val="auto"/>
          <w:sz w:val="24"/>
          <w:szCs w:val="24"/>
          <w:u w:val="single"/>
        </w:rPr>
        <w:t xml:space="preserve">    </w:t>
      </w:r>
      <w:r>
        <w:rPr>
          <w:rFonts w:hint="eastAsia" w:ascii="宋体" w:hAnsi="宋体"/>
          <w:color w:val="auto"/>
          <w:sz w:val="24"/>
          <w:szCs w:val="24"/>
        </w:rPr>
        <w:t>月</w:t>
      </w:r>
      <w:r>
        <w:rPr>
          <w:rFonts w:hint="eastAsia" w:ascii="宋体" w:hAnsi="宋体"/>
          <w:color w:val="auto"/>
          <w:sz w:val="24"/>
          <w:szCs w:val="24"/>
          <w:u w:val="single"/>
        </w:rPr>
        <w:t xml:space="preserve">    </w:t>
      </w:r>
      <w:r>
        <w:rPr>
          <w:rFonts w:hint="eastAsia" w:ascii="宋体" w:hAnsi="宋体"/>
          <w:color w:val="auto"/>
          <w:sz w:val="24"/>
          <w:szCs w:val="24"/>
        </w:rPr>
        <w:t>日</w:t>
      </w: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pStyle w:val="4"/>
        <w:numPr>
          <w:ilvl w:val="0"/>
          <w:numId w:val="91"/>
        </w:numPr>
        <w:tabs>
          <w:tab w:val="left" w:pos="945"/>
        </w:tabs>
        <w:spacing w:before="0" w:after="0" w:line="360" w:lineRule="auto"/>
        <w:ind w:left="984" w:hanging="980" w:hangingChars="350"/>
        <w:rPr>
          <w:rFonts w:ascii="宋体" w:hAnsi="宋体"/>
          <w:color w:val="auto"/>
          <w:sz w:val="28"/>
          <w:szCs w:val="28"/>
        </w:rPr>
      </w:pPr>
      <w:bookmarkStart w:id="422" w:name="_Toc12780"/>
      <w:bookmarkStart w:id="423" w:name="_Toc22806221"/>
      <w:bookmarkStart w:id="424" w:name="_Toc54335483"/>
      <w:r>
        <w:rPr>
          <w:rFonts w:hint="eastAsia" w:ascii="宋体" w:hAnsi="宋体"/>
          <w:color w:val="auto"/>
          <w:sz w:val="28"/>
          <w:szCs w:val="28"/>
        </w:rPr>
        <w:t>技术文件</w:t>
      </w:r>
      <w:bookmarkEnd w:id="422"/>
      <w:bookmarkEnd w:id="423"/>
      <w:bookmarkEnd w:id="424"/>
    </w:p>
    <w:p>
      <w:pPr>
        <w:pStyle w:val="5"/>
        <w:numPr>
          <w:ilvl w:val="0"/>
          <w:numId w:val="99"/>
        </w:numPr>
        <w:tabs>
          <w:tab w:val="left" w:pos="945"/>
        </w:tabs>
        <w:spacing w:before="0" w:after="0" w:line="360" w:lineRule="auto"/>
        <w:ind w:left="0" w:firstLine="0"/>
        <w:rPr>
          <w:color w:val="auto"/>
          <w:sz w:val="28"/>
          <w:szCs w:val="28"/>
        </w:rPr>
      </w:pPr>
      <w:bookmarkStart w:id="425" w:name="_Toc54335484"/>
      <w:bookmarkStart w:id="426" w:name="_Toc4934"/>
      <w:bookmarkStart w:id="427" w:name="_Toc22806222"/>
      <w:r>
        <w:rPr>
          <w:rFonts w:hint="eastAsia"/>
          <w:color w:val="auto"/>
          <w:sz w:val="28"/>
          <w:szCs w:val="28"/>
        </w:rPr>
        <w:t>技术条款响应表</w:t>
      </w:r>
      <w:bookmarkEnd w:id="425"/>
      <w:bookmarkEnd w:id="426"/>
      <w:bookmarkEnd w:id="427"/>
    </w:p>
    <w:p>
      <w:pPr>
        <w:autoSpaceDE w:val="0"/>
        <w:autoSpaceDN w:val="0"/>
        <w:spacing w:line="360" w:lineRule="auto"/>
        <w:jc w:val="center"/>
        <w:rPr>
          <w:rFonts w:ascii="宋体" w:hAnsi="宋体"/>
          <w:b/>
          <w:color w:val="auto"/>
          <w:sz w:val="32"/>
          <w:szCs w:val="32"/>
        </w:rPr>
      </w:pPr>
      <w:r>
        <w:rPr>
          <w:rFonts w:hint="eastAsia" w:ascii="宋体" w:hAnsi="宋体"/>
          <w:b/>
          <w:color w:val="auto"/>
          <w:sz w:val="32"/>
          <w:szCs w:val="32"/>
        </w:rPr>
        <w:t>技术条款响应表</w:t>
      </w:r>
    </w:p>
    <w:p>
      <w:pPr>
        <w:autoSpaceDE w:val="0"/>
        <w:autoSpaceDN w:val="0"/>
        <w:spacing w:line="360" w:lineRule="auto"/>
        <w:rPr>
          <w:rFonts w:ascii="宋体" w:hAnsi="宋体"/>
          <w:color w:val="auto"/>
          <w:sz w:val="24"/>
          <w:szCs w:val="24"/>
        </w:rPr>
      </w:pPr>
    </w:p>
    <w:p>
      <w:pPr>
        <w:spacing w:line="360" w:lineRule="auto"/>
        <w:ind w:left="809" w:hanging="808" w:hangingChars="337"/>
        <w:rPr>
          <w:rFonts w:hint="eastAsia" w:ascii="宋体" w:hAnsi="宋体" w:eastAsia="宋体"/>
          <w:color w:val="auto"/>
          <w:sz w:val="24"/>
          <w:szCs w:val="24"/>
          <w:lang w:eastAsia="zh-CN"/>
        </w:rPr>
      </w:pPr>
      <w:r>
        <w:rPr>
          <w:rFonts w:hint="eastAsia" w:ascii="宋体" w:hAnsi="宋体"/>
          <w:color w:val="auto"/>
          <w:sz w:val="24"/>
          <w:szCs w:val="24"/>
        </w:rPr>
        <w:t>采购项目名称：</w:t>
      </w:r>
      <w:r>
        <w:rPr>
          <w:rFonts w:hint="eastAsia" w:ascii="宋体" w:hAnsi="宋体"/>
          <w:color w:val="auto"/>
          <w:sz w:val="24"/>
          <w:szCs w:val="24"/>
          <w:lang w:eastAsia="zh-CN"/>
        </w:rPr>
        <w:t>工业和信息化部电子第五研究所动力电池配套使用环境试验箱采购项目</w:t>
      </w:r>
    </w:p>
    <w:p>
      <w:pPr>
        <w:spacing w:line="360" w:lineRule="auto"/>
        <w:ind w:left="809" w:hanging="808" w:hangingChars="337"/>
        <w:rPr>
          <w:rFonts w:ascii="宋体" w:hAnsi="宋体"/>
          <w:color w:val="auto"/>
          <w:sz w:val="24"/>
          <w:szCs w:val="24"/>
        </w:rPr>
      </w:pPr>
      <w:r>
        <w:rPr>
          <w:rFonts w:hint="eastAsia" w:ascii="宋体" w:hAnsi="宋体"/>
          <w:color w:val="auto"/>
          <w:sz w:val="24"/>
          <w:szCs w:val="24"/>
        </w:rPr>
        <w:t>采购包号：</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377"/>
        <w:gridCol w:w="2126"/>
        <w:gridCol w:w="1560"/>
        <w:gridCol w:w="1417"/>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Align w:val="center"/>
          </w:tcPr>
          <w:p>
            <w:pPr>
              <w:autoSpaceDE w:val="0"/>
              <w:autoSpaceDN w:val="0"/>
              <w:jc w:val="center"/>
              <w:rPr>
                <w:rFonts w:ascii="宋体" w:hAnsi="宋体"/>
                <w:color w:val="auto"/>
                <w:sz w:val="24"/>
                <w:szCs w:val="24"/>
              </w:rPr>
            </w:pPr>
            <w:r>
              <w:rPr>
                <w:rFonts w:hint="eastAsia" w:ascii="宋体" w:hAnsi="宋体"/>
                <w:color w:val="auto"/>
                <w:sz w:val="24"/>
                <w:szCs w:val="24"/>
              </w:rPr>
              <w:t>序号</w:t>
            </w:r>
          </w:p>
        </w:tc>
        <w:tc>
          <w:tcPr>
            <w:tcW w:w="2377" w:type="dxa"/>
            <w:vAlign w:val="center"/>
          </w:tcPr>
          <w:p>
            <w:pPr>
              <w:autoSpaceDE w:val="0"/>
              <w:autoSpaceDN w:val="0"/>
              <w:jc w:val="center"/>
              <w:rPr>
                <w:rFonts w:ascii="宋体" w:hAnsi="宋体"/>
                <w:color w:val="auto"/>
                <w:sz w:val="24"/>
                <w:szCs w:val="24"/>
              </w:rPr>
            </w:pPr>
            <w:r>
              <w:rPr>
                <w:rFonts w:hint="eastAsia" w:ascii="宋体" w:hAnsi="宋体"/>
                <w:color w:val="auto"/>
                <w:sz w:val="24"/>
                <w:szCs w:val="24"/>
              </w:rPr>
              <w:t>招标文件技术条款要求</w:t>
            </w:r>
          </w:p>
        </w:tc>
        <w:tc>
          <w:tcPr>
            <w:tcW w:w="2126" w:type="dxa"/>
            <w:vAlign w:val="center"/>
          </w:tcPr>
          <w:p>
            <w:pPr>
              <w:autoSpaceDE w:val="0"/>
              <w:autoSpaceDN w:val="0"/>
              <w:jc w:val="center"/>
              <w:rPr>
                <w:rFonts w:ascii="宋体" w:hAnsi="宋体"/>
                <w:color w:val="auto"/>
                <w:sz w:val="24"/>
                <w:szCs w:val="24"/>
              </w:rPr>
            </w:pPr>
            <w:r>
              <w:rPr>
                <w:rFonts w:hint="eastAsia" w:ascii="宋体" w:hAnsi="宋体"/>
                <w:color w:val="auto"/>
                <w:sz w:val="24"/>
                <w:szCs w:val="24"/>
              </w:rPr>
              <w:t>投标文件技术条款响应</w:t>
            </w:r>
          </w:p>
        </w:tc>
        <w:tc>
          <w:tcPr>
            <w:tcW w:w="1560" w:type="dxa"/>
            <w:vAlign w:val="center"/>
          </w:tcPr>
          <w:p>
            <w:pPr>
              <w:autoSpaceDE w:val="0"/>
              <w:autoSpaceDN w:val="0"/>
              <w:jc w:val="center"/>
              <w:rPr>
                <w:rFonts w:ascii="宋体" w:hAnsi="宋体"/>
                <w:color w:val="auto"/>
                <w:sz w:val="24"/>
                <w:szCs w:val="24"/>
              </w:rPr>
            </w:pPr>
            <w:r>
              <w:rPr>
                <w:rFonts w:hint="eastAsia" w:ascii="宋体" w:hAnsi="宋体"/>
                <w:color w:val="auto"/>
                <w:sz w:val="24"/>
                <w:szCs w:val="24"/>
              </w:rPr>
              <w:t>响应状态（正/负/无偏离）</w:t>
            </w:r>
          </w:p>
        </w:tc>
        <w:tc>
          <w:tcPr>
            <w:tcW w:w="1417" w:type="dxa"/>
            <w:vAlign w:val="center"/>
          </w:tcPr>
          <w:p>
            <w:pPr>
              <w:autoSpaceDE w:val="0"/>
              <w:autoSpaceDN w:val="0"/>
              <w:jc w:val="center"/>
              <w:rPr>
                <w:rFonts w:ascii="宋体" w:hAnsi="宋体"/>
                <w:color w:val="auto"/>
                <w:sz w:val="24"/>
                <w:szCs w:val="24"/>
              </w:rPr>
            </w:pPr>
            <w:r>
              <w:rPr>
                <w:rFonts w:hint="eastAsia" w:ascii="宋体" w:hAnsi="宋体"/>
                <w:color w:val="auto"/>
                <w:sz w:val="24"/>
                <w:szCs w:val="24"/>
              </w:rPr>
              <w:t>偏离说明</w:t>
            </w:r>
          </w:p>
        </w:tc>
        <w:tc>
          <w:tcPr>
            <w:tcW w:w="1212" w:type="dxa"/>
          </w:tcPr>
          <w:p>
            <w:pPr>
              <w:autoSpaceDE w:val="0"/>
              <w:autoSpaceDN w:val="0"/>
              <w:jc w:val="center"/>
              <w:rPr>
                <w:rFonts w:ascii="宋体" w:hAnsi="宋体"/>
                <w:color w:val="auto"/>
                <w:szCs w:val="21"/>
              </w:rPr>
            </w:pPr>
            <w:r>
              <w:rPr>
                <w:rFonts w:hint="eastAsia" w:ascii="宋体" w:hAnsi="宋体"/>
                <w:color w:val="auto"/>
                <w:szCs w:val="21"/>
              </w:rPr>
              <w:t>投标文件响应页码（如有）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Align w:val="center"/>
          </w:tcPr>
          <w:p>
            <w:pPr>
              <w:autoSpaceDE w:val="0"/>
              <w:autoSpaceDN w:val="0"/>
              <w:spacing w:line="360" w:lineRule="auto"/>
              <w:jc w:val="center"/>
              <w:rPr>
                <w:rFonts w:ascii="宋体" w:hAnsi="宋体"/>
                <w:color w:val="auto"/>
                <w:sz w:val="24"/>
                <w:szCs w:val="24"/>
              </w:rPr>
            </w:pPr>
          </w:p>
        </w:tc>
        <w:tc>
          <w:tcPr>
            <w:tcW w:w="2377" w:type="dxa"/>
            <w:vAlign w:val="center"/>
          </w:tcPr>
          <w:p>
            <w:pPr>
              <w:autoSpaceDE w:val="0"/>
              <w:autoSpaceDN w:val="0"/>
              <w:spacing w:line="360" w:lineRule="auto"/>
              <w:jc w:val="center"/>
              <w:rPr>
                <w:rFonts w:ascii="宋体" w:hAnsi="宋体"/>
                <w:color w:val="auto"/>
                <w:sz w:val="24"/>
                <w:szCs w:val="24"/>
              </w:rPr>
            </w:pPr>
          </w:p>
        </w:tc>
        <w:tc>
          <w:tcPr>
            <w:tcW w:w="2126" w:type="dxa"/>
            <w:vAlign w:val="center"/>
          </w:tcPr>
          <w:p>
            <w:pPr>
              <w:autoSpaceDE w:val="0"/>
              <w:autoSpaceDN w:val="0"/>
              <w:spacing w:line="360" w:lineRule="auto"/>
              <w:jc w:val="center"/>
              <w:rPr>
                <w:rFonts w:ascii="宋体" w:hAnsi="宋体"/>
                <w:color w:val="auto"/>
                <w:sz w:val="24"/>
                <w:szCs w:val="24"/>
              </w:rPr>
            </w:pPr>
          </w:p>
        </w:tc>
        <w:tc>
          <w:tcPr>
            <w:tcW w:w="1560" w:type="dxa"/>
            <w:vAlign w:val="center"/>
          </w:tcPr>
          <w:p>
            <w:pPr>
              <w:autoSpaceDE w:val="0"/>
              <w:autoSpaceDN w:val="0"/>
              <w:spacing w:line="360" w:lineRule="auto"/>
              <w:jc w:val="center"/>
              <w:rPr>
                <w:rFonts w:ascii="宋体" w:hAnsi="宋体"/>
                <w:color w:val="auto"/>
                <w:sz w:val="24"/>
                <w:szCs w:val="24"/>
              </w:rPr>
            </w:pPr>
          </w:p>
        </w:tc>
        <w:tc>
          <w:tcPr>
            <w:tcW w:w="1417" w:type="dxa"/>
            <w:vAlign w:val="center"/>
          </w:tcPr>
          <w:p>
            <w:pPr>
              <w:autoSpaceDE w:val="0"/>
              <w:autoSpaceDN w:val="0"/>
              <w:spacing w:line="360" w:lineRule="auto"/>
              <w:jc w:val="center"/>
              <w:rPr>
                <w:rFonts w:ascii="宋体" w:hAnsi="宋体"/>
                <w:color w:val="auto"/>
                <w:sz w:val="24"/>
                <w:szCs w:val="24"/>
              </w:rPr>
            </w:pPr>
          </w:p>
        </w:tc>
        <w:tc>
          <w:tcPr>
            <w:tcW w:w="1212" w:type="dxa"/>
          </w:tcPr>
          <w:p>
            <w:pPr>
              <w:autoSpaceDE w:val="0"/>
              <w:autoSpaceDN w:val="0"/>
              <w:spacing w:line="360" w:lineRule="auto"/>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Align w:val="center"/>
          </w:tcPr>
          <w:p>
            <w:pPr>
              <w:autoSpaceDE w:val="0"/>
              <w:autoSpaceDN w:val="0"/>
              <w:spacing w:line="360" w:lineRule="auto"/>
              <w:jc w:val="center"/>
              <w:rPr>
                <w:rFonts w:ascii="宋体" w:hAnsi="宋体"/>
                <w:color w:val="auto"/>
                <w:sz w:val="24"/>
                <w:szCs w:val="24"/>
              </w:rPr>
            </w:pPr>
          </w:p>
        </w:tc>
        <w:tc>
          <w:tcPr>
            <w:tcW w:w="2377" w:type="dxa"/>
            <w:vAlign w:val="center"/>
          </w:tcPr>
          <w:p>
            <w:pPr>
              <w:autoSpaceDE w:val="0"/>
              <w:autoSpaceDN w:val="0"/>
              <w:spacing w:line="360" w:lineRule="auto"/>
              <w:jc w:val="center"/>
              <w:rPr>
                <w:rFonts w:ascii="宋体" w:hAnsi="宋体"/>
                <w:color w:val="auto"/>
                <w:sz w:val="24"/>
                <w:szCs w:val="24"/>
              </w:rPr>
            </w:pPr>
          </w:p>
        </w:tc>
        <w:tc>
          <w:tcPr>
            <w:tcW w:w="2126" w:type="dxa"/>
            <w:vAlign w:val="center"/>
          </w:tcPr>
          <w:p>
            <w:pPr>
              <w:autoSpaceDE w:val="0"/>
              <w:autoSpaceDN w:val="0"/>
              <w:spacing w:line="360" w:lineRule="auto"/>
              <w:jc w:val="center"/>
              <w:rPr>
                <w:rFonts w:ascii="宋体" w:hAnsi="宋体"/>
                <w:color w:val="auto"/>
                <w:sz w:val="24"/>
                <w:szCs w:val="24"/>
              </w:rPr>
            </w:pPr>
          </w:p>
        </w:tc>
        <w:tc>
          <w:tcPr>
            <w:tcW w:w="1560" w:type="dxa"/>
            <w:vAlign w:val="center"/>
          </w:tcPr>
          <w:p>
            <w:pPr>
              <w:autoSpaceDE w:val="0"/>
              <w:autoSpaceDN w:val="0"/>
              <w:spacing w:line="360" w:lineRule="auto"/>
              <w:jc w:val="center"/>
              <w:rPr>
                <w:rFonts w:ascii="宋体" w:hAnsi="宋体"/>
                <w:color w:val="auto"/>
                <w:sz w:val="24"/>
                <w:szCs w:val="24"/>
              </w:rPr>
            </w:pPr>
          </w:p>
        </w:tc>
        <w:tc>
          <w:tcPr>
            <w:tcW w:w="1417" w:type="dxa"/>
            <w:vAlign w:val="center"/>
          </w:tcPr>
          <w:p>
            <w:pPr>
              <w:autoSpaceDE w:val="0"/>
              <w:autoSpaceDN w:val="0"/>
              <w:spacing w:line="360" w:lineRule="auto"/>
              <w:jc w:val="center"/>
              <w:rPr>
                <w:rFonts w:ascii="宋体" w:hAnsi="宋体"/>
                <w:color w:val="auto"/>
                <w:sz w:val="24"/>
                <w:szCs w:val="24"/>
              </w:rPr>
            </w:pPr>
          </w:p>
        </w:tc>
        <w:tc>
          <w:tcPr>
            <w:tcW w:w="1212" w:type="dxa"/>
          </w:tcPr>
          <w:p>
            <w:pPr>
              <w:autoSpaceDE w:val="0"/>
              <w:autoSpaceDN w:val="0"/>
              <w:spacing w:line="360" w:lineRule="auto"/>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Align w:val="center"/>
          </w:tcPr>
          <w:p>
            <w:pPr>
              <w:autoSpaceDE w:val="0"/>
              <w:autoSpaceDN w:val="0"/>
              <w:spacing w:line="360" w:lineRule="auto"/>
              <w:jc w:val="center"/>
              <w:rPr>
                <w:rFonts w:ascii="宋体" w:hAnsi="宋体"/>
                <w:color w:val="auto"/>
                <w:sz w:val="24"/>
                <w:szCs w:val="24"/>
              </w:rPr>
            </w:pPr>
          </w:p>
        </w:tc>
        <w:tc>
          <w:tcPr>
            <w:tcW w:w="2377" w:type="dxa"/>
            <w:vAlign w:val="center"/>
          </w:tcPr>
          <w:p>
            <w:pPr>
              <w:autoSpaceDE w:val="0"/>
              <w:autoSpaceDN w:val="0"/>
              <w:spacing w:line="360" w:lineRule="auto"/>
              <w:jc w:val="center"/>
              <w:rPr>
                <w:rFonts w:ascii="宋体" w:hAnsi="宋体"/>
                <w:color w:val="auto"/>
                <w:sz w:val="24"/>
                <w:szCs w:val="24"/>
              </w:rPr>
            </w:pPr>
          </w:p>
        </w:tc>
        <w:tc>
          <w:tcPr>
            <w:tcW w:w="2126" w:type="dxa"/>
            <w:vAlign w:val="center"/>
          </w:tcPr>
          <w:p>
            <w:pPr>
              <w:autoSpaceDE w:val="0"/>
              <w:autoSpaceDN w:val="0"/>
              <w:spacing w:line="360" w:lineRule="auto"/>
              <w:jc w:val="center"/>
              <w:rPr>
                <w:rFonts w:ascii="宋体" w:hAnsi="宋体"/>
                <w:color w:val="auto"/>
                <w:sz w:val="24"/>
                <w:szCs w:val="24"/>
              </w:rPr>
            </w:pPr>
          </w:p>
        </w:tc>
        <w:tc>
          <w:tcPr>
            <w:tcW w:w="1560" w:type="dxa"/>
            <w:vAlign w:val="center"/>
          </w:tcPr>
          <w:p>
            <w:pPr>
              <w:autoSpaceDE w:val="0"/>
              <w:autoSpaceDN w:val="0"/>
              <w:spacing w:line="360" w:lineRule="auto"/>
              <w:jc w:val="center"/>
              <w:rPr>
                <w:rFonts w:ascii="宋体" w:hAnsi="宋体"/>
                <w:color w:val="auto"/>
                <w:sz w:val="24"/>
                <w:szCs w:val="24"/>
              </w:rPr>
            </w:pPr>
          </w:p>
        </w:tc>
        <w:tc>
          <w:tcPr>
            <w:tcW w:w="1417" w:type="dxa"/>
            <w:vAlign w:val="center"/>
          </w:tcPr>
          <w:p>
            <w:pPr>
              <w:autoSpaceDE w:val="0"/>
              <w:autoSpaceDN w:val="0"/>
              <w:spacing w:line="360" w:lineRule="auto"/>
              <w:jc w:val="center"/>
              <w:rPr>
                <w:rFonts w:ascii="宋体" w:hAnsi="宋体"/>
                <w:color w:val="auto"/>
                <w:sz w:val="24"/>
                <w:szCs w:val="24"/>
              </w:rPr>
            </w:pPr>
          </w:p>
        </w:tc>
        <w:tc>
          <w:tcPr>
            <w:tcW w:w="1212" w:type="dxa"/>
          </w:tcPr>
          <w:p>
            <w:pPr>
              <w:autoSpaceDE w:val="0"/>
              <w:autoSpaceDN w:val="0"/>
              <w:spacing w:line="360" w:lineRule="auto"/>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Align w:val="center"/>
          </w:tcPr>
          <w:p>
            <w:pPr>
              <w:autoSpaceDE w:val="0"/>
              <w:autoSpaceDN w:val="0"/>
              <w:spacing w:line="360" w:lineRule="auto"/>
              <w:jc w:val="center"/>
              <w:rPr>
                <w:rFonts w:ascii="宋体" w:hAnsi="宋体"/>
                <w:color w:val="auto"/>
                <w:sz w:val="24"/>
                <w:szCs w:val="24"/>
              </w:rPr>
            </w:pPr>
          </w:p>
        </w:tc>
        <w:tc>
          <w:tcPr>
            <w:tcW w:w="2377" w:type="dxa"/>
            <w:vAlign w:val="center"/>
          </w:tcPr>
          <w:p>
            <w:pPr>
              <w:autoSpaceDE w:val="0"/>
              <w:autoSpaceDN w:val="0"/>
              <w:spacing w:line="360" w:lineRule="auto"/>
              <w:jc w:val="center"/>
              <w:rPr>
                <w:rFonts w:ascii="宋体" w:hAnsi="宋体"/>
                <w:color w:val="auto"/>
                <w:sz w:val="24"/>
                <w:szCs w:val="24"/>
              </w:rPr>
            </w:pPr>
          </w:p>
        </w:tc>
        <w:tc>
          <w:tcPr>
            <w:tcW w:w="2126" w:type="dxa"/>
            <w:vAlign w:val="center"/>
          </w:tcPr>
          <w:p>
            <w:pPr>
              <w:autoSpaceDE w:val="0"/>
              <w:autoSpaceDN w:val="0"/>
              <w:spacing w:line="360" w:lineRule="auto"/>
              <w:jc w:val="center"/>
              <w:rPr>
                <w:rFonts w:ascii="宋体" w:hAnsi="宋体"/>
                <w:color w:val="auto"/>
                <w:sz w:val="24"/>
                <w:szCs w:val="24"/>
              </w:rPr>
            </w:pPr>
          </w:p>
        </w:tc>
        <w:tc>
          <w:tcPr>
            <w:tcW w:w="1560" w:type="dxa"/>
            <w:vAlign w:val="center"/>
          </w:tcPr>
          <w:p>
            <w:pPr>
              <w:autoSpaceDE w:val="0"/>
              <w:autoSpaceDN w:val="0"/>
              <w:spacing w:line="360" w:lineRule="auto"/>
              <w:jc w:val="center"/>
              <w:rPr>
                <w:rFonts w:ascii="宋体" w:hAnsi="宋体"/>
                <w:color w:val="auto"/>
                <w:sz w:val="24"/>
                <w:szCs w:val="24"/>
              </w:rPr>
            </w:pPr>
          </w:p>
        </w:tc>
        <w:tc>
          <w:tcPr>
            <w:tcW w:w="1417" w:type="dxa"/>
            <w:vAlign w:val="center"/>
          </w:tcPr>
          <w:p>
            <w:pPr>
              <w:autoSpaceDE w:val="0"/>
              <w:autoSpaceDN w:val="0"/>
              <w:spacing w:line="360" w:lineRule="auto"/>
              <w:jc w:val="center"/>
              <w:rPr>
                <w:rFonts w:ascii="宋体" w:hAnsi="宋体"/>
                <w:color w:val="auto"/>
                <w:sz w:val="24"/>
                <w:szCs w:val="24"/>
              </w:rPr>
            </w:pPr>
          </w:p>
        </w:tc>
        <w:tc>
          <w:tcPr>
            <w:tcW w:w="1212" w:type="dxa"/>
          </w:tcPr>
          <w:p>
            <w:pPr>
              <w:autoSpaceDE w:val="0"/>
              <w:autoSpaceDN w:val="0"/>
              <w:spacing w:line="360" w:lineRule="auto"/>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Align w:val="center"/>
          </w:tcPr>
          <w:p>
            <w:pPr>
              <w:autoSpaceDE w:val="0"/>
              <w:autoSpaceDN w:val="0"/>
              <w:spacing w:line="360" w:lineRule="auto"/>
              <w:jc w:val="center"/>
              <w:rPr>
                <w:rFonts w:ascii="宋体" w:hAnsi="宋体"/>
                <w:color w:val="auto"/>
                <w:sz w:val="24"/>
                <w:szCs w:val="24"/>
              </w:rPr>
            </w:pPr>
          </w:p>
        </w:tc>
        <w:tc>
          <w:tcPr>
            <w:tcW w:w="2377" w:type="dxa"/>
            <w:vAlign w:val="center"/>
          </w:tcPr>
          <w:p>
            <w:pPr>
              <w:autoSpaceDE w:val="0"/>
              <w:autoSpaceDN w:val="0"/>
              <w:spacing w:line="360" w:lineRule="auto"/>
              <w:jc w:val="center"/>
              <w:rPr>
                <w:rFonts w:ascii="宋体" w:hAnsi="宋体"/>
                <w:color w:val="auto"/>
                <w:sz w:val="24"/>
                <w:szCs w:val="24"/>
              </w:rPr>
            </w:pPr>
          </w:p>
        </w:tc>
        <w:tc>
          <w:tcPr>
            <w:tcW w:w="2126" w:type="dxa"/>
            <w:vAlign w:val="center"/>
          </w:tcPr>
          <w:p>
            <w:pPr>
              <w:autoSpaceDE w:val="0"/>
              <w:autoSpaceDN w:val="0"/>
              <w:spacing w:line="360" w:lineRule="auto"/>
              <w:jc w:val="center"/>
              <w:rPr>
                <w:rFonts w:ascii="宋体" w:hAnsi="宋体"/>
                <w:color w:val="auto"/>
                <w:sz w:val="24"/>
                <w:szCs w:val="24"/>
              </w:rPr>
            </w:pPr>
          </w:p>
        </w:tc>
        <w:tc>
          <w:tcPr>
            <w:tcW w:w="1560" w:type="dxa"/>
            <w:vAlign w:val="center"/>
          </w:tcPr>
          <w:p>
            <w:pPr>
              <w:autoSpaceDE w:val="0"/>
              <w:autoSpaceDN w:val="0"/>
              <w:spacing w:line="360" w:lineRule="auto"/>
              <w:jc w:val="center"/>
              <w:rPr>
                <w:rFonts w:ascii="宋体" w:hAnsi="宋体"/>
                <w:color w:val="auto"/>
                <w:sz w:val="24"/>
                <w:szCs w:val="24"/>
              </w:rPr>
            </w:pPr>
          </w:p>
        </w:tc>
        <w:tc>
          <w:tcPr>
            <w:tcW w:w="1417" w:type="dxa"/>
            <w:vAlign w:val="center"/>
          </w:tcPr>
          <w:p>
            <w:pPr>
              <w:autoSpaceDE w:val="0"/>
              <w:autoSpaceDN w:val="0"/>
              <w:spacing w:line="360" w:lineRule="auto"/>
              <w:jc w:val="center"/>
              <w:rPr>
                <w:rFonts w:ascii="宋体" w:hAnsi="宋体"/>
                <w:color w:val="auto"/>
                <w:sz w:val="24"/>
                <w:szCs w:val="24"/>
              </w:rPr>
            </w:pPr>
          </w:p>
        </w:tc>
        <w:tc>
          <w:tcPr>
            <w:tcW w:w="1212" w:type="dxa"/>
          </w:tcPr>
          <w:p>
            <w:pPr>
              <w:autoSpaceDE w:val="0"/>
              <w:autoSpaceDN w:val="0"/>
              <w:spacing w:line="360" w:lineRule="auto"/>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vAlign w:val="center"/>
          </w:tcPr>
          <w:p>
            <w:pPr>
              <w:autoSpaceDE w:val="0"/>
              <w:autoSpaceDN w:val="0"/>
              <w:spacing w:line="360" w:lineRule="auto"/>
              <w:jc w:val="center"/>
              <w:rPr>
                <w:rFonts w:ascii="宋体" w:hAnsi="宋体"/>
                <w:color w:val="auto"/>
                <w:sz w:val="24"/>
                <w:szCs w:val="24"/>
              </w:rPr>
            </w:pPr>
            <w:r>
              <w:rPr>
                <w:rFonts w:ascii="宋体" w:hAnsi="宋体"/>
                <w:color w:val="auto"/>
                <w:sz w:val="24"/>
                <w:szCs w:val="24"/>
              </w:rPr>
              <w:t>……</w:t>
            </w:r>
          </w:p>
        </w:tc>
        <w:tc>
          <w:tcPr>
            <w:tcW w:w="2377" w:type="dxa"/>
            <w:vAlign w:val="center"/>
          </w:tcPr>
          <w:p>
            <w:pPr>
              <w:autoSpaceDE w:val="0"/>
              <w:autoSpaceDN w:val="0"/>
              <w:spacing w:line="360" w:lineRule="auto"/>
              <w:jc w:val="center"/>
              <w:rPr>
                <w:rFonts w:ascii="宋体" w:hAnsi="宋体"/>
                <w:color w:val="auto"/>
                <w:sz w:val="24"/>
                <w:szCs w:val="24"/>
              </w:rPr>
            </w:pPr>
          </w:p>
        </w:tc>
        <w:tc>
          <w:tcPr>
            <w:tcW w:w="2126" w:type="dxa"/>
            <w:vAlign w:val="center"/>
          </w:tcPr>
          <w:p>
            <w:pPr>
              <w:autoSpaceDE w:val="0"/>
              <w:autoSpaceDN w:val="0"/>
              <w:spacing w:line="360" w:lineRule="auto"/>
              <w:jc w:val="center"/>
              <w:rPr>
                <w:rFonts w:ascii="宋体" w:hAnsi="宋体"/>
                <w:color w:val="auto"/>
                <w:sz w:val="24"/>
                <w:szCs w:val="24"/>
              </w:rPr>
            </w:pPr>
          </w:p>
        </w:tc>
        <w:tc>
          <w:tcPr>
            <w:tcW w:w="1560" w:type="dxa"/>
            <w:vAlign w:val="center"/>
          </w:tcPr>
          <w:p>
            <w:pPr>
              <w:autoSpaceDE w:val="0"/>
              <w:autoSpaceDN w:val="0"/>
              <w:spacing w:line="360" w:lineRule="auto"/>
              <w:jc w:val="center"/>
              <w:rPr>
                <w:rFonts w:ascii="宋体" w:hAnsi="宋体"/>
                <w:color w:val="auto"/>
                <w:sz w:val="24"/>
                <w:szCs w:val="24"/>
              </w:rPr>
            </w:pPr>
          </w:p>
        </w:tc>
        <w:tc>
          <w:tcPr>
            <w:tcW w:w="1417" w:type="dxa"/>
            <w:vAlign w:val="center"/>
          </w:tcPr>
          <w:p>
            <w:pPr>
              <w:autoSpaceDE w:val="0"/>
              <w:autoSpaceDN w:val="0"/>
              <w:spacing w:line="360" w:lineRule="auto"/>
              <w:jc w:val="center"/>
              <w:rPr>
                <w:rFonts w:ascii="宋体" w:hAnsi="宋体"/>
                <w:color w:val="auto"/>
                <w:sz w:val="24"/>
                <w:szCs w:val="24"/>
              </w:rPr>
            </w:pPr>
          </w:p>
        </w:tc>
        <w:tc>
          <w:tcPr>
            <w:tcW w:w="1212" w:type="dxa"/>
          </w:tcPr>
          <w:p>
            <w:pPr>
              <w:autoSpaceDE w:val="0"/>
              <w:autoSpaceDN w:val="0"/>
              <w:spacing w:line="360" w:lineRule="auto"/>
              <w:jc w:val="center"/>
              <w:rPr>
                <w:rFonts w:ascii="宋体" w:hAnsi="宋体"/>
                <w:color w:val="auto"/>
                <w:sz w:val="24"/>
                <w:szCs w:val="24"/>
              </w:rPr>
            </w:pPr>
          </w:p>
        </w:tc>
      </w:tr>
    </w:tbl>
    <w:p>
      <w:pPr>
        <w:spacing w:line="360" w:lineRule="auto"/>
        <w:rPr>
          <w:rFonts w:ascii="宋体" w:hAnsi="宋体"/>
          <w:color w:val="auto"/>
          <w:sz w:val="24"/>
          <w:szCs w:val="24"/>
        </w:rPr>
      </w:pPr>
      <w:r>
        <w:rPr>
          <w:rFonts w:hint="eastAsia" w:ascii="宋体" w:hAnsi="宋体"/>
          <w:color w:val="auto"/>
          <w:sz w:val="24"/>
          <w:szCs w:val="24"/>
        </w:rPr>
        <w:t>投标人名称（加盖公章）：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投标人法定代表人或授权代表（签字或盖章）：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日期：</w:t>
      </w:r>
      <w:r>
        <w:rPr>
          <w:rFonts w:hint="eastAsia" w:ascii="宋体" w:hAnsi="宋体"/>
          <w:color w:val="auto"/>
          <w:sz w:val="24"/>
          <w:szCs w:val="24"/>
          <w:u w:val="single"/>
        </w:rPr>
        <w:t xml:space="preserve">        </w:t>
      </w:r>
      <w:r>
        <w:rPr>
          <w:rFonts w:hint="eastAsia" w:ascii="宋体" w:hAnsi="宋体"/>
          <w:color w:val="auto"/>
          <w:sz w:val="24"/>
          <w:szCs w:val="24"/>
        </w:rPr>
        <w:t>年</w:t>
      </w:r>
      <w:r>
        <w:rPr>
          <w:rFonts w:hint="eastAsia" w:ascii="宋体" w:hAnsi="宋体"/>
          <w:color w:val="auto"/>
          <w:sz w:val="24"/>
          <w:szCs w:val="24"/>
          <w:u w:val="single"/>
        </w:rPr>
        <w:t xml:space="preserve">    </w:t>
      </w:r>
      <w:r>
        <w:rPr>
          <w:rFonts w:hint="eastAsia" w:ascii="宋体" w:hAnsi="宋体"/>
          <w:color w:val="auto"/>
          <w:sz w:val="24"/>
          <w:szCs w:val="24"/>
        </w:rPr>
        <w:t>月</w:t>
      </w:r>
      <w:r>
        <w:rPr>
          <w:rFonts w:hint="eastAsia" w:ascii="宋体" w:hAnsi="宋体"/>
          <w:color w:val="auto"/>
          <w:sz w:val="24"/>
          <w:szCs w:val="24"/>
          <w:u w:val="single"/>
        </w:rPr>
        <w:t xml:space="preserve">    </w:t>
      </w:r>
      <w:r>
        <w:rPr>
          <w:rFonts w:hint="eastAsia" w:ascii="宋体" w:hAnsi="宋体"/>
          <w:color w:val="auto"/>
          <w:sz w:val="24"/>
          <w:szCs w:val="24"/>
        </w:rPr>
        <w:t>日</w:t>
      </w:r>
    </w:p>
    <w:p>
      <w:pPr>
        <w:spacing w:line="360" w:lineRule="auto"/>
        <w:rPr>
          <w:rFonts w:ascii="宋体" w:hAnsi="宋体"/>
          <w:color w:val="auto"/>
          <w:sz w:val="24"/>
          <w:szCs w:val="24"/>
        </w:rPr>
      </w:pPr>
    </w:p>
    <w:p>
      <w:pPr>
        <w:rPr>
          <w:rFonts w:ascii="宋体" w:hAnsi="宋体"/>
          <w:b/>
          <w:color w:val="auto"/>
          <w:sz w:val="24"/>
          <w:szCs w:val="24"/>
        </w:rPr>
      </w:pPr>
      <w:r>
        <w:rPr>
          <w:rFonts w:hint="eastAsia" w:ascii="宋体" w:hAnsi="宋体"/>
          <w:b/>
          <w:color w:val="auto"/>
          <w:sz w:val="24"/>
          <w:szCs w:val="24"/>
        </w:rPr>
        <w:t>备注：</w:t>
      </w:r>
    </w:p>
    <w:p>
      <w:pPr>
        <w:ind w:firstLine="480" w:firstLineChars="200"/>
        <w:rPr>
          <w:rFonts w:ascii="宋体" w:hAnsi="宋体"/>
          <w:color w:val="auto"/>
          <w:sz w:val="24"/>
          <w:szCs w:val="24"/>
        </w:rPr>
      </w:pPr>
      <w:r>
        <w:rPr>
          <w:rFonts w:hint="eastAsia" w:ascii="宋体" w:hAnsi="宋体"/>
          <w:color w:val="auto"/>
          <w:sz w:val="24"/>
          <w:szCs w:val="24"/>
        </w:rPr>
        <w:t>1.投标人应对招标文件第二部分《采购需求》中各技术条款逐一如实填写上表，投标人应当如实填写上表“投标文件技术条款响应”处内容，对采购文件提出的要求和条件作出明确响应，并列明具体响应数值或内容，不能照搬采购文件的内容，仅注明符合、满足等无具体内容表述的，将可能被视为未实质性满足招标文件要求。投标人需要说明的内容若需特殊表达，应先在本表中进行相应说明，再另页应答。</w:t>
      </w:r>
    </w:p>
    <w:p>
      <w:pPr>
        <w:ind w:firstLine="480" w:firstLineChars="200"/>
        <w:rPr>
          <w:rFonts w:ascii="宋体" w:hAnsi="宋体"/>
          <w:color w:val="auto"/>
          <w:sz w:val="24"/>
          <w:szCs w:val="24"/>
        </w:rPr>
      </w:pPr>
      <w:r>
        <w:rPr>
          <w:rFonts w:hint="eastAsia" w:ascii="宋体" w:hAnsi="宋体"/>
          <w:color w:val="auto"/>
          <w:sz w:val="24"/>
          <w:szCs w:val="24"/>
        </w:rPr>
        <w:t>2.上表中“响应状态”应按下列规定填写：优于的，填写“正偏离”；符合的，填写“无偏离”；低于的，填写“负偏离”。“正偏离”或“负偏离”应在“偏离说明”列中进行说明。</w:t>
      </w:r>
    </w:p>
    <w:p>
      <w:pPr>
        <w:ind w:firstLine="465"/>
        <w:rPr>
          <w:rFonts w:ascii="宋体" w:hAnsi="宋体"/>
          <w:color w:val="auto"/>
          <w:sz w:val="24"/>
          <w:szCs w:val="24"/>
        </w:rPr>
      </w:pPr>
      <w:r>
        <w:rPr>
          <w:rFonts w:hint="eastAsia" w:ascii="宋体" w:hAnsi="宋体"/>
          <w:color w:val="auto"/>
          <w:sz w:val="24"/>
          <w:szCs w:val="24"/>
        </w:rPr>
        <w:t>3.</w:t>
      </w:r>
      <w:r>
        <w:rPr>
          <w:rFonts w:hint="eastAsia" w:ascii="宋体" w:hAnsi="宋体"/>
          <w:b/>
          <w:color w:val="auto"/>
          <w:sz w:val="24"/>
          <w:szCs w:val="24"/>
        </w:rPr>
        <w:t>招标文件中带“▲”的重要性条款（如有），投标人须标识清楚。带“★”的条款（如有）在《实质性响应一览表》中罗列，本表不需要重复。</w:t>
      </w: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pStyle w:val="5"/>
        <w:numPr>
          <w:ilvl w:val="0"/>
          <w:numId w:val="99"/>
        </w:numPr>
        <w:tabs>
          <w:tab w:val="left" w:pos="945"/>
        </w:tabs>
        <w:spacing w:before="0" w:after="0" w:line="360" w:lineRule="auto"/>
        <w:ind w:left="0" w:firstLine="0"/>
        <w:rPr>
          <w:color w:val="auto"/>
          <w:sz w:val="28"/>
          <w:szCs w:val="28"/>
        </w:rPr>
      </w:pPr>
      <w:bookmarkStart w:id="428" w:name="_Toc11224"/>
      <w:bookmarkStart w:id="429" w:name="_Toc54335485"/>
      <w:bookmarkStart w:id="430" w:name="_Toc22806223"/>
      <w:r>
        <w:rPr>
          <w:rFonts w:hint="eastAsia"/>
          <w:color w:val="auto"/>
          <w:sz w:val="28"/>
          <w:szCs w:val="28"/>
        </w:rPr>
        <w:t>技术方案</w:t>
      </w:r>
      <w:bookmarkEnd w:id="428"/>
      <w:bookmarkEnd w:id="429"/>
      <w:bookmarkEnd w:id="430"/>
    </w:p>
    <w:p>
      <w:pPr>
        <w:pStyle w:val="6"/>
        <w:numPr>
          <w:ilvl w:val="1"/>
          <w:numId w:val="99"/>
        </w:numPr>
        <w:tabs>
          <w:tab w:val="left" w:pos="945"/>
        </w:tabs>
        <w:ind w:left="0" w:firstLine="0"/>
        <w:rPr>
          <w:rFonts w:ascii="宋体" w:hAnsi="宋体"/>
          <w:color w:val="auto"/>
          <w:szCs w:val="24"/>
        </w:rPr>
      </w:pPr>
      <w:bookmarkStart w:id="431" w:name="_Toc22806224"/>
      <w:r>
        <w:rPr>
          <w:rFonts w:hint="eastAsia" w:ascii="宋体" w:hAnsi="宋体"/>
          <w:color w:val="auto"/>
          <w:szCs w:val="24"/>
        </w:rPr>
        <w:t>货物选型及实施方案</w:t>
      </w:r>
      <w:bookmarkEnd w:id="431"/>
    </w:p>
    <w:p>
      <w:pPr>
        <w:autoSpaceDE w:val="0"/>
        <w:autoSpaceDN w:val="0"/>
        <w:spacing w:line="360" w:lineRule="auto"/>
        <w:jc w:val="center"/>
        <w:rPr>
          <w:rFonts w:ascii="宋体" w:hAnsi="宋体"/>
          <w:b/>
          <w:color w:val="auto"/>
          <w:sz w:val="32"/>
          <w:szCs w:val="32"/>
        </w:rPr>
      </w:pPr>
      <w:r>
        <w:rPr>
          <w:rFonts w:hint="eastAsia" w:ascii="宋体" w:hAnsi="宋体"/>
          <w:b/>
          <w:color w:val="auto"/>
          <w:sz w:val="32"/>
          <w:szCs w:val="32"/>
        </w:rPr>
        <w:t>货物选型及实施方案</w:t>
      </w:r>
    </w:p>
    <w:p>
      <w:pPr>
        <w:spacing w:line="360" w:lineRule="auto"/>
        <w:ind w:left="809" w:hanging="808" w:hangingChars="337"/>
        <w:rPr>
          <w:rFonts w:hint="eastAsia" w:ascii="宋体" w:hAnsi="宋体" w:eastAsia="宋体"/>
          <w:color w:val="auto"/>
          <w:sz w:val="24"/>
          <w:szCs w:val="24"/>
          <w:lang w:eastAsia="zh-CN"/>
        </w:rPr>
      </w:pPr>
      <w:r>
        <w:rPr>
          <w:rFonts w:hint="eastAsia" w:ascii="宋体" w:hAnsi="宋体"/>
          <w:color w:val="auto"/>
          <w:sz w:val="24"/>
          <w:szCs w:val="24"/>
        </w:rPr>
        <w:t>采购项目名称：</w:t>
      </w:r>
      <w:r>
        <w:rPr>
          <w:rFonts w:hint="eastAsia" w:ascii="宋体" w:hAnsi="宋体"/>
          <w:color w:val="auto"/>
          <w:sz w:val="24"/>
          <w:szCs w:val="24"/>
          <w:lang w:eastAsia="zh-CN"/>
        </w:rPr>
        <w:t>工业和信息化部电子第五研究所动力电池配套使用环境试验箱采购项目</w:t>
      </w:r>
    </w:p>
    <w:p>
      <w:pPr>
        <w:spacing w:line="360" w:lineRule="auto"/>
        <w:ind w:left="809" w:hanging="808" w:hangingChars="337"/>
        <w:rPr>
          <w:rFonts w:ascii="宋体" w:hAnsi="宋体"/>
          <w:color w:val="auto"/>
          <w:sz w:val="24"/>
          <w:szCs w:val="24"/>
        </w:rPr>
      </w:pPr>
      <w:r>
        <w:rPr>
          <w:rFonts w:hint="eastAsia" w:ascii="宋体" w:hAnsi="宋体"/>
          <w:color w:val="auto"/>
          <w:sz w:val="24"/>
          <w:szCs w:val="24"/>
        </w:rPr>
        <w:t>采购包号：</w:t>
      </w:r>
    </w:p>
    <w:p>
      <w:pPr>
        <w:autoSpaceDE w:val="0"/>
        <w:autoSpaceDN w:val="0"/>
        <w:spacing w:line="360" w:lineRule="auto"/>
        <w:ind w:firstLine="480" w:firstLineChars="200"/>
        <w:rPr>
          <w:rFonts w:ascii="宋体" w:hAnsi="宋体"/>
          <w:color w:val="auto"/>
          <w:sz w:val="24"/>
          <w:szCs w:val="24"/>
        </w:rPr>
      </w:pPr>
      <w:r>
        <w:rPr>
          <w:rFonts w:hint="eastAsia" w:ascii="宋体" w:hAnsi="宋体"/>
          <w:color w:val="auto"/>
          <w:sz w:val="24"/>
          <w:szCs w:val="24"/>
        </w:rPr>
        <w:t>请投标人根据《采购需求》、《技术评审表》、《商务评审表》的相关要求提出本次投标的货物选型及实施方案（格式及内容自定），必要时请在本方案后附相关证明材料。货物应与《分项报价明细表》中的货物（如有）保持一致。</w:t>
      </w: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投标人名称（加盖公章）：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投标人法定代表人或授权代表（签字或盖章）：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日期：</w:t>
      </w:r>
      <w:r>
        <w:rPr>
          <w:rFonts w:hint="eastAsia" w:ascii="宋体" w:hAnsi="宋体"/>
          <w:color w:val="auto"/>
          <w:sz w:val="24"/>
          <w:szCs w:val="24"/>
          <w:u w:val="single"/>
        </w:rPr>
        <w:t xml:space="preserve">        </w:t>
      </w:r>
      <w:r>
        <w:rPr>
          <w:rFonts w:hint="eastAsia" w:ascii="宋体" w:hAnsi="宋体"/>
          <w:color w:val="auto"/>
          <w:sz w:val="24"/>
          <w:szCs w:val="24"/>
        </w:rPr>
        <w:t>年</w:t>
      </w:r>
      <w:r>
        <w:rPr>
          <w:rFonts w:hint="eastAsia" w:ascii="宋体" w:hAnsi="宋体"/>
          <w:color w:val="auto"/>
          <w:sz w:val="24"/>
          <w:szCs w:val="24"/>
          <w:u w:val="single"/>
        </w:rPr>
        <w:t xml:space="preserve">    </w:t>
      </w:r>
      <w:r>
        <w:rPr>
          <w:rFonts w:hint="eastAsia" w:ascii="宋体" w:hAnsi="宋体"/>
          <w:color w:val="auto"/>
          <w:sz w:val="24"/>
          <w:szCs w:val="24"/>
        </w:rPr>
        <w:t>月</w:t>
      </w:r>
      <w:r>
        <w:rPr>
          <w:rFonts w:hint="eastAsia" w:ascii="宋体" w:hAnsi="宋体"/>
          <w:color w:val="auto"/>
          <w:sz w:val="24"/>
          <w:szCs w:val="24"/>
          <w:u w:val="single"/>
        </w:rPr>
        <w:t xml:space="preserve">    </w:t>
      </w:r>
      <w:r>
        <w:rPr>
          <w:rFonts w:hint="eastAsia" w:ascii="宋体" w:hAnsi="宋体"/>
          <w:color w:val="auto"/>
          <w:sz w:val="24"/>
          <w:szCs w:val="24"/>
        </w:rPr>
        <w:t>日</w:t>
      </w:r>
    </w:p>
    <w:p>
      <w:pPr>
        <w:autoSpaceDE w:val="0"/>
        <w:autoSpaceDN w:val="0"/>
        <w:spacing w:line="360" w:lineRule="auto"/>
        <w:rPr>
          <w:rFonts w:ascii="宋体" w:hAnsi="宋体"/>
          <w:color w:val="auto"/>
          <w:sz w:val="24"/>
          <w:szCs w:val="24"/>
        </w:rPr>
      </w:pPr>
    </w:p>
    <w:p>
      <w:pPr>
        <w:pStyle w:val="6"/>
        <w:numPr>
          <w:ilvl w:val="1"/>
          <w:numId w:val="99"/>
        </w:numPr>
        <w:tabs>
          <w:tab w:val="left" w:pos="945"/>
        </w:tabs>
        <w:ind w:left="0" w:firstLine="0"/>
        <w:rPr>
          <w:rFonts w:ascii="宋体" w:hAnsi="宋体"/>
          <w:color w:val="auto"/>
          <w:szCs w:val="24"/>
        </w:rPr>
      </w:pPr>
      <w:bookmarkStart w:id="432" w:name="_Toc22806225"/>
      <w:r>
        <w:rPr>
          <w:rFonts w:hint="eastAsia" w:ascii="宋体" w:hAnsi="宋体"/>
          <w:color w:val="auto"/>
          <w:szCs w:val="24"/>
        </w:rPr>
        <w:t>投标产品/核心产品所投品牌情况</w:t>
      </w:r>
      <w:bookmarkEnd w:id="432"/>
    </w:p>
    <w:p>
      <w:pPr>
        <w:autoSpaceDE w:val="0"/>
        <w:autoSpaceDN w:val="0"/>
        <w:spacing w:line="360" w:lineRule="auto"/>
        <w:jc w:val="center"/>
        <w:rPr>
          <w:rFonts w:ascii="宋体" w:hAnsi="宋体"/>
          <w:b/>
          <w:color w:val="auto"/>
          <w:sz w:val="28"/>
          <w:szCs w:val="28"/>
        </w:rPr>
      </w:pPr>
      <w:r>
        <w:rPr>
          <w:rFonts w:hint="eastAsia" w:ascii="宋体" w:hAnsi="宋体"/>
          <w:b/>
          <w:color w:val="auto"/>
          <w:sz w:val="28"/>
          <w:szCs w:val="28"/>
        </w:rPr>
        <w:t>投标产品/核心产品所投品牌情况</w:t>
      </w:r>
    </w:p>
    <w:p>
      <w:pPr>
        <w:spacing w:line="360" w:lineRule="auto"/>
        <w:ind w:left="809" w:hanging="808" w:hangingChars="337"/>
        <w:rPr>
          <w:rFonts w:hint="eastAsia" w:ascii="宋体" w:hAnsi="宋体" w:eastAsia="宋体"/>
          <w:color w:val="auto"/>
          <w:sz w:val="24"/>
          <w:szCs w:val="24"/>
          <w:lang w:eastAsia="zh-CN"/>
        </w:rPr>
      </w:pPr>
      <w:r>
        <w:rPr>
          <w:rFonts w:hint="eastAsia" w:ascii="宋体" w:hAnsi="宋体"/>
          <w:color w:val="auto"/>
          <w:sz w:val="24"/>
          <w:szCs w:val="24"/>
        </w:rPr>
        <w:t>采购项目名称：</w:t>
      </w:r>
      <w:r>
        <w:rPr>
          <w:rFonts w:hint="eastAsia" w:ascii="宋体" w:hAnsi="宋体"/>
          <w:color w:val="auto"/>
          <w:sz w:val="24"/>
          <w:szCs w:val="24"/>
          <w:lang w:eastAsia="zh-CN"/>
        </w:rPr>
        <w:t>工业和信息化部电子第五研究所动力电池配套使用环境试验箱采购项目</w:t>
      </w:r>
    </w:p>
    <w:p>
      <w:pPr>
        <w:spacing w:line="360" w:lineRule="auto"/>
        <w:ind w:left="809" w:hanging="808" w:hangingChars="337"/>
        <w:rPr>
          <w:rFonts w:ascii="宋体" w:hAnsi="宋体"/>
          <w:color w:val="auto"/>
          <w:sz w:val="24"/>
          <w:szCs w:val="24"/>
        </w:rPr>
      </w:pPr>
      <w:r>
        <w:rPr>
          <w:rFonts w:hint="eastAsia" w:ascii="宋体" w:hAnsi="宋体"/>
          <w:color w:val="auto"/>
          <w:sz w:val="24"/>
          <w:szCs w:val="24"/>
        </w:rPr>
        <w:t>采购包号：</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223"/>
        <w:gridCol w:w="1298"/>
        <w:gridCol w:w="1673"/>
        <w:gridCol w:w="1140"/>
        <w:gridCol w:w="851"/>
        <w:gridCol w:w="1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autoSpaceDE w:val="0"/>
              <w:autoSpaceDN w:val="0"/>
              <w:jc w:val="center"/>
              <w:rPr>
                <w:rFonts w:ascii="宋体" w:hAnsi="宋体"/>
                <w:color w:val="auto"/>
                <w:sz w:val="24"/>
                <w:szCs w:val="24"/>
              </w:rPr>
            </w:pPr>
            <w:r>
              <w:rPr>
                <w:rFonts w:hint="eastAsia" w:ascii="宋体" w:hAnsi="宋体"/>
                <w:color w:val="auto"/>
                <w:sz w:val="24"/>
                <w:szCs w:val="24"/>
              </w:rPr>
              <w:t>序号</w:t>
            </w:r>
          </w:p>
        </w:tc>
        <w:tc>
          <w:tcPr>
            <w:tcW w:w="2223" w:type="dxa"/>
            <w:vAlign w:val="center"/>
          </w:tcPr>
          <w:p>
            <w:pPr>
              <w:autoSpaceDE w:val="0"/>
              <w:autoSpaceDN w:val="0"/>
              <w:jc w:val="center"/>
              <w:rPr>
                <w:rFonts w:ascii="宋体" w:hAnsi="宋体"/>
                <w:color w:val="auto"/>
                <w:sz w:val="24"/>
                <w:szCs w:val="24"/>
              </w:rPr>
            </w:pPr>
            <w:r>
              <w:rPr>
                <w:rFonts w:hint="eastAsia" w:ascii="宋体" w:hAnsi="宋体"/>
                <w:color w:val="auto"/>
                <w:sz w:val="24"/>
                <w:szCs w:val="24"/>
              </w:rPr>
              <w:t>投标产品/核心产品名称</w:t>
            </w:r>
          </w:p>
        </w:tc>
        <w:tc>
          <w:tcPr>
            <w:tcW w:w="1298" w:type="dxa"/>
            <w:vAlign w:val="center"/>
          </w:tcPr>
          <w:p>
            <w:pPr>
              <w:autoSpaceDE w:val="0"/>
              <w:autoSpaceDN w:val="0"/>
              <w:jc w:val="center"/>
              <w:rPr>
                <w:rFonts w:ascii="宋体" w:hAnsi="宋体"/>
                <w:color w:val="auto"/>
                <w:sz w:val="24"/>
                <w:szCs w:val="24"/>
              </w:rPr>
            </w:pPr>
            <w:r>
              <w:rPr>
                <w:rFonts w:hint="eastAsia" w:ascii="宋体" w:hAnsi="宋体"/>
                <w:color w:val="auto"/>
                <w:sz w:val="24"/>
                <w:szCs w:val="24"/>
              </w:rPr>
              <w:t>品牌</w:t>
            </w:r>
          </w:p>
        </w:tc>
        <w:tc>
          <w:tcPr>
            <w:tcW w:w="1673" w:type="dxa"/>
            <w:vAlign w:val="center"/>
          </w:tcPr>
          <w:p>
            <w:pPr>
              <w:autoSpaceDE w:val="0"/>
              <w:autoSpaceDN w:val="0"/>
              <w:jc w:val="center"/>
              <w:rPr>
                <w:rFonts w:ascii="宋体" w:hAnsi="宋体"/>
                <w:color w:val="auto"/>
                <w:sz w:val="24"/>
                <w:szCs w:val="24"/>
              </w:rPr>
            </w:pPr>
            <w:r>
              <w:rPr>
                <w:rFonts w:hint="eastAsia" w:ascii="宋体" w:hAnsi="宋体"/>
                <w:color w:val="auto"/>
                <w:sz w:val="24"/>
                <w:szCs w:val="24"/>
              </w:rPr>
              <w:t>型号、规格</w:t>
            </w:r>
          </w:p>
        </w:tc>
        <w:tc>
          <w:tcPr>
            <w:tcW w:w="1140" w:type="dxa"/>
            <w:vAlign w:val="center"/>
          </w:tcPr>
          <w:p>
            <w:pPr>
              <w:autoSpaceDE w:val="0"/>
              <w:autoSpaceDN w:val="0"/>
              <w:jc w:val="center"/>
              <w:rPr>
                <w:rFonts w:ascii="宋体" w:hAnsi="宋体"/>
                <w:color w:val="auto"/>
                <w:sz w:val="24"/>
                <w:szCs w:val="24"/>
              </w:rPr>
            </w:pPr>
            <w:r>
              <w:rPr>
                <w:rFonts w:hint="eastAsia" w:ascii="宋体" w:hAnsi="宋体"/>
                <w:color w:val="auto"/>
                <w:sz w:val="24"/>
                <w:szCs w:val="24"/>
              </w:rPr>
              <w:t>制造商</w:t>
            </w:r>
          </w:p>
        </w:tc>
        <w:tc>
          <w:tcPr>
            <w:tcW w:w="851" w:type="dxa"/>
            <w:vAlign w:val="center"/>
          </w:tcPr>
          <w:p>
            <w:pPr>
              <w:autoSpaceDE w:val="0"/>
              <w:autoSpaceDN w:val="0"/>
              <w:jc w:val="center"/>
              <w:rPr>
                <w:rFonts w:ascii="宋体" w:hAnsi="宋体"/>
                <w:color w:val="auto"/>
                <w:sz w:val="24"/>
                <w:szCs w:val="24"/>
              </w:rPr>
            </w:pPr>
            <w:r>
              <w:rPr>
                <w:rFonts w:hint="eastAsia" w:ascii="宋体" w:hAnsi="宋体"/>
                <w:color w:val="auto"/>
                <w:sz w:val="24"/>
                <w:szCs w:val="24"/>
              </w:rPr>
              <w:t>产地</w:t>
            </w:r>
          </w:p>
        </w:tc>
        <w:tc>
          <w:tcPr>
            <w:tcW w:w="1495" w:type="dxa"/>
          </w:tcPr>
          <w:p>
            <w:pPr>
              <w:autoSpaceDE w:val="0"/>
              <w:autoSpaceDN w:val="0"/>
              <w:jc w:val="center"/>
              <w:rPr>
                <w:rFonts w:ascii="宋体" w:hAnsi="宋体"/>
                <w:color w:val="auto"/>
                <w:szCs w:val="21"/>
              </w:rPr>
            </w:pPr>
            <w:r>
              <w:rPr>
                <w:rFonts w:hint="eastAsia" w:ascii="宋体" w:hAnsi="宋体"/>
                <w:color w:val="auto"/>
                <w:szCs w:val="21"/>
              </w:rPr>
              <w:t>说明资料（如有，注明所在页码）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autoSpaceDE w:val="0"/>
              <w:autoSpaceDN w:val="0"/>
              <w:jc w:val="center"/>
              <w:rPr>
                <w:rFonts w:ascii="宋体" w:hAnsi="宋体"/>
                <w:color w:val="auto"/>
                <w:sz w:val="24"/>
                <w:szCs w:val="24"/>
              </w:rPr>
            </w:pPr>
          </w:p>
        </w:tc>
        <w:tc>
          <w:tcPr>
            <w:tcW w:w="2223" w:type="dxa"/>
            <w:vAlign w:val="center"/>
          </w:tcPr>
          <w:p>
            <w:pPr>
              <w:autoSpaceDE w:val="0"/>
              <w:autoSpaceDN w:val="0"/>
              <w:jc w:val="center"/>
              <w:rPr>
                <w:rFonts w:ascii="宋体" w:hAnsi="宋体"/>
                <w:color w:val="auto"/>
                <w:sz w:val="24"/>
                <w:szCs w:val="24"/>
              </w:rPr>
            </w:pPr>
            <w:r>
              <w:rPr>
                <w:rFonts w:hint="eastAsia" w:ascii="宋体" w:hAnsi="宋体"/>
                <w:color w:val="auto"/>
                <w:sz w:val="24"/>
                <w:szCs w:val="24"/>
              </w:rPr>
              <w:t>△核心产品（如有）须逐一列明</w:t>
            </w:r>
          </w:p>
        </w:tc>
        <w:tc>
          <w:tcPr>
            <w:tcW w:w="1298" w:type="dxa"/>
            <w:vAlign w:val="center"/>
          </w:tcPr>
          <w:p>
            <w:pPr>
              <w:autoSpaceDE w:val="0"/>
              <w:autoSpaceDN w:val="0"/>
              <w:jc w:val="center"/>
              <w:rPr>
                <w:rFonts w:ascii="宋体" w:hAnsi="宋体"/>
                <w:color w:val="auto"/>
                <w:sz w:val="24"/>
                <w:szCs w:val="24"/>
              </w:rPr>
            </w:pPr>
          </w:p>
        </w:tc>
        <w:tc>
          <w:tcPr>
            <w:tcW w:w="1673" w:type="dxa"/>
            <w:vAlign w:val="center"/>
          </w:tcPr>
          <w:p>
            <w:pPr>
              <w:autoSpaceDE w:val="0"/>
              <w:autoSpaceDN w:val="0"/>
              <w:jc w:val="center"/>
              <w:rPr>
                <w:rFonts w:ascii="宋体" w:hAnsi="宋体"/>
                <w:color w:val="auto"/>
                <w:sz w:val="24"/>
                <w:szCs w:val="24"/>
              </w:rPr>
            </w:pPr>
          </w:p>
        </w:tc>
        <w:tc>
          <w:tcPr>
            <w:tcW w:w="1140" w:type="dxa"/>
            <w:vAlign w:val="center"/>
          </w:tcPr>
          <w:p>
            <w:pPr>
              <w:autoSpaceDE w:val="0"/>
              <w:autoSpaceDN w:val="0"/>
              <w:jc w:val="center"/>
              <w:rPr>
                <w:rFonts w:ascii="宋体" w:hAnsi="宋体"/>
                <w:color w:val="auto"/>
                <w:sz w:val="24"/>
                <w:szCs w:val="24"/>
              </w:rPr>
            </w:pPr>
          </w:p>
        </w:tc>
        <w:tc>
          <w:tcPr>
            <w:tcW w:w="851" w:type="dxa"/>
            <w:vAlign w:val="center"/>
          </w:tcPr>
          <w:p>
            <w:pPr>
              <w:autoSpaceDE w:val="0"/>
              <w:autoSpaceDN w:val="0"/>
              <w:jc w:val="center"/>
              <w:rPr>
                <w:rFonts w:ascii="宋体" w:hAnsi="宋体"/>
                <w:color w:val="auto"/>
                <w:sz w:val="24"/>
                <w:szCs w:val="24"/>
              </w:rPr>
            </w:pPr>
          </w:p>
        </w:tc>
        <w:tc>
          <w:tcPr>
            <w:tcW w:w="1495" w:type="dxa"/>
          </w:tcPr>
          <w:p>
            <w:pPr>
              <w:autoSpaceDE w:val="0"/>
              <w:autoSpaceDN w:val="0"/>
              <w:jc w:val="center"/>
              <w:rPr>
                <w:rFonts w:ascii="宋体" w:hAnsi="宋体"/>
                <w:color w:val="auto"/>
                <w:sz w:val="24"/>
                <w:szCs w:val="24"/>
              </w:rPr>
            </w:pPr>
            <w:r>
              <w:rPr>
                <w:rFonts w:hint="eastAsia" w:ascii="宋体" w:hAnsi="宋体"/>
                <w:color w:val="auto"/>
                <w:sz w:val="24"/>
                <w:szCs w:val="24"/>
              </w:rPr>
              <w:t>（有，第（）页/无）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autoSpaceDE w:val="0"/>
              <w:autoSpaceDN w:val="0"/>
              <w:jc w:val="center"/>
              <w:rPr>
                <w:rFonts w:ascii="宋体" w:hAnsi="宋体"/>
                <w:color w:val="auto"/>
                <w:sz w:val="24"/>
                <w:szCs w:val="24"/>
              </w:rPr>
            </w:pPr>
          </w:p>
        </w:tc>
        <w:tc>
          <w:tcPr>
            <w:tcW w:w="2223" w:type="dxa"/>
            <w:vAlign w:val="center"/>
          </w:tcPr>
          <w:p>
            <w:pPr>
              <w:autoSpaceDE w:val="0"/>
              <w:autoSpaceDN w:val="0"/>
              <w:jc w:val="center"/>
              <w:rPr>
                <w:rFonts w:ascii="宋体" w:hAnsi="宋体"/>
                <w:color w:val="auto"/>
                <w:sz w:val="24"/>
                <w:szCs w:val="24"/>
              </w:rPr>
            </w:pPr>
            <w:r>
              <w:rPr>
                <w:rFonts w:hint="eastAsia" w:ascii="宋体" w:hAnsi="宋体"/>
                <w:color w:val="auto"/>
                <w:sz w:val="24"/>
                <w:szCs w:val="24"/>
              </w:rPr>
              <w:t>其他产品</w:t>
            </w:r>
          </w:p>
        </w:tc>
        <w:tc>
          <w:tcPr>
            <w:tcW w:w="1298" w:type="dxa"/>
            <w:vAlign w:val="center"/>
          </w:tcPr>
          <w:p>
            <w:pPr>
              <w:autoSpaceDE w:val="0"/>
              <w:autoSpaceDN w:val="0"/>
              <w:jc w:val="center"/>
              <w:rPr>
                <w:rFonts w:ascii="宋体" w:hAnsi="宋体"/>
                <w:color w:val="auto"/>
                <w:sz w:val="24"/>
                <w:szCs w:val="24"/>
              </w:rPr>
            </w:pPr>
          </w:p>
        </w:tc>
        <w:tc>
          <w:tcPr>
            <w:tcW w:w="1673" w:type="dxa"/>
            <w:vAlign w:val="center"/>
          </w:tcPr>
          <w:p>
            <w:pPr>
              <w:autoSpaceDE w:val="0"/>
              <w:autoSpaceDN w:val="0"/>
              <w:jc w:val="center"/>
              <w:rPr>
                <w:rFonts w:ascii="宋体" w:hAnsi="宋体"/>
                <w:color w:val="auto"/>
                <w:sz w:val="24"/>
                <w:szCs w:val="24"/>
              </w:rPr>
            </w:pPr>
          </w:p>
        </w:tc>
        <w:tc>
          <w:tcPr>
            <w:tcW w:w="1140" w:type="dxa"/>
            <w:vAlign w:val="center"/>
          </w:tcPr>
          <w:p>
            <w:pPr>
              <w:autoSpaceDE w:val="0"/>
              <w:autoSpaceDN w:val="0"/>
              <w:jc w:val="center"/>
              <w:rPr>
                <w:rFonts w:ascii="宋体" w:hAnsi="宋体"/>
                <w:color w:val="auto"/>
                <w:sz w:val="24"/>
                <w:szCs w:val="24"/>
              </w:rPr>
            </w:pPr>
          </w:p>
        </w:tc>
        <w:tc>
          <w:tcPr>
            <w:tcW w:w="851" w:type="dxa"/>
            <w:vAlign w:val="center"/>
          </w:tcPr>
          <w:p>
            <w:pPr>
              <w:autoSpaceDE w:val="0"/>
              <w:autoSpaceDN w:val="0"/>
              <w:jc w:val="center"/>
              <w:rPr>
                <w:rFonts w:ascii="宋体" w:hAnsi="宋体"/>
                <w:color w:val="auto"/>
                <w:sz w:val="24"/>
                <w:szCs w:val="24"/>
              </w:rPr>
            </w:pPr>
          </w:p>
        </w:tc>
        <w:tc>
          <w:tcPr>
            <w:tcW w:w="1495" w:type="dxa"/>
          </w:tcPr>
          <w:p>
            <w:pPr>
              <w:autoSpaceDE w:val="0"/>
              <w:autoSpaceDN w:val="0"/>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autoSpaceDE w:val="0"/>
              <w:autoSpaceDN w:val="0"/>
              <w:jc w:val="center"/>
              <w:rPr>
                <w:rFonts w:ascii="宋体" w:hAnsi="宋体"/>
                <w:color w:val="auto"/>
                <w:sz w:val="24"/>
                <w:szCs w:val="24"/>
              </w:rPr>
            </w:pPr>
          </w:p>
        </w:tc>
        <w:tc>
          <w:tcPr>
            <w:tcW w:w="2223" w:type="dxa"/>
            <w:vAlign w:val="center"/>
          </w:tcPr>
          <w:p>
            <w:pPr>
              <w:autoSpaceDE w:val="0"/>
              <w:autoSpaceDN w:val="0"/>
              <w:jc w:val="center"/>
              <w:rPr>
                <w:rFonts w:ascii="宋体" w:hAnsi="宋体"/>
                <w:color w:val="auto"/>
                <w:sz w:val="24"/>
                <w:szCs w:val="24"/>
              </w:rPr>
            </w:pPr>
          </w:p>
        </w:tc>
        <w:tc>
          <w:tcPr>
            <w:tcW w:w="1298" w:type="dxa"/>
            <w:vAlign w:val="center"/>
          </w:tcPr>
          <w:p>
            <w:pPr>
              <w:autoSpaceDE w:val="0"/>
              <w:autoSpaceDN w:val="0"/>
              <w:jc w:val="center"/>
              <w:rPr>
                <w:rFonts w:ascii="宋体" w:hAnsi="宋体"/>
                <w:color w:val="auto"/>
                <w:sz w:val="24"/>
                <w:szCs w:val="24"/>
              </w:rPr>
            </w:pPr>
          </w:p>
        </w:tc>
        <w:tc>
          <w:tcPr>
            <w:tcW w:w="1673" w:type="dxa"/>
            <w:vAlign w:val="center"/>
          </w:tcPr>
          <w:p>
            <w:pPr>
              <w:autoSpaceDE w:val="0"/>
              <w:autoSpaceDN w:val="0"/>
              <w:jc w:val="center"/>
              <w:rPr>
                <w:rFonts w:ascii="宋体" w:hAnsi="宋体"/>
                <w:color w:val="auto"/>
                <w:sz w:val="24"/>
                <w:szCs w:val="24"/>
              </w:rPr>
            </w:pPr>
          </w:p>
        </w:tc>
        <w:tc>
          <w:tcPr>
            <w:tcW w:w="1140" w:type="dxa"/>
            <w:vAlign w:val="center"/>
          </w:tcPr>
          <w:p>
            <w:pPr>
              <w:autoSpaceDE w:val="0"/>
              <w:autoSpaceDN w:val="0"/>
              <w:jc w:val="center"/>
              <w:rPr>
                <w:rFonts w:ascii="宋体" w:hAnsi="宋体"/>
                <w:color w:val="auto"/>
                <w:sz w:val="24"/>
                <w:szCs w:val="24"/>
              </w:rPr>
            </w:pPr>
          </w:p>
        </w:tc>
        <w:tc>
          <w:tcPr>
            <w:tcW w:w="851" w:type="dxa"/>
            <w:vAlign w:val="center"/>
          </w:tcPr>
          <w:p>
            <w:pPr>
              <w:autoSpaceDE w:val="0"/>
              <w:autoSpaceDN w:val="0"/>
              <w:jc w:val="center"/>
              <w:rPr>
                <w:rFonts w:ascii="宋体" w:hAnsi="宋体"/>
                <w:color w:val="auto"/>
                <w:sz w:val="24"/>
                <w:szCs w:val="24"/>
              </w:rPr>
            </w:pPr>
          </w:p>
        </w:tc>
        <w:tc>
          <w:tcPr>
            <w:tcW w:w="1495" w:type="dxa"/>
          </w:tcPr>
          <w:p>
            <w:pPr>
              <w:autoSpaceDE w:val="0"/>
              <w:autoSpaceDN w:val="0"/>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autoSpaceDE w:val="0"/>
              <w:autoSpaceDN w:val="0"/>
              <w:jc w:val="center"/>
              <w:rPr>
                <w:rFonts w:ascii="宋体" w:hAnsi="宋体"/>
                <w:color w:val="auto"/>
                <w:sz w:val="24"/>
                <w:szCs w:val="24"/>
              </w:rPr>
            </w:pPr>
            <w:r>
              <w:rPr>
                <w:rFonts w:ascii="宋体" w:hAnsi="宋体"/>
                <w:color w:val="auto"/>
                <w:sz w:val="24"/>
                <w:szCs w:val="24"/>
              </w:rPr>
              <w:t>……</w:t>
            </w:r>
          </w:p>
        </w:tc>
        <w:tc>
          <w:tcPr>
            <w:tcW w:w="2223" w:type="dxa"/>
            <w:vAlign w:val="center"/>
          </w:tcPr>
          <w:p>
            <w:pPr>
              <w:autoSpaceDE w:val="0"/>
              <w:autoSpaceDN w:val="0"/>
              <w:jc w:val="center"/>
              <w:rPr>
                <w:rFonts w:ascii="宋体" w:hAnsi="宋体"/>
                <w:color w:val="auto"/>
                <w:sz w:val="24"/>
                <w:szCs w:val="24"/>
              </w:rPr>
            </w:pPr>
          </w:p>
        </w:tc>
        <w:tc>
          <w:tcPr>
            <w:tcW w:w="1298" w:type="dxa"/>
            <w:vAlign w:val="center"/>
          </w:tcPr>
          <w:p>
            <w:pPr>
              <w:autoSpaceDE w:val="0"/>
              <w:autoSpaceDN w:val="0"/>
              <w:jc w:val="center"/>
              <w:rPr>
                <w:rFonts w:ascii="宋体" w:hAnsi="宋体"/>
                <w:color w:val="auto"/>
                <w:sz w:val="24"/>
                <w:szCs w:val="24"/>
              </w:rPr>
            </w:pPr>
          </w:p>
        </w:tc>
        <w:tc>
          <w:tcPr>
            <w:tcW w:w="1673" w:type="dxa"/>
            <w:vAlign w:val="center"/>
          </w:tcPr>
          <w:p>
            <w:pPr>
              <w:autoSpaceDE w:val="0"/>
              <w:autoSpaceDN w:val="0"/>
              <w:jc w:val="center"/>
              <w:rPr>
                <w:rFonts w:ascii="宋体" w:hAnsi="宋体"/>
                <w:color w:val="auto"/>
                <w:sz w:val="24"/>
                <w:szCs w:val="24"/>
              </w:rPr>
            </w:pPr>
          </w:p>
        </w:tc>
        <w:tc>
          <w:tcPr>
            <w:tcW w:w="1140" w:type="dxa"/>
            <w:vAlign w:val="center"/>
          </w:tcPr>
          <w:p>
            <w:pPr>
              <w:autoSpaceDE w:val="0"/>
              <w:autoSpaceDN w:val="0"/>
              <w:jc w:val="center"/>
              <w:rPr>
                <w:rFonts w:ascii="宋体" w:hAnsi="宋体"/>
                <w:color w:val="auto"/>
                <w:sz w:val="24"/>
                <w:szCs w:val="24"/>
              </w:rPr>
            </w:pPr>
          </w:p>
        </w:tc>
        <w:tc>
          <w:tcPr>
            <w:tcW w:w="851" w:type="dxa"/>
            <w:vAlign w:val="center"/>
          </w:tcPr>
          <w:p>
            <w:pPr>
              <w:autoSpaceDE w:val="0"/>
              <w:autoSpaceDN w:val="0"/>
              <w:jc w:val="center"/>
              <w:rPr>
                <w:rFonts w:ascii="宋体" w:hAnsi="宋体"/>
                <w:color w:val="auto"/>
                <w:sz w:val="24"/>
                <w:szCs w:val="24"/>
              </w:rPr>
            </w:pPr>
          </w:p>
        </w:tc>
        <w:tc>
          <w:tcPr>
            <w:tcW w:w="1495" w:type="dxa"/>
          </w:tcPr>
          <w:p>
            <w:pPr>
              <w:autoSpaceDE w:val="0"/>
              <w:autoSpaceDN w:val="0"/>
              <w:jc w:val="center"/>
              <w:rPr>
                <w:rFonts w:ascii="宋体" w:hAnsi="宋体"/>
                <w:color w:val="auto"/>
                <w:sz w:val="24"/>
                <w:szCs w:val="24"/>
              </w:rPr>
            </w:pPr>
          </w:p>
        </w:tc>
      </w:tr>
    </w:tbl>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投标人名称（加盖公章）：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投标人法定代表人或授权代表（签字或盖章）：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日期：</w:t>
      </w:r>
      <w:r>
        <w:rPr>
          <w:rFonts w:hint="eastAsia" w:ascii="宋体" w:hAnsi="宋体"/>
          <w:color w:val="auto"/>
          <w:sz w:val="24"/>
          <w:szCs w:val="24"/>
          <w:u w:val="single"/>
        </w:rPr>
        <w:t xml:space="preserve">        </w:t>
      </w:r>
      <w:r>
        <w:rPr>
          <w:rFonts w:hint="eastAsia" w:ascii="宋体" w:hAnsi="宋体"/>
          <w:color w:val="auto"/>
          <w:sz w:val="24"/>
          <w:szCs w:val="24"/>
        </w:rPr>
        <w:t>年</w:t>
      </w:r>
      <w:r>
        <w:rPr>
          <w:rFonts w:hint="eastAsia" w:ascii="宋体" w:hAnsi="宋体"/>
          <w:color w:val="auto"/>
          <w:sz w:val="24"/>
          <w:szCs w:val="24"/>
          <w:u w:val="single"/>
        </w:rPr>
        <w:t xml:space="preserve">    </w:t>
      </w:r>
      <w:r>
        <w:rPr>
          <w:rFonts w:hint="eastAsia" w:ascii="宋体" w:hAnsi="宋体"/>
          <w:color w:val="auto"/>
          <w:sz w:val="24"/>
          <w:szCs w:val="24"/>
        </w:rPr>
        <w:t>月</w:t>
      </w:r>
      <w:r>
        <w:rPr>
          <w:rFonts w:hint="eastAsia" w:ascii="宋体" w:hAnsi="宋体"/>
          <w:color w:val="auto"/>
          <w:sz w:val="24"/>
          <w:szCs w:val="24"/>
          <w:u w:val="single"/>
        </w:rPr>
        <w:t xml:space="preserve">    </w:t>
      </w:r>
      <w:r>
        <w:rPr>
          <w:rFonts w:hint="eastAsia" w:ascii="宋体" w:hAnsi="宋体"/>
          <w:color w:val="auto"/>
          <w:sz w:val="24"/>
          <w:szCs w:val="24"/>
        </w:rPr>
        <w:t>日</w:t>
      </w:r>
    </w:p>
    <w:p>
      <w:pPr>
        <w:autoSpaceDE w:val="0"/>
        <w:autoSpaceDN w:val="0"/>
        <w:rPr>
          <w:rFonts w:ascii="宋体" w:hAnsi="宋体"/>
          <w:b/>
          <w:color w:val="auto"/>
          <w:sz w:val="24"/>
          <w:szCs w:val="24"/>
        </w:rPr>
      </w:pPr>
      <w:r>
        <w:rPr>
          <w:rFonts w:hint="eastAsia" w:ascii="宋体" w:hAnsi="宋体"/>
          <w:b/>
          <w:color w:val="auto"/>
          <w:sz w:val="24"/>
          <w:szCs w:val="24"/>
        </w:rPr>
        <w:t>备注：</w:t>
      </w:r>
    </w:p>
    <w:p>
      <w:pPr>
        <w:pStyle w:val="72"/>
        <w:numPr>
          <w:ilvl w:val="0"/>
          <w:numId w:val="101"/>
        </w:numPr>
        <w:ind w:firstLine="480" w:firstLineChars="200"/>
        <w:rPr>
          <w:rFonts w:ascii="宋体" w:hAnsi="宋体"/>
          <w:color w:val="auto"/>
          <w:sz w:val="24"/>
          <w:szCs w:val="24"/>
        </w:rPr>
      </w:pPr>
      <w:r>
        <w:rPr>
          <w:rFonts w:hint="eastAsia" w:ascii="宋体" w:hAnsi="宋体"/>
          <w:color w:val="auto"/>
          <w:sz w:val="24"/>
          <w:szCs w:val="24"/>
        </w:rPr>
        <w:t>非单一产品采购项目（采购包），供应商须在上表中填写所投核心产品的品牌，否则按无效投标（响应）处理。上表中的核心产品名称、品牌须与《分项报价明细表》（如有）中的产品名称、品牌一致。</w:t>
      </w:r>
    </w:p>
    <w:p>
      <w:pPr>
        <w:pStyle w:val="72"/>
        <w:numPr>
          <w:ilvl w:val="0"/>
          <w:numId w:val="101"/>
        </w:numPr>
        <w:ind w:firstLine="480" w:firstLineChars="200"/>
        <w:rPr>
          <w:rFonts w:ascii="宋体" w:hAnsi="宋体"/>
          <w:color w:val="auto"/>
          <w:sz w:val="24"/>
          <w:szCs w:val="24"/>
        </w:rPr>
      </w:pPr>
      <w:r>
        <w:rPr>
          <w:rFonts w:hint="eastAsia" w:ascii="宋体" w:hAnsi="宋体"/>
          <w:color w:val="auto"/>
          <w:sz w:val="24"/>
          <w:szCs w:val="24"/>
        </w:rPr>
        <w:t>本表中所列货物应与《分项报价明细表》中的货物（如有）保持一致。说明资料可按《采购需求》、《技术评审表》、《商务评审表》的相关要求（如有）提供，注明在投标文件中的页码。</w:t>
      </w:r>
    </w:p>
    <w:p>
      <w:pPr>
        <w:pStyle w:val="6"/>
        <w:numPr>
          <w:ilvl w:val="1"/>
          <w:numId w:val="99"/>
        </w:numPr>
        <w:tabs>
          <w:tab w:val="left" w:pos="945"/>
        </w:tabs>
        <w:ind w:left="0" w:firstLine="0"/>
        <w:rPr>
          <w:rFonts w:ascii="宋体" w:hAnsi="宋体"/>
          <w:color w:val="auto"/>
          <w:szCs w:val="24"/>
        </w:rPr>
      </w:pPr>
      <w:bookmarkStart w:id="433" w:name="_Toc22806226"/>
      <w:r>
        <w:rPr>
          <w:rFonts w:hint="eastAsia" w:ascii="宋体" w:hAnsi="宋体"/>
          <w:color w:val="auto"/>
          <w:szCs w:val="24"/>
        </w:rPr>
        <w:t>售后服务方案</w:t>
      </w:r>
      <w:bookmarkEnd w:id="433"/>
    </w:p>
    <w:p>
      <w:pPr>
        <w:autoSpaceDE w:val="0"/>
        <w:autoSpaceDN w:val="0"/>
        <w:spacing w:line="360" w:lineRule="auto"/>
        <w:jc w:val="center"/>
        <w:rPr>
          <w:rFonts w:ascii="宋体" w:hAnsi="宋体"/>
          <w:b/>
          <w:color w:val="auto"/>
          <w:sz w:val="32"/>
          <w:szCs w:val="32"/>
        </w:rPr>
      </w:pPr>
      <w:r>
        <w:rPr>
          <w:rFonts w:hint="eastAsia" w:ascii="宋体" w:hAnsi="宋体"/>
          <w:b/>
          <w:color w:val="auto"/>
          <w:sz w:val="32"/>
          <w:szCs w:val="32"/>
        </w:rPr>
        <w:t>售后服务方案</w:t>
      </w:r>
    </w:p>
    <w:p>
      <w:pPr>
        <w:spacing w:line="360" w:lineRule="auto"/>
        <w:ind w:left="809" w:hanging="808" w:hangingChars="337"/>
        <w:rPr>
          <w:rFonts w:hint="eastAsia" w:ascii="宋体" w:hAnsi="宋体" w:eastAsia="宋体"/>
          <w:color w:val="auto"/>
          <w:sz w:val="24"/>
          <w:szCs w:val="24"/>
          <w:lang w:eastAsia="zh-CN"/>
        </w:rPr>
      </w:pPr>
      <w:r>
        <w:rPr>
          <w:rFonts w:hint="eastAsia" w:ascii="宋体" w:hAnsi="宋体"/>
          <w:color w:val="auto"/>
          <w:sz w:val="24"/>
          <w:szCs w:val="24"/>
        </w:rPr>
        <w:t>采购项目名称：</w:t>
      </w:r>
      <w:r>
        <w:rPr>
          <w:rFonts w:hint="eastAsia" w:ascii="宋体" w:hAnsi="宋体"/>
          <w:color w:val="auto"/>
          <w:sz w:val="24"/>
          <w:szCs w:val="24"/>
          <w:lang w:eastAsia="zh-CN"/>
        </w:rPr>
        <w:t>工业和信息化部电子第五研究所动力电池配套使用环境试验箱采购项目</w:t>
      </w:r>
    </w:p>
    <w:p>
      <w:pPr>
        <w:spacing w:line="360" w:lineRule="auto"/>
        <w:ind w:left="809" w:hanging="808" w:hangingChars="337"/>
        <w:rPr>
          <w:rFonts w:ascii="宋体" w:hAnsi="宋体"/>
          <w:color w:val="auto"/>
          <w:sz w:val="24"/>
          <w:szCs w:val="24"/>
        </w:rPr>
      </w:pPr>
      <w:r>
        <w:rPr>
          <w:rFonts w:hint="eastAsia" w:ascii="宋体" w:hAnsi="宋体"/>
          <w:color w:val="auto"/>
          <w:sz w:val="24"/>
          <w:szCs w:val="24"/>
        </w:rPr>
        <w:t>采购包号：</w:t>
      </w:r>
    </w:p>
    <w:p>
      <w:pPr>
        <w:autoSpaceDE w:val="0"/>
        <w:autoSpaceDN w:val="0"/>
        <w:spacing w:line="360" w:lineRule="auto"/>
        <w:ind w:firstLine="480" w:firstLineChars="200"/>
        <w:rPr>
          <w:rFonts w:ascii="宋体" w:hAnsi="宋体"/>
          <w:color w:val="auto"/>
          <w:sz w:val="24"/>
          <w:szCs w:val="24"/>
        </w:rPr>
      </w:pPr>
      <w:r>
        <w:rPr>
          <w:rFonts w:hint="eastAsia" w:ascii="宋体" w:hAnsi="宋体"/>
          <w:color w:val="auto"/>
          <w:sz w:val="24"/>
          <w:szCs w:val="24"/>
        </w:rPr>
        <w:t>请投标人根据《采购需求》、《技术评审表》、《商务评审表》的相关要求提出本次投标的售后服务方案（承诺）（格式及内容自定），必要时请在本方案后附相关证明材料。</w:t>
      </w: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投标人名称（加盖公章）：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投标人法定代表人或授权代表（签字或盖章）：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日期：</w:t>
      </w:r>
      <w:r>
        <w:rPr>
          <w:rFonts w:hint="eastAsia" w:ascii="宋体" w:hAnsi="宋体"/>
          <w:color w:val="auto"/>
          <w:sz w:val="24"/>
          <w:szCs w:val="24"/>
          <w:u w:val="single"/>
        </w:rPr>
        <w:t xml:space="preserve">        </w:t>
      </w:r>
      <w:r>
        <w:rPr>
          <w:rFonts w:hint="eastAsia" w:ascii="宋体" w:hAnsi="宋体"/>
          <w:color w:val="auto"/>
          <w:sz w:val="24"/>
          <w:szCs w:val="24"/>
        </w:rPr>
        <w:t>年</w:t>
      </w:r>
      <w:r>
        <w:rPr>
          <w:rFonts w:hint="eastAsia" w:ascii="宋体" w:hAnsi="宋体"/>
          <w:color w:val="auto"/>
          <w:sz w:val="24"/>
          <w:szCs w:val="24"/>
          <w:u w:val="single"/>
        </w:rPr>
        <w:t xml:space="preserve">    </w:t>
      </w:r>
      <w:r>
        <w:rPr>
          <w:rFonts w:hint="eastAsia" w:ascii="宋体" w:hAnsi="宋体"/>
          <w:color w:val="auto"/>
          <w:sz w:val="24"/>
          <w:szCs w:val="24"/>
        </w:rPr>
        <w:t>月</w:t>
      </w:r>
      <w:r>
        <w:rPr>
          <w:rFonts w:hint="eastAsia" w:ascii="宋体" w:hAnsi="宋体"/>
          <w:color w:val="auto"/>
          <w:sz w:val="24"/>
          <w:szCs w:val="24"/>
          <w:u w:val="single"/>
        </w:rPr>
        <w:t xml:space="preserve">    </w:t>
      </w:r>
      <w:r>
        <w:rPr>
          <w:rFonts w:hint="eastAsia" w:ascii="宋体" w:hAnsi="宋体"/>
          <w:color w:val="auto"/>
          <w:sz w:val="24"/>
          <w:szCs w:val="24"/>
        </w:rPr>
        <w:t>日</w:t>
      </w: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pStyle w:val="6"/>
        <w:numPr>
          <w:ilvl w:val="1"/>
          <w:numId w:val="99"/>
        </w:numPr>
        <w:tabs>
          <w:tab w:val="left" w:pos="945"/>
        </w:tabs>
        <w:ind w:left="0" w:firstLine="0"/>
        <w:rPr>
          <w:rFonts w:ascii="宋体" w:hAnsi="宋体"/>
          <w:color w:val="auto"/>
          <w:szCs w:val="24"/>
        </w:rPr>
      </w:pPr>
      <w:bookmarkStart w:id="434" w:name="_Toc22806227"/>
      <w:r>
        <w:rPr>
          <w:rFonts w:hint="eastAsia" w:ascii="宋体" w:hAnsi="宋体"/>
          <w:color w:val="auto"/>
          <w:szCs w:val="24"/>
        </w:rPr>
        <w:t>拟派人员情况</w:t>
      </w:r>
      <w:bookmarkEnd w:id="434"/>
    </w:p>
    <w:p>
      <w:pPr>
        <w:autoSpaceDE w:val="0"/>
        <w:autoSpaceDN w:val="0"/>
        <w:spacing w:line="360" w:lineRule="auto"/>
        <w:jc w:val="center"/>
        <w:rPr>
          <w:rFonts w:ascii="宋体" w:hAnsi="宋体"/>
          <w:b/>
          <w:color w:val="auto"/>
          <w:sz w:val="32"/>
          <w:szCs w:val="32"/>
        </w:rPr>
      </w:pPr>
      <w:r>
        <w:rPr>
          <w:rFonts w:hint="eastAsia" w:ascii="宋体" w:hAnsi="宋体"/>
          <w:b/>
          <w:color w:val="auto"/>
          <w:sz w:val="32"/>
          <w:szCs w:val="32"/>
        </w:rPr>
        <w:t>拟派人员情况</w:t>
      </w:r>
    </w:p>
    <w:p>
      <w:pPr>
        <w:spacing w:line="360" w:lineRule="auto"/>
        <w:ind w:left="809" w:hanging="808" w:hangingChars="337"/>
        <w:rPr>
          <w:rFonts w:hint="eastAsia" w:ascii="宋体" w:hAnsi="宋体" w:eastAsia="宋体"/>
          <w:color w:val="auto"/>
          <w:sz w:val="24"/>
          <w:szCs w:val="24"/>
          <w:lang w:eastAsia="zh-CN"/>
        </w:rPr>
      </w:pPr>
      <w:r>
        <w:rPr>
          <w:rFonts w:hint="eastAsia" w:ascii="宋体" w:hAnsi="宋体"/>
          <w:color w:val="auto"/>
          <w:sz w:val="24"/>
          <w:szCs w:val="24"/>
        </w:rPr>
        <w:t>采购项目名称：</w:t>
      </w:r>
      <w:r>
        <w:rPr>
          <w:rFonts w:hint="eastAsia" w:ascii="宋体" w:hAnsi="宋体"/>
          <w:color w:val="auto"/>
          <w:sz w:val="24"/>
          <w:szCs w:val="24"/>
          <w:lang w:eastAsia="zh-CN"/>
        </w:rPr>
        <w:t>工业和信息化部电子第五研究所动力电池配套使用环境试验箱采购项目</w:t>
      </w:r>
    </w:p>
    <w:p>
      <w:pPr>
        <w:spacing w:line="360" w:lineRule="auto"/>
        <w:ind w:left="809" w:hanging="808" w:hangingChars="337"/>
        <w:rPr>
          <w:rFonts w:ascii="宋体" w:hAnsi="宋体"/>
          <w:color w:val="auto"/>
          <w:sz w:val="24"/>
          <w:szCs w:val="24"/>
        </w:rPr>
      </w:pPr>
      <w:r>
        <w:rPr>
          <w:rFonts w:hint="eastAsia" w:ascii="宋体" w:hAnsi="宋体"/>
          <w:color w:val="auto"/>
          <w:sz w:val="24"/>
          <w:szCs w:val="24"/>
        </w:rPr>
        <w:t>采购包号：</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493"/>
        <w:gridCol w:w="1052"/>
        <w:gridCol w:w="933"/>
        <w:gridCol w:w="1559"/>
        <w:gridCol w:w="992"/>
        <w:gridCol w:w="99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01" w:type="dxa"/>
            <w:vAlign w:val="center"/>
          </w:tcPr>
          <w:p>
            <w:pPr>
              <w:autoSpaceDE w:val="0"/>
              <w:autoSpaceDN w:val="0"/>
              <w:jc w:val="center"/>
              <w:rPr>
                <w:rFonts w:ascii="宋体" w:hAnsi="宋体"/>
                <w:color w:val="auto"/>
                <w:szCs w:val="21"/>
              </w:rPr>
            </w:pPr>
            <w:r>
              <w:rPr>
                <w:rFonts w:hint="eastAsia" w:ascii="宋体" w:hAnsi="宋体"/>
                <w:color w:val="auto"/>
                <w:szCs w:val="21"/>
              </w:rPr>
              <w:t>姓名</w:t>
            </w:r>
          </w:p>
        </w:tc>
        <w:tc>
          <w:tcPr>
            <w:tcW w:w="1493" w:type="dxa"/>
            <w:vAlign w:val="center"/>
          </w:tcPr>
          <w:p>
            <w:pPr>
              <w:autoSpaceDE w:val="0"/>
              <w:autoSpaceDN w:val="0"/>
              <w:jc w:val="center"/>
              <w:rPr>
                <w:rFonts w:ascii="宋体" w:hAnsi="宋体"/>
                <w:color w:val="auto"/>
                <w:szCs w:val="21"/>
              </w:rPr>
            </w:pPr>
            <w:r>
              <w:rPr>
                <w:rFonts w:hint="eastAsia" w:ascii="宋体" w:hAnsi="宋体"/>
                <w:color w:val="auto"/>
                <w:szCs w:val="21"/>
              </w:rPr>
              <w:t>拟在本项目中担任的职务或职责</w:t>
            </w:r>
          </w:p>
        </w:tc>
        <w:tc>
          <w:tcPr>
            <w:tcW w:w="1052" w:type="dxa"/>
            <w:vAlign w:val="center"/>
          </w:tcPr>
          <w:p>
            <w:pPr>
              <w:autoSpaceDE w:val="0"/>
              <w:autoSpaceDN w:val="0"/>
              <w:jc w:val="center"/>
              <w:rPr>
                <w:rFonts w:ascii="宋体" w:hAnsi="宋体"/>
                <w:color w:val="auto"/>
                <w:szCs w:val="21"/>
              </w:rPr>
            </w:pPr>
            <w:r>
              <w:rPr>
                <w:rFonts w:hint="eastAsia" w:ascii="宋体" w:hAnsi="宋体"/>
                <w:color w:val="auto"/>
                <w:szCs w:val="21"/>
              </w:rPr>
              <w:t>最高学历</w:t>
            </w:r>
          </w:p>
        </w:tc>
        <w:tc>
          <w:tcPr>
            <w:tcW w:w="933" w:type="dxa"/>
            <w:vAlign w:val="center"/>
          </w:tcPr>
          <w:p>
            <w:pPr>
              <w:autoSpaceDE w:val="0"/>
              <w:autoSpaceDN w:val="0"/>
              <w:jc w:val="center"/>
              <w:rPr>
                <w:rFonts w:ascii="宋体" w:hAnsi="宋体"/>
                <w:color w:val="auto"/>
                <w:szCs w:val="21"/>
              </w:rPr>
            </w:pPr>
            <w:r>
              <w:rPr>
                <w:rFonts w:hint="eastAsia" w:ascii="宋体" w:hAnsi="宋体"/>
                <w:color w:val="auto"/>
                <w:szCs w:val="21"/>
              </w:rPr>
              <w:t>毕业专业</w:t>
            </w:r>
          </w:p>
        </w:tc>
        <w:tc>
          <w:tcPr>
            <w:tcW w:w="1559" w:type="dxa"/>
            <w:vAlign w:val="center"/>
          </w:tcPr>
          <w:p>
            <w:pPr>
              <w:autoSpaceDE w:val="0"/>
              <w:autoSpaceDN w:val="0"/>
              <w:jc w:val="center"/>
              <w:rPr>
                <w:rFonts w:ascii="宋体" w:hAnsi="宋体"/>
                <w:color w:val="auto"/>
                <w:szCs w:val="21"/>
              </w:rPr>
            </w:pPr>
            <w:r>
              <w:rPr>
                <w:rFonts w:hint="eastAsia" w:ascii="宋体" w:hAnsi="宋体"/>
                <w:color w:val="auto"/>
                <w:szCs w:val="21"/>
              </w:rPr>
              <w:t>获得认证资质证书名称</w:t>
            </w:r>
          </w:p>
        </w:tc>
        <w:tc>
          <w:tcPr>
            <w:tcW w:w="992" w:type="dxa"/>
            <w:vAlign w:val="center"/>
          </w:tcPr>
          <w:p>
            <w:pPr>
              <w:autoSpaceDE w:val="0"/>
              <w:autoSpaceDN w:val="0"/>
              <w:jc w:val="center"/>
              <w:rPr>
                <w:rFonts w:ascii="宋体" w:hAnsi="宋体"/>
                <w:color w:val="auto"/>
                <w:szCs w:val="21"/>
              </w:rPr>
            </w:pPr>
            <w:r>
              <w:rPr>
                <w:rFonts w:hint="eastAsia" w:ascii="宋体" w:hAnsi="宋体"/>
                <w:color w:val="auto"/>
                <w:szCs w:val="21"/>
              </w:rPr>
              <w:t>从业年限</w:t>
            </w:r>
          </w:p>
        </w:tc>
        <w:tc>
          <w:tcPr>
            <w:tcW w:w="993" w:type="dxa"/>
            <w:vAlign w:val="center"/>
          </w:tcPr>
          <w:p>
            <w:pPr>
              <w:autoSpaceDE w:val="0"/>
              <w:autoSpaceDN w:val="0"/>
              <w:jc w:val="center"/>
              <w:rPr>
                <w:rFonts w:ascii="宋体" w:hAnsi="宋体"/>
                <w:color w:val="auto"/>
                <w:szCs w:val="21"/>
              </w:rPr>
            </w:pPr>
            <w:r>
              <w:rPr>
                <w:rFonts w:hint="eastAsia" w:ascii="宋体" w:hAnsi="宋体"/>
                <w:color w:val="auto"/>
                <w:szCs w:val="21"/>
              </w:rPr>
              <w:t>同类项目经验</w:t>
            </w:r>
          </w:p>
        </w:tc>
        <w:tc>
          <w:tcPr>
            <w:tcW w:w="1412" w:type="dxa"/>
            <w:vAlign w:val="center"/>
          </w:tcPr>
          <w:p>
            <w:pPr>
              <w:autoSpaceDE w:val="0"/>
              <w:autoSpaceDN w:val="0"/>
              <w:jc w:val="center"/>
              <w:rPr>
                <w:rFonts w:ascii="宋体" w:hAnsi="宋体"/>
                <w:color w:val="auto"/>
                <w:szCs w:val="21"/>
              </w:rPr>
            </w:pPr>
            <w:r>
              <w:rPr>
                <w:rFonts w:hint="eastAsia" w:ascii="宋体" w:hAnsi="宋体"/>
                <w:color w:val="auto"/>
                <w:szCs w:val="21"/>
              </w:rPr>
              <w:t>证明材料（如有，注明所在页码）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01" w:type="dxa"/>
            <w:vAlign w:val="center"/>
          </w:tcPr>
          <w:p>
            <w:pPr>
              <w:autoSpaceDE w:val="0"/>
              <w:autoSpaceDN w:val="0"/>
              <w:spacing w:line="360" w:lineRule="auto"/>
              <w:jc w:val="center"/>
              <w:rPr>
                <w:rFonts w:ascii="宋体" w:hAnsi="宋体"/>
                <w:color w:val="auto"/>
                <w:sz w:val="24"/>
                <w:szCs w:val="24"/>
              </w:rPr>
            </w:pPr>
          </w:p>
        </w:tc>
        <w:tc>
          <w:tcPr>
            <w:tcW w:w="1493" w:type="dxa"/>
            <w:vAlign w:val="center"/>
          </w:tcPr>
          <w:p>
            <w:pPr>
              <w:autoSpaceDE w:val="0"/>
              <w:autoSpaceDN w:val="0"/>
              <w:spacing w:line="360" w:lineRule="auto"/>
              <w:jc w:val="center"/>
              <w:rPr>
                <w:rFonts w:ascii="宋体" w:hAnsi="宋体"/>
                <w:color w:val="auto"/>
                <w:sz w:val="24"/>
                <w:szCs w:val="24"/>
              </w:rPr>
            </w:pPr>
          </w:p>
        </w:tc>
        <w:tc>
          <w:tcPr>
            <w:tcW w:w="1052" w:type="dxa"/>
            <w:vAlign w:val="center"/>
          </w:tcPr>
          <w:p>
            <w:pPr>
              <w:autoSpaceDE w:val="0"/>
              <w:autoSpaceDN w:val="0"/>
              <w:spacing w:line="360" w:lineRule="auto"/>
              <w:jc w:val="center"/>
              <w:rPr>
                <w:rFonts w:ascii="宋体" w:hAnsi="宋体"/>
                <w:color w:val="auto"/>
                <w:sz w:val="24"/>
                <w:szCs w:val="24"/>
              </w:rPr>
            </w:pPr>
          </w:p>
        </w:tc>
        <w:tc>
          <w:tcPr>
            <w:tcW w:w="933" w:type="dxa"/>
            <w:vAlign w:val="center"/>
          </w:tcPr>
          <w:p>
            <w:pPr>
              <w:autoSpaceDE w:val="0"/>
              <w:autoSpaceDN w:val="0"/>
              <w:spacing w:line="360" w:lineRule="auto"/>
              <w:jc w:val="center"/>
              <w:rPr>
                <w:rFonts w:ascii="宋体" w:hAnsi="宋体"/>
                <w:color w:val="auto"/>
                <w:sz w:val="24"/>
                <w:szCs w:val="24"/>
              </w:rPr>
            </w:pPr>
          </w:p>
        </w:tc>
        <w:tc>
          <w:tcPr>
            <w:tcW w:w="1559" w:type="dxa"/>
            <w:vAlign w:val="center"/>
          </w:tcPr>
          <w:p>
            <w:pPr>
              <w:autoSpaceDE w:val="0"/>
              <w:autoSpaceDN w:val="0"/>
              <w:spacing w:line="360" w:lineRule="auto"/>
              <w:jc w:val="center"/>
              <w:rPr>
                <w:rFonts w:ascii="宋体" w:hAnsi="宋体"/>
                <w:color w:val="auto"/>
                <w:sz w:val="24"/>
                <w:szCs w:val="24"/>
              </w:rPr>
            </w:pPr>
          </w:p>
        </w:tc>
        <w:tc>
          <w:tcPr>
            <w:tcW w:w="992" w:type="dxa"/>
            <w:vAlign w:val="center"/>
          </w:tcPr>
          <w:p>
            <w:pPr>
              <w:autoSpaceDE w:val="0"/>
              <w:autoSpaceDN w:val="0"/>
              <w:spacing w:line="360" w:lineRule="auto"/>
              <w:jc w:val="center"/>
              <w:rPr>
                <w:rFonts w:ascii="宋体" w:hAnsi="宋体"/>
                <w:color w:val="auto"/>
                <w:sz w:val="24"/>
                <w:szCs w:val="24"/>
              </w:rPr>
            </w:pPr>
          </w:p>
        </w:tc>
        <w:tc>
          <w:tcPr>
            <w:tcW w:w="993" w:type="dxa"/>
            <w:vAlign w:val="center"/>
          </w:tcPr>
          <w:p>
            <w:pPr>
              <w:autoSpaceDE w:val="0"/>
              <w:autoSpaceDN w:val="0"/>
              <w:spacing w:line="360" w:lineRule="auto"/>
              <w:jc w:val="center"/>
              <w:rPr>
                <w:rFonts w:ascii="宋体" w:hAnsi="宋体"/>
                <w:color w:val="auto"/>
                <w:sz w:val="24"/>
                <w:szCs w:val="24"/>
              </w:rPr>
            </w:pPr>
          </w:p>
        </w:tc>
        <w:tc>
          <w:tcPr>
            <w:tcW w:w="1412"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01" w:type="dxa"/>
            <w:vAlign w:val="center"/>
          </w:tcPr>
          <w:p>
            <w:pPr>
              <w:autoSpaceDE w:val="0"/>
              <w:autoSpaceDN w:val="0"/>
              <w:spacing w:line="360" w:lineRule="auto"/>
              <w:jc w:val="center"/>
              <w:rPr>
                <w:rFonts w:ascii="宋体" w:hAnsi="宋体"/>
                <w:color w:val="auto"/>
                <w:sz w:val="24"/>
                <w:szCs w:val="24"/>
              </w:rPr>
            </w:pPr>
            <w:r>
              <w:rPr>
                <w:rFonts w:ascii="宋体" w:hAnsi="宋体"/>
                <w:color w:val="auto"/>
                <w:sz w:val="24"/>
                <w:szCs w:val="24"/>
              </w:rPr>
              <w:t>……</w:t>
            </w:r>
          </w:p>
        </w:tc>
        <w:tc>
          <w:tcPr>
            <w:tcW w:w="1493" w:type="dxa"/>
            <w:vAlign w:val="center"/>
          </w:tcPr>
          <w:p>
            <w:pPr>
              <w:autoSpaceDE w:val="0"/>
              <w:autoSpaceDN w:val="0"/>
              <w:spacing w:line="360" w:lineRule="auto"/>
              <w:jc w:val="center"/>
              <w:rPr>
                <w:rFonts w:ascii="宋体" w:hAnsi="宋体"/>
                <w:color w:val="auto"/>
                <w:sz w:val="24"/>
                <w:szCs w:val="24"/>
              </w:rPr>
            </w:pPr>
          </w:p>
        </w:tc>
        <w:tc>
          <w:tcPr>
            <w:tcW w:w="1052" w:type="dxa"/>
            <w:vAlign w:val="center"/>
          </w:tcPr>
          <w:p>
            <w:pPr>
              <w:autoSpaceDE w:val="0"/>
              <w:autoSpaceDN w:val="0"/>
              <w:spacing w:line="360" w:lineRule="auto"/>
              <w:jc w:val="center"/>
              <w:rPr>
                <w:rFonts w:ascii="宋体" w:hAnsi="宋体"/>
                <w:color w:val="auto"/>
                <w:sz w:val="24"/>
                <w:szCs w:val="24"/>
              </w:rPr>
            </w:pPr>
          </w:p>
        </w:tc>
        <w:tc>
          <w:tcPr>
            <w:tcW w:w="933" w:type="dxa"/>
            <w:vAlign w:val="center"/>
          </w:tcPr>
          <w:p>
            <w:pPr>
              <w:autoSpaceDE w:val="0"/>
              <w:autoSpaceDN w:val="0"/>
              <w:spacing w:line="360" w:lineRule="auto"/>
              <w:jc w:val="center"/>
              <w:rPr>
                <w:rFonts w:ascii="宋体" w:hAnsi="宋体"/>
                <w:color w:val="auto"/>
                <w:sz w:val="24"/>
                <w:szCs w:val="24"/>
              </w:rPr>
            </w:pPr>
          </w:p>
        </w:tc>
        <w:tc>
          <w:tcPr>
            <w:tcW w:w="1559" w:type="dxa"/>
            <w:vAlign w:val="center"/>
          </w:tcPr>
          <w:p>
            <w:pPr>
              <w:autoSpaceDE w:val="0"/>
              <w:autoSpaceDN w:val="0"/>
              <w:spacing w:line="360" w:lineRule="auto"/>
              <w:jc w:val="center"/>
              <w:rPr>
                <w:rFonts w:ascii="宋体" w:hAnsi="宋体"/>
                <w:color w:val="auto"/>
                <w:sz w:val="24"/>
                <w:szCs w:val="24"/>
              </w:rPr>
            </w:pPr>
          </w:p>
        </w:tc>
        <w:tc>
          <w:tcPr>
            <w:tcW w:w="992" w:type="dxa"/>
            <w:vAlign w:val="center"/>
          </w:tcPr>
          <w:p>
            <w:pPr>
              <w:autoSpaceDE w:val="0"/>
              <w:autoSpaceDN w:val="0"/>
              <w:spacing w:line="360" w:lineRule="auto"/>
              <w:jc w:val="center"/>
              <w:rPr>
                <w:rFonts w:ascii="宋体" w:hAnsi="宋体"/>
                <w:color w:val="auto"/>
                <w:sz w:val="24"/>
                <w:szCs w:val="24"/>
              </w:rPr>
            </w:pPr>
          </w:p>
        </w:tc>
        <w:tc>
          <w:tcPr>
            <w:tcW w:w="993" w:type="dxa"/>
            <w:vAlign w:val="center"/>
          </w:tcPr>
          <w:p>
            <w:pPr>
              <w:autoSpaceDE w:val="0"/>
              <w:autoSpaceDN w:val="0"/>
              <w:spacing w:line="360" w:lineRule="auto"/>
              <w:jc w:val="center"/>
              <w:rPr>
                <w:rFonts w:ascii="宋体" w:hAnsi="宋体"/>
                <w:color w:val="auto"/>
                <w:sz w:val="24"/>
                <w:szCs w:val="24"/>
              </w:rPr>
            </w:pPr>
          </w:p>
        </w:tc>
        <w:tc>
          <w:tcPr>
            <w:tcW w:w="1412" w:type="dxa"/>
            <w:vAlign w:val="center"/>
          </w:tcPr>
          <w:p>
            <w:pPr>
              <w:autoSpaceDE w:val="0"/>
              <w:autoSpaceDN w:val="0"/>
              <w:spacing w:line="360" w:lineRule="auto"/>
              <w:jc w:val="center"/>
              <w:rPr>
                <w:rFonts w:ascii="宋体" w:hAnsi="宋体"/>
                <w:color w:val="auto"/>
                <w:sz w:val="24"/>
                <w:szCs w:val="24"/>
              </w:rPr>
            </w:pPr>
          </w:p>
        </w:tc>
      </w:tr>
    </w:tbl>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投标人名称（加盖公章）：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投标人法定代表人或授权代表（签字或盖章）：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日期：</w:t>
      </w:r>
      <w:r>
        <w:rPr>
          <w:rFonts w:hint="eastAsia" w:ascii="宋体" w:hAnsi="宋体"/>
          <w:color w:val="auto"/>
          <w:sz w:val="24"/>
          <w:szCs w:val="24"/>
          <w:u w:val="single"/>
        </w:rPr>
        <w:t xml:space="preserve">        </w:t>
      </w:r>
      <w:r>
        <w:rPr>
          <w:rFonts w:hint="eastAsia" w:ascii="宋体" w:hAnsi="宋体"/>
          <w:color w:val="auto"/>
          <w:sz w:val="24"/>
          <w:szCs w:val="24"/>
        </w:rPr>
        <w:t>年</w:t>
      </w:r>
      <w:r>
        <w:rPr>
          <w:rFonts w:hint="eastAsia" w:ascii="宋体" w:hAnsi="宋体"/>
          <w:color w:val="auto"/>
          <w:sz w:val="24"/>
          <w:szCs w:val="24"/>
          <w:u w:val="single"/>
        </w:rPr>
        <w:t xml:space="preserve">    </w:t>
      </w:r>
      <w:r>
        <w:rPr>
          <w:rFonts w:hint="eastAsia" w:ascii="宋体" w:hAnsi="宋体"/>
          <w:color w:val="auto"/>
          <w:sz w:val="24"/>
          <w:szCs w:val="24"/>
        </w:rPr>
        <w:t>月</w:t>
      </w:r>
      <w:r>
        <w:rPr>
          <w:rFonts w:hint="eastAsia" w:ascii="宋体" w:hAnsi="宋体"/>
          <w:color w:val="auto"/>
          <w:sz w:val="24"/>
          <w:szCs w:val="24"/>
          <w:u w:val="single"/>
        </w:rPr>
        <w:t xml:space="preserve">    </w:t>
      </w:r>
      <w:r>
        <w:rPr>
          <w:rFonts w:hint="eastAsia" w:ascii="宋体" w:hAnsi="宋体"/>
          <w:color w:val="auto"/>
          <w:sz w:val="24"/>
          <w:szCs w:val="24"/>
        </w:rPr>
        <w:t>日</w:t>
      </w:r>
    </w:p>
    <w:p>
      <w:pPr>
        <w:rPr>
          <w:rFonts w:ascii="宋体" w:hAnsi="宋体"/>
          <w:b/>
          <w:color w:val="auto"/>
          <w:sz w:val="24"/>
          <w:szCs w:val="24"/>
        </w:rPr>
      </w:pPr>
      <w:r>
        <w:rPr>
          <w:rFonts w:hint="eastAsia" w:ascii="宋体" w:hAnsi="宋体"/>
          <w:b/>
          <w:color w:val="auto"/>
          <w:sz w:val="24"/>
          <w:szCs w:val="24"/>
        </w:rPr>
        <w:t>备注：</w:t>
      </w:r>
    </w:p>
    <w:p>
      <w:pPr>
        <w:ind w:firstLine="480" w:firstLineChars="200"/>
        <w:rPr>
          <w:rFonts w:ascii="宋体" w:hAnsi="宋体"/>
          <w:color w:val="auto"/>
          <w:sz w:val="24"/>
          <w:szCs w:val="24"/>
        </w:rPr>
      </w:pPr>
      <w:r>
        <w:rPr>
          <w:rFonts w:hint="eastAsia" w:ascii="宋体" w:hAnsi="宋体"/>
          <w:color w:val="auto"/>
          <w:sz w:val="24"/>
          <w:szCs w:val="24"/>
        </w:rPr>
        <w:t>1.投标人应如实填写拟派人员情况，不得弄虚作假；“毕业专业”可填写最高学历专业或其他资格证书上的专业。</w:t>
      </w:r>
    </w:p>
    <w:p>
      <w:pPr>
        <w:ind w:firstLine="480" w:firstLineChars="200"/>
        <w:rPr>
          <w:rFonts w:ascii="宋体" w:hAnsi="宋体"/>
          <w:color w:val="auto"/>
          <w:sz w:val="24"/>
          <w:szCs w:val="24"/>
        </w:rPr>
      </w:pPr>
      <w:r>
        <w:rPr>
          <w:rFonts w:hint="eastAsia" w:ascii="宋体" w:hAnsi="宋体"/>
          <w:color w:val="auto"/>
          <w:sz w:val="24"/>
          <w:szCs w:val="24"/>
        </w:rPr>
        <w:t>2.请在上表后附拟派人员的相关材料（</w:t>
      </w:r>
      <w:r>
        <w:rPr>
          <w:rFonts w:hint="eastAsia" w:ascii="宋体" w:hAnsi="宋体"/>
          <w:b/>
          <w:color w:val="auto"/>
          <w:sz w:val="24"/>
          <w:szCs w:val="24"/>
        </w:rPr>
        <w:t>如评分表中对相关材料作出要求的，按其要求提供</w:t>
      </w:r>
      <w:r>
        <w:rPr>
          <w:rFonts w:hint="eastAsia" w:ascii="宋体" w:hAnsi="宋体"/>
          <w:color w:val="auto"/>
          <w:sz w:val="24"/>
          <w:szCs w:val="24"/>
        </w:rPr>
        <w:t>；如评分表中未对相关材料作出要求的，可以根据《采购需求》的要求（如有）提供人员资料不限于身份证明、毕业证、职称证、注册执业证、职业资格证、其他资格证（如培训证、上岗证、操作证等）、依法缴纳社会保障资金或个人所得税证明等）。</w:t>
      </w:r>
    </w:p>
    <w:p>
      <w:pPr>
        <w:ind w:firstLine="480" w:firstLineChars="200"/>
        <w:rPr>
          <w:rFonts w:ascii="宋体" w:hAnsi="宋体"/>
          <w:color w:val="auto"/>
          <w:sz w:val="24"/>
          <w:szCs w:val="24"/>
        </w:rPr>
      </w:pPr>
      <w:r>
        <w:rPr>
          <w:rFonts w:hint="eastAsia" w:ascii="宋体" w:hAnsi="宋体"/>
          <w:color w:val="auto"/>
          <w:sz w:val="24"/>
          <w:szCs w:val="24"/>
        </w:rPr>
        <w:t>3.对项目经理（项目负责人或主要团队人员）（如要求），供应商可以分别以履历表形式具体说明情况（格式自定）。</w:t>
      </w:r>
    </w:p>
    <w:p>
      <w:pPr>
        <w:pStyle w:val="6"/>
        <w:numPr>
          <w:ilvl w:val="1"/>
          <w:numId w:val="99"/>
        </w:numPr>
        <w:tabs>
          <w:tab w:val="left" w:pos="945"/>
        </w:tabs>
        <w:ind w:left="0" w:firstLine="0"/>
        <w:rPr>
          <w:rFonts w:ascii="宋体" w:hAnsi="宋体"/>
          <w:color w:val="auto"/>
          <w:szCs w:val="24"/>
        </w:rPr>
      </w:pPr>
      <w:bookmarkStart w:id="435" w:name="_Toc22806228"/>
      <w:r>
        <w:rPr>
          <w:rFonts w:hint="eastAsia" w:ascii="宋体" w:hAnsi="宋体"/>
          <w:color w:val="auto"/>
          <w:szCs w:val="24"/>
        </w:rPr>
        <w:t>《采购需求》中要求提供的相关说明和证明材料（如有）</w:t>
      </w:r>
      <w:bookmarkEnd w:id="435"/>
    </w:p>
    <w:p>
      <w:pPr>
        <w:spacing w:line="360" w:lineRule="auto"/>
        <w:ind w:left="1083" w:hanging="1078" w:hangingChars="337"/>
        <w:jc w:val="center"/>
        <w:rPr>
          <w:rFonts w:ascii="宋体" w:hAnsi="宋体"/>
          <w:b/>
          <w:color w:val="auto"/>
          <w:sz w:val="32"/>
          <w:szCs w:val="32"/>
        </w:rPr>
      </w:pPr>
      <w:r>
        <w:rPr>
          <w:rFonts w:hint="eastAsia" w:ascii="宋体" w:hAnsi="宋体"/>
          <w:b/>
          <w:color w:val="auto"/>
          <w:sz w:val="32"/>
          <w:szCs w:val="32"/>
        </w:rPr>
        <w:t>《采购需求》中要求提供的相关说明和证明材料</w:t>
      </w:r>
    </w:p>
    <w:p>
      <w:pPr>
        <w:spacing w:line="360" w:lineRule="auto"/>
        <w:ind w:left="809" w:hanging="808" w:hangingChars="337"/>
        <w:rPr>
          <w:rFonts w:hint="eastAsia" w:ascii="宋体" w:hAnsi="宋体" w:eastAsia="宋体"/>
          <w:color w:val="auto"/>
          <w:sz w:val="24"/>
          <w:szCs w:val="24"/>
          <w:lang w:eastAsia="zh-CN"/>
        </w:rPr>
      </w:pPr>
      <w:r>
        <w:rPr>
          <w:rFonts w:hint="eastAsia" w:ascii="宋体" w:hAnsi="宋体"/>
          <w:color w:val="auto"/>
          <w:sz w:val="24"/>
          <w:szCs w:val="24"/>
        </w:rPr>
        <w:t>采购项目名称：</w:t>
      </w:r>
      <w:r>
        <w:rPr>
          <w:rFonts w:hint="eastAsia" w:ascii="宋体" w:hAnsi="宋体"/>
          <w:color w:val="auto"/>
          <w:sz w:val="24"/>
          <w:szCs w:val="24"/>
          <w:lang w:eastAsia="zh-CN"/>
        </w:rPr>
        <w:t>工业和信息化部电子第五研究所动力电池配套使用环境试验箱采购项目</w:t>
      </w:r>
    </w:p>
    <w:p>
      <w:pPr>
        <w:spacing w:line="360" w:lineRule="auto"/>
        <w:ind w:left="809" w:hanging="808" w:hangingChars="337"/>
        <w:rPr>
          <w:rFonts w:ascii="宋体" w:hAnsi="宋体"/>
          <w:color w:val="auto"/>
          <w:sz w:val="24"/>
          <w:szCs w:val="24"/>
        </w:rPr>
      </w:pPr>
      <w:r>
        <w:rPr>
          <w:rFonts w:hint="eastAsia" w:ascii="宋体" w:hAnsi="宋体"/>
          <w:color w:val="auto"/>
          <w:sz w:val="24"/>
          <w:szCs w:val="24"/>
        </w:rPr>
        <w:t>采购包号：</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165"/>
        <w:gridCol w:w="3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1"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序号</w:t>
            </w:r>
          </w:p>
        </w:tc>
        <w:tc>
          <w:tcPr>
            <w:tcW w:w="5165"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说明事项</w:t>
            </w:r>
          </w:p>
        </w:tc>
        <w:tc>
          <w:tcPr>
            <w:tcW w:w="3181"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证明材料所在页码范围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rPr>
            </w:pPr>
          </w:p>
        </w:tc>
        <w:tc>
          <w:tcPr>
            <w:tcW w:w="5165" w:type="dxa"/>
            <w:vAlign w:val="center"/>
          </w:tcPr>
          <w:p>
            <w:pPr>
              <w:autoSpaceDE w:val="0"/>
              <w:autoSpaceDN w:val="0"/>
              <w:spacing w:line="360" w:lineRule="auto"/>
              <w:jc w:val="center"/>
              <w:rPr>
                <w:rFonts w:ascii="宋体" w:hAnsi="宋体"/>
                <w:color w:val="auto"/>
                <w:sz w:val="24"/>
                <w:szCs w:val="24"/>
              </w:rPr>
            </w:pPr>
          </w:p>
        </w:tc>
        <w:tc>
          <w:tcPr>
            <w:tcW w:w="3181" w:type="dxa"/>
            <w:vAlign w:val="center"/>
          </w:tcPr>
          <w:p>
            <w:pPr>
              <w:autoSpaceDE w:val="0"/>
              <w:autoSpaceDN w:val="0"/>
              <w:spacing w:line="360" w:lineRule="auto"/>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rPr>
            </w:pPr>
          </w:p>
        </w:tc>
        <w:tc>
          <w:tcPr>
            <w:tcW w:w="5165" w:type="dxa"/>
            <w:vAlign w:val="center"/>
          </w:tcPr>
          <w:p>
            <w:pPr>
              <w:autoSpaceDE w:val="0"/>
              <w:autoSpaceDN w:val="0"/>
              <w:spacing w:line="360" w:lineRule="auto"/>
              <w:jc w:val="center"/>
              <w:rPr>
                <w:rFonts w:ascii="宋体" w:hAnsi="宋体"/>
                <w:color w:val="auto"/>
                <w:sz w:val="24"/>
                <w:szCs w:val="24"/>
              </w:rPr>
            </w:pPr>
          </w:p>
        </w:tc>
        <w:tc>
          <w:tcPr>
            <w:tcW w:w="3181" w:type="dxa"/>
            <w:vAlign w:val="center"/>
          </w:tcPr>
          <w:p>
            <w:pPr>
              <w:autoSpaceDE w:val="0"/>
              <w:autoSpaceDN w:val="0"/>
              <w:spacing w:line="360" w:lineRule="auto"/>
              <w:jc w:val="center"/>
              <w:rPr>
                <w:rFonts w:ascii="宋体" w:hAnsi="宋体"/>
                <w:color w:val="auto"/>
                <w:sz w:val="24"/>
                <w:szCs w:val="24"/>
              </w:rPr>
            </w:pPr>
          </w:p>
        </w:tc>
      </w:tr>
    </w:tbl>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投标人名称（加盖公章）：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投标人法定代表人或授权代表（签字或盖章）：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日期：</w:t>
      </w:r>
      <w:r>
        <w:rPr>
          <w:rFonts w:hint="eastAsia" w:ascii="宋体" w:hAnsi="宋体"/>
          <w:color w:val="auto"/>
          <w:sz w:val="24"/>
          <w:szCs w:val="24"/>
          <w:u w:val="single"/>
        </w:rPr>
        <w:t xml:space="preserve">        </w:t>
      </w:r>
      <w:r>
        <w:rPr>
          <w:rFonts w:hint="eastAsia" w:ascii="宋体" w:hAnsi="宋体"/>
          <w:color w:val="auto"/>
          <w:sz w:val="24"/>
          <w:szCs w:val="24"/>
        </w:rPr>
        <w:t>年</w:t>
      </w:r>
      <w:r>
        <w:rPr>
          <w:rFonts w:hint="eastAsia" w:ascii="宋体" w:hAnsi="宋体"/>
          <w:color w:val="auto"/>
          <w:sz w:val="24"/>
          <w:szCs w:val="24"/>
          <w:u w:val="single"/>
        </w:rPr>
        <w:t xml:space="preserve">    </w:t>
      </w:r>
      <w:r>
        <w:rPr>
          <w:rFonts w:hint="eastAsia" w:ascii="宋体" w:hAnsi="宋体"/>
          <w:color w:val="auto"/>
          <w:sz w:val="24"/>
          <w:szCs w:val="24"/>
        </w:rPr>
        <w:t>月</w:t>
      </w:r>
      <w:r>
        <w:rPr>
          <w:rFonts w:hint="eastAsia" w:ascii="宋体" w:hAnsi="宋体"/>
          <w:color w:val="auto"/>
          <w:sz w:val="24"/>
          <w:szCs w:val="24"/>
          <w:u w:val="single"/>
        </w:rPr>
        <w:t xml:space="preserve">    </w:t>
      </w:r>
      <w:r>
        <w:rPr>
          <w:rFonts w:hint="eastAsia" w:ascii="宋体" w:hAnsi="宋体"/>
          <w:color w:val="auto"/>
          <w:sz w:val="24"/>
          <w:szCs w:val="24"/>
        </w:rPr>
        <w:t>日</w:t>
      </w:r>
    </w:p>
    <w:p>
      <w:pPr>
        <w:autoSpaceDE w:val="0"/>
        <w:autoSpaceDN w:val="0"/>
        <w:rPr>
          <w:rFonts w:ascii="宋体" w:hAnsi="宋体"/>
          <w:b/>
          <w:color w:val="auto"/>
          <w:sz w:val="24"/>
          <w:szCs w:val="24"/>
        </w:rPr>
      </w:pPr>
    </w:p>
    <w:p>
      <w:pPr>
        <w:autoSpaceDE w:val="0"/>
        <w:autoSpaceDN w:val="0"/>
        <w:rPr>
          <w:rFonts w:ascii="宋体" w:hAnsi="宋体"/>
          <w:color w:val="auto"/>
          <w:sz w:val="24"/>
          <w:szCs w:val="24"/>
        </w:rPr>
      </w:pPr>
      <w:r>
        <w:rPr>
          <w:rFonts w:hint="eastAsia" w:ascii="宋体" w:hAnsi="宋体"/>
          <w:b/>
          <w:color w:val="auto"/>
          <w:sz w:val="24"/>
          <w:szCs w:val="24"/>
        </w:rPr>
        <w:t>备注：</w:t>
      </w:r>
      <w:r>
        <w:rPr>
          <w:rFonts w:hint="eastAsia" w:ascii="宋体" w:hAnsi="宋体"/>
          <w:color w:val="auto"/>
          <w:sz w:val="24"/>
          <w:szCs w:val="24"/>
        </w:rPr>
        <w:t>1.投标人可对《采购需求》中要求提供的相关说明和证明材料做出说明并在上表后附提供相关证明材料；在投标文件其他部分内容中已经提供的材料，可不重复提供，可仅列明页码。</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2.如果投标人无上述任何情况说明和相关证明材料，请在上表第一行填写“无相关情况说明”。</w:t>
      </w:r>
    </w:p>
    <w:p>
      <w:pPr>
        <w:autoSpaceDE w:val="0"/>
        <w:autoSpaceDN w:val="0"/>
        <w:spacing w:line="360" w:lineRule="auto"/>
        <w:rPr>
          <w:rFonts w:ascii="宋体" w:hAnsi="宋体"/>
          <w:color w:val="auto"/>
          <w:sz w:val="24"/>
          <w:szCs w:val="24"/>
        </w:rPr>
      </w:pPr>
    </w:p>
    <w:p>
      <w:pPr>
        <w:pStyle w:val="5"/>
        <w:numPr>
          <w:ilvl w:val="0"/>
          <w:numId w:val="99"/>
        </w:numPr>
        <w:tabs>
          <w:tab w:val="left" w:pos="945"/>
        </w:tabs>
        <w:spacing w:before="0" w:after="0" w:line="360" w:lineRule="auto"/>
        <w:ind w:left="0" w:firstLine="0"/>
        <w:rPr>
          <w:color w:val="auto"/>
          <w:sz w:val="28"/>
          <w:szCs w:val="28"/>
        </w:rPr>
      </w:pPr>
      <w:bookmarkStart w:id="436" w:name="_Toc22806229"/>
      <w:bookmarkStart w:id="437" w:name="_Toc54335486"/>
      <w:bookmarkStart w:id="438" w:name="_Toc3956"/>
      <w:r>
        <w:rPr>
          <w:rFonts w:hint="eastAsia"/>
          <w:color w:val="auto"/>
          <w:sz w:val="28"/>
          <w:szCs w:val="28"/>
        </w:rPr>
        <w:t>《技术评审表》各评审因素响应情况及相关证明材料</w:t>
      </w:r>
      <w:bookmarkEnd w:id="436"/>
      <w:r>
        <w:rPr>
          <w:rFonts w:hint="eastAsia"/>
          <w:color w:val="auto"/>
          <w:sz w:val="28"/>
          <w:szCs w:val="28"/>
        </w:rPr>
        <w:t>（如有）</w:t>
      </w:r>
      <w:bookmarkEnd w:id="437"/>
      <w:bookmarkEnd w:id="438"/>
    </w:p>
    <w:p>
      <w:pPr>
        <w:spacing w:line="360" w:lineRule="auto"/>
        <w:ind w:left="1083" w:hanging="1078" w:hangingChars="337"/>
        <w:jc w:val="center"/>
        <w:rPr>
          <w:rFonts w:ascii="宋体" w:hAnsi="宋体"/>
          <w:b/>
          <w:color w:val="auto"/>
          <w:sz w:val="32"/>
          <w:szCs w:val="32"/>
        </w:rPr>
      </w:pPr>
      <w:r>
        <w:rPr>
          <w:rFonts w:hint="eastAsia" w:ascii="宋体" w:hAnsi="宋体"/>
          <w:b/>
          <w:color w:val="auto"/>
          <w:sz w:val="32"/>
          <w:szCs w:val="32"/>
        </w:rPr>
        <w:t>《技术评审表》各评审因素响应情况及相关证明材料</w:t>
      </w:r>
    </w:p>
    <w:p>
      <w:pPr>
        <w:spacing w:line="360" w:lineRule="auto"/>
        <w:ind w:left="809" w:hanging="808" w:hangingChars="337"/>
        <w:rPr>
          <w:rFonts w:hint="eastAsia" w:ascii="宋体" w:hAnsi="宋体" w:eastAsia="宋体"/>
          <w:color w:val="auto"/>
          <w:sz w:val="24"/>
          <w:szCs w:val="24"/>
          <w:lang w:eastAsia="zh-CN"/>
        </w:rPr>
      </w:pPr>
      <w:r>
        <w:rPr>
          <w:rFonts w:hint="eastAsia" w:ascii="宋体" w:hAnsi="宋体"/>
          <w:color w:val="auto"/>
          <w:sz w:val="24"/>
          <w:szCs w:val="24"/>
        </w:rPr>
        <w:t>采购项目名称：</w:t>
      </w:r>
      <w:r>
        <w:rPr>
          <w:rFonts w:hint="eastAsia" w:ascii="宋体" w:hAnsi="宋体"/>
          <w:color w:val="auto"/>
          <w:sz w:val="24"/>
          <w:szCs w:val="24"/>
          <w:lang w:eastAsia="zh-CN"/>
        </w:rPr>
        <w:t>工业和信息化部电子第五研究所动力电池配套使用环境试验箱采购项目</w:t>
      </w:r>
    </w:p>
    <w:p>
      <w:pPr>
        <w:spacing w:line="360" w:lineRule="auto"/>
        <w:ind w:left="809" w:hanging="808" w:hangingChars="337"/>
        <w:rPr>
          <w:rFonts w:ascii="宋体" w:hAnsi="宋体"/>
          <w:color w:val="auto"/>
          <w:sz w:val="24"/>
          <w:szCs w:val="24"/>
        </w:rPr>
      </w:pPr>
      <w:r>
        <w:rPr>
          <w:rFonts w:hint="eastAsia" w:ascii="宋体" w:hAnsi="宋体"/>
          <w:color w:val="auto"/>
          <w:sz w:val="24"/>
          <w:szCs w:val="24"/>
        </w:rPr>
        <w:t>采购包号：</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165"/>
        <w:gridCol w:w="3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1"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序号</w:t>
            </w:r>
          </w:p>
        </w:tc>
        <w:tc>
          <w:tcPr>
            <w:tcW w:w="5165"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说明事项</w:t>
            </w:r>
          </w:p>
        </w:tc>
        <w:tc>
          <w:tcPr>
            <w:tcW w:w="3181"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证明材料所在页码范围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rPr>
            </w:pPr>
          </w:p>
        </w:tc>
        <w:tc>
          <w:tcPr>
            <w:tcW w:w="5165" w:type="dxa"/>
            <w:vAlign w:val="center"/>
          </w:tcPr>
          <w:p>
            <w:pPr>
              <w:autoSpaceDE w:val="0"/>
              <w:autoSpaceDN w:val="0"/>
              <w:spacing w:line="360" w:lineRule="auto"/>
              <w:jc w:val="center"/>
              <w:rPr>
                <w:rFonts w:ascii="宋体" w:hAnsi="宋体"/>
                <w:color w:val="auto"/>
                <w:sz w:val="24"/>
                <w:szCs w:val="24"/>
              </w:rPr>
            </w:pPr>
          </w:p>
        </w:tc>
        <w:tc>
          <w:tcPr>
            <w:tcW w:w="3181" w:type="dxa"/>
            <w:vAlign w:val="center"/>
          </w:tcPr>
          <w:p>
            <w:pPr>
              <w:autoSpaceDE w:val="0"/>
              <w:autoSpaceDN w:val="0"/>
              <w:spacing w:line="360" w:lineRule="auto"/>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rPr>
            </w:pPr>
          </w:p>
        </w:tc>
        <w:tc>
          <w:tcPr>
            <w:tcW w:w="5165" w:type="dxa"/>
            <w:vAlign w:val="center"/>
          </w:tcPr>
          <w:p>
            <w:pPr>
              <w:autoSpaceDE w:val="0"/>
              <w:autoSpaceDN w:val="0"/>
              <w:spacing w:line="360" w:lineRule="auto"/>
              <w:jc w:val="center"/>
              <w:rPr>
                <w:rFonts w:ascii="宋体" w:hAnsi="宋体"/>
                <w:color w:val="auto"/>
                <w:sz w:val="24"/>
                <w:szCs w:val="24"/>
              </w:rPr>
            </w:pPr>
          </w:p>
        </w:tc>
        <w:tc>
          <w:tcPr>
            <w:tcW w:w="3181" w:type="dxa"/>
            <w:vAlign w:val="center"/>
          </w:tcPr>
          <w:p>
            <w:pPr>
              <w:autoSpaceDE w:val="0"/>
              <w:autoSpaceDN w:val="0"/>
              <w:spacing w:line="360" w:lineRule="auto"/>
              <w:jc w:val="center"/>
              <w:rPr>
                <w:rFonts w:ascii="宋体" w:hAnsi="宋体"/>
                <w:color w:val="auto"/>
                <w:sz w:val="24"/>
                <w:szCs w:val="24"/>
              </w:rPr>
            </w:pPr>
          </w:p>
        </w:tc>
      </w:tr>
    </w:tbl>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投标人名称（加盖公章）：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投标人法定代表人或授权代表（签字或盖章）：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日期：</w:t>
      </w:r>
      <w:r>
        <w:rPr>
          <w:rFonts w:hint="eastAsia" w:ascii="宋体" w:hAnsi="宋体"/>
          <w:color w:val="auto"/>
          <w:sz w:val="24"/>
          <w:szCs w:val="24"/>
          <w:u w:val="single"/>
        </w:rPr>
        <w:t xml:space="preserve">        </w:t>
      </w:r>
      <w:r>
        <w:rPr>
          <w:rFonts w:hint="eastAsia" w:ascii="宋体" w:hAnsi="宋体"/>
          <w:color w:val="auto"/>
          <w:sz w:val="24"/>
          <w:szCs w:val="24"/>
        </w:rPr>
        <w:t>年</w:t>
      </w:r>
      <w:r>
        <w:rPr>
          <w:rFonts w:hint="eastAsia" w:ascii="宋体" w:hAnsi="宋体"/>
          <w:color w:val="auto"/>
          <w:sz w:val="24"/>
          <w:szCs w:val="24"/>
          <w:u w:val="single"/>
        </w:rPr>
        <w:t xml:space="preserve">    </w:t>
      </w:r>
      <w:r>
        <w:rPr>
          <w:rFonts w:hint="eastAsia" w:ascii="宋体" w:hAnsi="宋体"/>
          <w:color w:val="auto"/>
          <w:sz w:val="24"/>
          <w:szCs w:val="24"/>
        </w:rPr>
        <w:t>月</w:t>
      </w:r>
      <w:r>
        <w:rPr>
          <w:rFonts w:hint="eastAsia" w:ascii="宋体" w:hAnsi="宋体"/>
          <w:color w:val="auto"/>
          <w:sz w:val="24"/>
          <w:szCs w:val="24"/>
          <w:u w:val="single"/>
        </w:rPr>
        <w:t xml:space="preserve">    </w:t>
      </w:r>
      <w:r>
        <w:rPr>
          <w:rFonts w:hint="eastAsia" w:ascii="宋体" w:hAnsi="宋体"/>
          <w:color w:val="auto"/>
          <w:sz w:val="24"/>
          <w:szCs w:val="24"/>
        </w:rPr>
        <w:t>日</w:t>
      </w:r>
    </w:p>
    <w:p>
      <w:pPr>
        <w:autoSpaceDE w:val="0"/>
        <w:autoSpaceDN w:val="0"/>
        <w:rPr>
          <w:rFonts w:ascii="宋体" w:hAnsi="宋体"/>
          <w:color w:val="auto"/>
          <w:sz w:val="24"/>
          <w:szCs w:val="24"/>
        </w:rPr>
      </w:pPr>
      <w:r>
        <w:rPr>
          <w:rFonts w:hint="eastAsia" w:ascii="宋体" w:hAnsi="宋体"/>
          <w:b/>
          <w:color w:val="auto"/>
          <w:sz w:val="24"/>
          <w:szCs w:val="24"/>
        </w:rPr>
        <w:t>备注：</w:t>
      </w:r>
      <w:r>
        <w:rPr>
          <w:rFonts w:hint="eastAsia" w:ascii="宋体" w:hAnsi="宋体"/>
          <w:color w:val="auto"/>
          <w:sz w:val="24"/>
          <w:szCs w:val="24"/>
        </w:rPr>
        <w:t>1.</w:t>
      </w:r>
      <w:r>
        <w:rPr>
          <w:rFonts w:hint="eastAsia" w:ascii="宋体" w:hAnsi="宋体"/>
          <w:b/>
          <w:color w:val="auto"/>
          <w:sz w:val="24"/>
          <w:szCs w:val="24"/>
        </w:rPr>
        <w:t>除本部分《2.1技术得分自评表》外</w:t>
      </w:r>
      <w:r>
        <w:rPr>
          <w:rFonts w:hint="eastAsia" w:ascii="宋体" w:hAnsi="宋体"/>
          <w:color w:val="auto"/>
          <w:sz w:val="24"/>
          <w:szCs w:val="24"/>
        </w:rPr>
        <w:t>，投标人可对《技术评审表》各评审因素响应情况做出补充说明并在上表后附相关证明材料；</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2.如相关内容已在投标文件其他部分做出说明或提供证明材料，上表可以直接引用相关说明和证明材料的页码范围；</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3.如果投标人无上述任何情况说明和相关证明材料，请在上表第一行填写“无相关情况说明”。</w:t>
      </w:r>
    </w:p>
    <w:p>
      <w:pPr>
        <w:autoSpaceDE w:val="0"/>
        <w:autoSpaceDN w:val="0"/>
        <w:ind w:firstLine="480" w:firstLineChars="200"/>
        <w:rPr>
          <w:rFonts w:ascii="宋体" w:hAnsi="宋体"/>
          <w:color w:val="auto"/>
          <w:sz w:val="24"/>
          <w:szCs w:val="24"/>
        </w:rPr>
      </w:pPr>
    </w:p>
    <w:p>
      <w:pPr>
        <w:pStyle w:val="5"/>
        <w:numPr>
          <w:ilvl w:val="0"/>
          <w:numId w:val="99"/>
        </w:numPr>
        <w:tabs>
          <w:tab w:val="left" w:pos="945"/>
        </w:tabs>
        <w:spacing w:before="0" w:after="0" w:line="360" w:lineRule="auto"/>
        <w:ind w:left="0" w:firstLine="0"/>
        <w:rPr>
          <w:color w:val="auto"/>
          <w:sz w:val="28"/>
          <w:szCs w:val="28"/>
        </w:rPr>
      </w:pPr>
      <w:bookmarkStart w:id="439" w:name="_Toc22806230"/>
      <w:bookmarkStart w:id="440" w:name="_Toc54335487"/>
      <w:bookmarkStart w:id="441" w:name="_Toc29462"/>
      <w:r>
        <w:rPr>
          <w:rFonts w:hint="eastAsia"/>
          <w:color w:val="auto"/>
          <w:sz w:val="28"/>
          <w:szCs w:val="28"/>
        </w:rPr>
        <w:t>投标人认为有必要说明或提供的其他技术文件（如有）</w:t>
      </w:r>
      <w:bookmarkEnd w:id="439"/>
      <w:bookmarkEnd w:id="440"/>
      <w:bookmarkEnd w:id="441"/>
    </w:p>
    <w:p>
      <w:pPr>
        <w:spacing w:line="360" w:lineRule="auto"/>
        <w:ind w:left="1083" w:hanging="1078" w:hangingChars="337"/>
        <w:jc w:val="center"/>
        <w:rPr>
          <w:rFonts w:ascii="宋体" w:hAnsi="宋体"/>
          <w:b/>
          <w:color w:val="auto"/>
          <w:sz w:val="32"/>
          <w:szCs w:val="32"/>
        </w:rPr>
      </w:pPr>
      <w:r>
        <w:rPr>
          <w:rFonts w:hint="eastAsia" w:ascii="宋体" w:hAnsi="宋体"/>
          <w:b/>
          <w:color w:val="auto"/>
          <w:sz w:val="32"/>
          <w:szCs w:val="32"/>
        </w:rPr>
        <w:t>投标人认为有必要说明或提供的其他技术文件</w:t>
      </w:r>
    </w:p>
    <w:p>
      <w:pPr>
        <w:spacing w:line="360" w:lineRule="auto"/>
        <w:ind w:left="809" w:hanging="808" w:hangingChars="337"/>
        <w:rPr>
          <w:rFonts w:hint="eastAsia" w:ascii="宋体" w:hAnsi="宋体" w:eastAsia="宋体"/>
          <w:color w:val="auto"/>
          <w:sz w:val="24"/>
          <w:szCs w:val="24"/>
          <w:lang w:eastAsia="zh-CN"/>
        </w:rPr>
      </w:pPr>
      <w:r>
        <w:rPr>
          <w:rFonts w:hint="eastAsia" w:ascii="宋体" w:hAnsi="宋体"/>
          <w:color w:val="auto"/>
          <w:sz w:val="24"/>
          <w:szCs w:val="24"/>
        </w:rPr>
        <w:t>采购项目名称：</w:t>
      </w:r>
      <w:r>
        <w:rPr>
          <w:rFonts w:hint="eastAsia" w:ascii="宋体" w:hAnsi="宋体"/>
          <w:color w:val="auto"/>
          <w:sz w:val="24"/>
          <w:szCs w:val="24"/>
          <w:lang w:eastAsia="zh-CN"/>
        </w:rPr>
        <w:t>工业和信息化部电子第五研究所动力电池配套使用环境试验箱采购项目</w:t>
      </w:r>
    </w:p>
    <w:p>
      <w:pPr>
        <w:spacing w:line="360" w:lineRule="auto"/>
        <w:ind w:left="809" w:hanging="808" w:hangingChars="337"/>
        <w:rPr>
          <w:rFonts w:ascii="宋体" w:hAnsi="宋体"/>
          <w:color w:val="auto"/>
          <w:sz w:val="24"/>
          <w:szCs w:val="24"/>
        </w:rPr>
      </w:pPr>
      <w:r>
        <w:rPr>
          <w:rFonts w:hint="eastAsia" w:ascii="宋体" w:hAnsi="宋体"/>
          <w:color w:val="auto"/>
          <w:sz w:val="24"/>
          <w:szCs w:val="24"/>
        </w:rPr>
        <w:t>采购包号：</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165"/>
        <w:gridCol w:w="3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序号</w:t>
            </w:r>
          </w:p>
        </w:tc>
        <w:tc>
          <w:tcPr>
            <w:tcW w:w="5165"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说明事项</w:t>
            </w:r>
          </w:p>
        </w:tc>
        <w:tc>
          <w:tcPr>
            <w:tcW w:w="3181"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证明材料所在页码范围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rPr>
            </w:pPr>
          </w:p>
        </w:tc>
        <w:tc>
          <w:tcPr>
            <w:tcW w:w="5165" w:type="dxa"/>
            <w:vAlign w:val="center"/>
          </w:tcPr>
          <w:p>
            <w:pPr>
              <w:autoSpaceDE w:val="0"/>
              <w:autoSpaceDN w:val="0"/>
              <w:spacing w:line="360" w:lineRule="auto"/>
              <w:jc w:val="center"/>
              <w:rPr>
                <w:rFonts w:ascii="宋体" w:hAnsi="宋体"/>
                <w:color w:val="auto"/>
                <w:sz w:val="24"/>
                <w:szCs w:val="24"/>
              </w:rPr>
            </w:pPr>
          </w:p>
        </w:tc>
        <w:tc>
          <w:tcPr>
            <w:tcW w:w="3181" w:type="dxa"/>
            <w:vAlign w:val="center"/>
          </w:tcPr>
          <w:p>
            <w:pPr>
              <w:autoSpaceDE w:val="0"/>
              <w:autoSpaceDN w:val="0"/>
              <w:spacing w:line="360" w:lineRule="auto"/>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rPr>
            </w:pPr>
          </w:p>
        </w:tc>
        <w:tc>
          <w:tcPr>
            <w:tcW w:w="5165" w:type="dxa"/>
            <w:vAlign w:val="center"/>
          </w:tcPr>
          <w:p>
            <w:pPr>
              <w:autoSpaceDE w:val="0"/>
              <w:autoSpaceDN w:val="0"/>
              <w:spacing w:line="360" w:lineRule="auto"/>
              <w:jc w:val="center"/>
              <w:rPr>
                <w:rFonts w:ascii="宋体" w:hAnsi="宋体"/>
                <w:color w:val="auto"/>
                <w:sz w:val="24"/>
                <w:szCs w:val="24"/>
              </w:rPr>
            </w:pPr>
          </w:p>
        </w:tc>
        <w:tc>
          <w:tcPr>
            <w:tcW w:w="3181" w:type="dxa"/>
            <w:vAlign w:val="center"/>
          </w:tcPr>
          <w:p>
            <w:pPr>
              <w:autoSpaceDE w:val="0"/>
              <w:autoSpaceDN w:val="0"/>
              <w:spacing w:line="360" w:lineRule="auto"/>
              <w:jc w:val="center"/>
              <w:rPr>
                <w:rFonts w:ascii="宋体" w:hAnsi="宋体"/>
                <w:color w:val="auto"/>
                <w:sz w:val="24"/>
                <w:szCs w:val="24"/>
              </w:rPr>
            </w:pPr>
          </w:p>
        </w:tc>
      </w:tr>
    </w:tbl>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投标人名称（加盖公章）：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投标人法定代表人或授权代表（签字或盖章）：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日期：</w:t>
      </w:r>
      <w:r>
        <w:rPr>
          <w:rFonts w:hint="eastAsia" w:ascii="宋体" w:hAnsi="宋体"/>
          <w:color w:val="auto"/>
          <w:sz w:val="24"/>
          <w:szCs w:val="24"/>
          <w:u w:val="single"/>
        </w:rPr>
        <w:t xml:space="preserve">        </w:t>
      </w:r>
      <w:r>
        <w:rPr>
          <w:rFonts w:hint="eastAsia" w:ascii="宋体" w:hAnsi="宋体"/>
          <w:color w:val="auto"/>
          <w:sz w:val="24"/>
          <w:szCs w:val="24"/>
        </w:rPr>
        <w:t>年</w:t>
      </w:r>
      <w:r>
        <w:rPr>
          <w:rFonts w:hint="eastAsia" w:ascii="宋体" w:hAnsi="宋体"/>
          <w:color w:val="auto"/>
          <w:sz w:val="24"/>
          <w:szCs w:val="24"/>
          <w:u w:val="single"/>
        </w:rPr>
        <w:t xml:space="preserve">    </w:t>
      </w:r>
      <w:r>
        <w:rPr>
          <w:rFonts w:hint="eastAsia" w:ascii="宋体" w:hAnsi="宋体"/>
          <w:color w:val="auto"/>
          <w:sz w:val="24"/>
          <w:szCs w:val="24"/>
        </w:rPr>
        <w:t>月</w:t>
      </w:r>
      <w:r>
        <w:rPr>
          <w:rFonts w:hint="eastAsia" w:ascii="宋体" w:hAnsi="宋体"/>
          <w:color w:val="auto"/>
          <w:sz w:val="24"/>
          <w:szCs w:val="24"/>
          <w:u w:val="single"/>
        </w:rPr>
        <w:t xml:space="preserve">    </w:t>
      </w:r>
      <w:r>
        <w:rPr>
          <w:rFonts w:hint="eastAsia" w:ascii="宋体" w:hAnsi="宋体"/>
          <w:color w:val="auto"/>
          <w:sz w:val="24"/>
          <w:szCs w:val="24"/>
        </w:rPr>
        <w:t>日</w:t>
      </w:r>
    </w:p>
    <w:p>
      <w:pPr>
        <w:autoSpaceDE w:val="0"/>
        <w:autoSpaceDN w:val="0"/>
        <w:rPr>
          <w:rFonts w:ascii="宋体" w:hAnsi="宋体"/>
          <w:b/>
          <w:color w:val="auto"/>
          <w:sz w:val="24"/>
          <w:szCs w:val="24"/>
        </w:rPr>
      </w:pPr>
    </w:p>
    <w:p>
      <w:pPr>
        <w:autoSpaceDE w:val="0"/>
        <w:autoSpaceDN w:val="0"/>
        <w:rPr>
          <w:rFonts w:ascii="宋体" w:hAnsi="宋体"/>
          <w:b/>
          <w:color w:val="auto"/>
          <w:sz w:val="24"/>
          <w:szCs w:val="24"/>
        </w:rPr>
      </w:pPr>
      <w:r>
        <w:rPr>
          <w:rFonts w:hint="eastAsia" w:ascii="宋体" w:hAnsi="宋体"/>
          <w:b/>
          <w:color w:val="auto"/>
          <w:sz w:val="24"/>
          <w:szCs w:val="24"/>
        </w:rPr>
        <w:t>备注：</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1.投标人认为有必要说明或提供的其他技术文件可在此做出说明并在上表后附相关证明材料。</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2.如果投标人无上述任何情况说明和相关证明材料，请在上表第一行填写“无相关情况说明”。</w:t>
      </w:r>
    </w:p>
    <w:p>
      <w:pPr>
        <w:pStyle w:val="4"/>
        <w:numPr>
          <w:ilvl w:val="0"/>
          <w:numId w:val="91"/>
        </w:numPr>
        <w:tabs>
          <w:tab w:val="left" w:pos="945"/>
        </w:tabs>
        <w:spacing w:before="0" w:after="0" w:line="360" w:lineRule="auto"/>
        <w:ind w:left="984" w:hanging="980" w:hangingChars="350"/>
        <w:rPr>
          <w:rFonts w:ascii="宋体" w:hAnsi="宋体"/>
          <w:color w:val="auto"/>
          <w:sz w:val="28"/>
          <w:szCs w:val="28"/>
        </w:rPr>
      </w:pPr>
      <w:bookmarkStart w:id="442" w:name="_Toc54335488"/>
      <w:bookmarkStart w:id="443" w:name="_Toc22806231"/>
      <w:r>
        <w:rPr>
          <w:rFonts w:hint="eastAsia" w:ascii="宋体" w:hAnsi="宋体"/>
          <w:color w:val="auto"/>
          <w:sz w:val="28"/>
          <w:szCs w:val="28"/>
        </w:rPr>
        <w:br w:type="page"/>
      </w:r>
      <w:bookmarkStart w:id="444" w:name="_Toc6522"/>
      <w:r>
        <w:rPr>
          <w:rFonts w:hint="eastAsia" w:ascii="宋体" w:hAnsi="宋体"/>
          <w:color w:val="auto"/>
          <w:sz w:val="28"/>
          <w:szCs w:val="28"/>
        </w:rPr>
        <w:t>商务文件</w:t>
      </w:r>
      <w:bookmarkEnd w:id="442"/>
      <w:bookmarkEnd w:id="443"/>
      <w:bookmarkEnd w:id="444"/>
    </w:p>
    <w:p>
      <w:pPr>
        <w:pStyle w:val="5"/>
        <w:numPr>
          <w:ilvl w:val="0"/>
          <w:numId w:val="99"/>
        </w:numPr>
        <w:tabs>
          <w:tab w:val="left" w:pos="945"/>
        </w:tabs>
        <w:spacing w:before="0" w:after="0" w:line="360" w:lineRule="auto"/>
        <w:ind w:left="0" w:firstLine="0"/>
        <w:rPr>
          <w:color w:val="auto"/>
          <w:sz w:val="28"/>
          <w:szCs w:val="28"/>
        </w:rPr>
      </w:pPr>
      <w:bookmarkStart w:id="445" w:name="_Toc31841"/>
      <w:bookmarkStart w:id="446" w:name="_Toc54335489"/>
      <w:bookmarkStart w:id="447" w:name="_Toc22806232"/>
      <w:r>
        <w:rPr>
          <w:rFonts w:hint="eastAsia"/>
          <w:color w:val="auto"/>
          <w:sz w:val="28"/>
          <w:szCs w:val="28"/>
        </w:rPr>
        <w:t>商务条款偏离表</w:t>
      </w:r>
      <w:bookmarkEnd w:id="445"/>
      <w:bookmarkEnd w:id="446"/>
      <w:bookmarkEnd w:id="447"/>
    </w:p>
    <w:p>
      <w:pPr>
        <w:autoSpaceDE w:val="0"/>
        <w:autoSpaceDN w:val="0"/>
        <w:spacing w:line="360" w:lineRule="auto"/>
        <w:jc w:val="center"/>
        <w:rPr>
          <w:rFonts w:ascii="宋体" w:hAnsi="宋体"/>
          <w:b/>
          <w:color w:val="auto"/>
          <w:sz w:val="32"/>
          <w:szCs w:val="32"/>
        </w:rPr>
      </w:pPr>
      <w:r>
        <w:rPr>
          <w:rFonts w:hint="eastAsia" w:ascii="宋体" w:hAnsi="宋体"/>
          <w:b/>
          <w:color w:val="auto"/>
          <w:sz w:val="32"/>
          <w:szCs w:val="32"/>
        </w:rPr>
        <w:t>商务条款偏离表</w:t>
      </w:r>
    </w:p>
    <w:p>
      <w:pPr>
        <w:spacing w:line="360" w:lineRule="auto"/>
        <w:ind w:left="809" w:hanging="808" w:hangingChars="337"/>
        <w:rPr>
          <w:rFonts w:hint="eastAsia" w:ascii="宋体" w:hAnsi="宋体" w:eastAsia="宋体"/>
          <w:color w:val="auto"/>
          <w:sz w:val="24"/>
          <w:szCs w:val="24"/>
          <w:lang w:eastAsia="zh-CN"/>
        </w:rPr>
      </w:pPr>
      <w:r>
        <w:rPr>
          <w:rFonts w:hint="eastAsia" w:ascii="宋体" w:hAnsi="宋体"/>
          <w:color w:val="auto"/>
          <w:sz w:val="24"/>
          <w:szCs w:val="24"/>
        </w:rPr>
        <w:t>采购项目名称：</w:t>
      </w:r>
      <w:r>
        <w:rPr>
          <w:rFonts w:hint="eastAsia" w:ascii="宋体" w:hAnsi="宋体"/>
          <w:color w:val="auto"/>
          <w:sz w:val="24"/>
          <w:szCs w:val="24"/>
          <w:lang w:eastAsia="zh-CN"/>
        </w:rPr>
        <w:t>工业和信息化部电子第五研究所动力电池配套使用环境试验箱采购项目</w:t>
      </w:r>
    </w:p>
    <w:p>
      <w:pPr>
        <w:spacing w:line="360" w:lineRule="auto"/>
        <w:ind w:left="809" w:hanging="808" w:hangingChars="337"/>
        <w:rPr>
          <w:rFonts w:ascii="宋体" w:hAnsi="宋体"/>
          <w:color w:val="auto"/>
          <w:sz w:val="24"/>
          <w:szCs w:val="24"/>
        </w:rPr>
      </w:pPr>
      <w:r>
        <w:rPr>
          <w:rFonts w:hint="eastAsia" w:ascii="宋体" w:hAnsi="宋体"/>
          <w:color w:val="auto"/>
          <w:sz w:val="24"/>
          <w:szCs w:val="24"/>
        </w:rPr>
        <w:t>采购包号：</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2319"/>
        <w:gridCol w:w="2319"/>
        <w:gridCol w:w="1365"/>
        <w:gridCol w:w="1365"/>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序号</w:t>
            </w:r>
          </w:p>
        </w:tc>
        <w:tc>
          <w:tcPr>
            <w:tcW w:w="2319"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招标文件商务条款要求</w:t>
            </w:r>
          </w:p>
        </w:tc>
        <w:tc>
          <w:tcPr>
            <w:tcW w:w="2319"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投标文件商务条款响应</w:t>
            </w:r>
          </w:p>
        </w:tc>
        <w:tc>
          <w:tcPr>
            <w:tcW w:w="1365" w:type="dxa"/>
            <w:vAlign w:val="center"/>
          </w:tcPr>
          <w:p>
            <w:pPr>
              <w:autoSpaceDE w:val="0"/>
              <w:autoSpaceDN w:val="0"/>
              <w:jc w:val="center"/>
              <w:rPr>
                <w:rFonts w:ascii="宋体" w:hAnsi="宋体"/>
                <w:color w:val="auto"/>
                <w:sz w:val="24"/>
                <w:szCs w:val="24"/>
              </w:rPr>
            </w:pPr>
            <w:r>
              <w:rPr>
                <w:rFonts w:hint="eastAsia" w:ascii="宋体" w:hAnsi="宋体"/>
                <w:color w:val="auto"/>
                <w:sz w:val="24"/>
                <w:szCs w:val="24"/>
              </w:rPr>
              <w:t>响应状态（正/负/无偏离）</w:t>
            </w:r>
          </w:p>
        </w:tc>
        <w:tc>
          <w:tcPr>
            <w:tcW w:w="1365" w:type="dxa"/>
            <w:vAlign w:val="center"/>
          </w:tcPr>
          <w:p>
            <w:pPr>
              <w:autoSpaceDE w:val="0"/>
              <w:autoSpaceDN w:val="0"/>
              <w:jc w:val="center"/>
              <w:rPr>
                <w:rFonts w:ascii="宋体" w:hAnsi="宋体"/>
                <w:color w:val="auto"/>
                <w:sz w:val="24"/>
                <w:szCs w:val="24"/>
              </w:rPr>
            </w:pPr>
            <w:r>
              <w:rPr>
                <w:rFonts w:hint="eastAsia" w:ascii="宋体" w:hAnsi="宋体"/>
                <w:color w:val="auto"/>
                <w:sz w:val="24"/>
                <w:szCs w:val="24"/>
              </w:rPr>
              <w:t>偏离说明</w:t>
            </w:r>
          </w:p>
        </w:tc>
        <w:tc>
          <w:tcPr>
            <w:tcW w:w="1326" w:type="dxa"/>
          </w:tcPr>
          <w:p>
            <w:pPr>
              <w:autoSpaceDE w:val="0"/>
              <w:autoSpaceDN w:val="0"/>
              <w:jc w:val="center"/>
              <w:rPr>
                <w:rFonts w:ascii="宋体" w:hAnsi="宋体"/>
                <w:color w:val="auto"/>
                <w:szCs w:val="21"/>
              </w:rPr>
            </w:pPr>
            <w:r>
              <w:rPr>
                <w:rFonts w:hint="eastAsia" w:ascii="宋体" w:hAnsi="宋体"/>
                <w:color w:val="auto"/>
                <w:szCs w:val="21"/>
              </w:rPr>
              <w:t>投标文件响应页码（如有）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Align w:val="center"/>
          </w:tcPr>
          <w:p>
            <w:pPr>
              <w:autoSpaceDE w:val="0"/>
              <w:autoSpaceDN w:val="0"/>
              <w:spacing w:line="360" w:lineRule="auto"/>
              <w:jc w:val="center"/>
              <w:rPr>
                <w:rFonts w:ascii="宋体" w:hAnsi="宋体"/>
                <w:color w:val="auto"/>
                <w:sz w:val="24"/>
                <w:szCs w:val="24"/>
              </w:rPr>
            </w:pPr>
          </w:p>
        </w:tc>
        <w:tc>
          <w:tcPr>
            <w:tcW w:w="2319" w:type="dxa"/>
            <w:vAlign w:val="center"/>
          </w:tcPr>
          <w:p>
            <w:pPr>
              <w:autoSpaceDE w:val="0"/>
              <w:autoSpaceDN w:val="0"/>
              <w:spacing w:line="360" w:lineRule="auto"/>
              <w:jc w:val="center"/>
              <w:rPr>
                <w:rFonts w:ascii="宋体" w:hAnsi="宋体"/>
                <w:color w:val="auto"/>
                <w:sz w:val="24"/>
                <w:szCs w:val="24"/>
              </w:rPr>
            </w:pPr>
          </w:p>
        </w:tc>
        <w:tc>
          <w:tcPr>
            <w:tcW w:w="2319" w:type="dxa"/>
            <w:vAlign w:val="center"/>
          </w:tcPr>
          <w:p>
            <w:pPr>
              <w:autoSpaceDE w:val="0"/>
              <w:autoSpaceDN w:val="0"/>
              <w:spacing w:line="360" w:lineRule="auto"/>
              <w:jc w:val="center"/>
              <w:rPr>
                <w:rFonts w:ascii="宋体" w:hAnsi="宋体"/>
                <w:color w:val="auto"/>
                <w:sz w:val="24"/>
                <w:szCs w:val="24"/>
              </w:rPr>
            </w:pPr>
          </w:p>
        </w:tc>
        <w:tc>
          <w:tcPr>
            <w:tcW w:w="1365" w:type="dxa"/>
            <w:vAlign w:val="center"/>
          </w:tcPr>
          <w:p>
            <w:pPr>
              <w:autoSpaceDE w:val="0"/>
              <w:autoSpaceDN w:val="0"/>
              <w:spacing w:line="360" w:lineRule="auto"/>
              <w:jc w:val="center"/>
              <w:rPr>
                <w:rFonts w:ascii="宋体" w:hAnsi="宋体"/>
                <w:color w:val="auto"/>
                <w:sz w:val="24"/>
                <w:szCs w:val="24"/>
              </w:rPr>
            </w:pPr>
          </w:p>
        </w:tc>
        <w:tc>
          <w:tcPr>
            <w:tcW w:w="1365" w:type="dxa"/>
            <w:vAlign w:val="center"/>
          </w:tcPr>
          <w:p>
            <w:pPr>
              <w:autoSpaceDE w:val="0"/>
              <w:autoSpaceDN w:val="0"/>
              <w:spacing w:line="360" w:lineRule="auto"/>
              <w:jc w:val="center"/>
              <w:rPr>
                <w:rFonts w:ascii="宋体" w:hAnsi="宋体"/>
                <w:color w:val="auto"/>
                <w:sz w:val="24"/>
                <w:szCs w:val="24"/>
              </w:rPr>
            </w:pPr>
          </w:p>
        </w:tc>
        <w:tc>
          <w:tcPr>
            <w:tcW w:w="1326" w:type="dxa"/>
          </w:tcPr>
          <w:p>
            <w:pPr>
              <w:autoSpaceDE w:val="0"/>
              <w:autoSpaceDN w:val="0"/>
              <w:spacing w:line="360" w:lineRule="auto"/>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Align w:val="center"/>
          </w:tcPr>
          <w:p>
            <w:pPr>
              <w:autoSpaceDE w:val="0"/>
              <w:autoSpaceDN w:val="0"/>
              <w:spacing w:line="360" w:lineRule="auto"/>
              <w:jc w:val="center"/>
              <w:rPr>
                <w:rFonts w:ascii="宋体" w:hAnsi="宋体"/>
                <w:color w:val="auto"/>
                <w:sz w:val="24"/>
                <w:szCs w:val="24"/>
              </w:rPr>
            </w:pPr>
          </w:p>
        </w:tc>
        <w:tc>
          <w:tcPr>
            <w:tcW w:w="2319" w:type="dxa"/>
            <w:vAlign w:val="center"/>
          </w:tcPr>
          <w:p>
            <w:pPr>
              <w:autoSpaceDE w:val="0"/>
              <w:autoSpaceDN w:val="0"/>
              <w:spacing w:line="360" w:lineRule="auto"/>
              <w:jc w:val="center"/>
              <w:rPr>
                <w:rFonts w:ascii="宋体" w:hAnsi="宋体"/>
                <w:color w:val="auto"/>
                <w:sz w:val="24"/>
                <w:szCs w:val="24"/>
              </w:rPr>
            </w:pPr>
          </w:p>
        </w:tc>
        <w:tc>
          <w:tcPr>
            <w:tcW w:w="2319" w:type="dxa"/>
            <w:vAlign w:val="center"/>
          </w:tcPr>
          <w:p>
            <w:pPr>
              <w:autoSpaceDE w:val="0"/>
              <w:autoSpaceDN w:val="0"/>
              <w:spacing w:line="360" w:lineRule="auto"/>
              <w:jc w:val="center"/>
              <w:rPr>
                <w:rFonts w:ascii="宋体" w:hAnsi="宋体"/>
                <w:color w:val="auto"/>
                <w:sz w:val="24"/>
                <w:szCs w:val="24"/>
              </w:rPr>
            </w:pPr>
          </w:p>
        </w:tc>
        <w:tc>
          <w:tcPr>
            <w:tcW w:w="1365" w:type="dxa"/>
            <w:vAlign w:val="center"/>
          </w:tcPr>
          <w:p>
            <w:pPr>
              <w:autoSpaceDE w:val="0"/>
              <w:autoSpaceDN w:val="0"/>
              <w:spacing w:line="360" w:lineRule="auto"/>
              <w:jc w:val="center"/>
              <w:rPr>
                <w:rFonts w:ascii="宋体" w:hAnsi="宋体"/>
                <w:color w:val="auto"/>
                <w:sz w:val="24"/>
                <w:szCs w:val="24"/>
              </w:rPr>
            </w:pPr>
          </w:p>
        </w:tc>
        <w:tc>
          <w:tcPr>
            <w:tcW w:w="1365" w:type="dxa"/>
            <w:vAlign w:val="center"/>
          </w:tcPr>
          <w:p>
            <w:pPr>
              <w:autoSpaceDE w:val="0"/>
              <w:autoSpaceDN w:val="0"/>
              <w:spacing w:line="360" w:lineRule="auto"/>
              <w:jc w:val="center"/>
              <w:rPr>
                <w:rFonts w:ascii="宋体" w:hAnsi="宋体"/>
                <w:color w:val="auto"/>
                <w:sz w:val="24"/>
                <w:szCs w:val="24"/>
              </w:rPr>
            </w:pPr>
          </w:p>
        </w:tc>
        <w:tc>
          <w:tcPr>
            <w:tcW w:w="1326" w:type="dxa"/>
          </w:tcPr>
          <w:p>
            <w:pPr>
              <w:autoSpaceDE w:val="0"/>
              <w:autoSpaceDN w:val="0"/>
              <w:spacing w:line="360" w:lineRule="auto"/>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Align w:val="center"/>
          </w:tcPr>
          <w:p>
            <w:pPr>
              <w:autoSpaceDE w:val="0"/>
              <w:autoSpaceDN w:val="0"/>
              <w:spacing w:line="360" w:lineRule="auto"/>
              <w:jc w:val="center"/>
              <w:rPr>
                <w:rFonts w:ascii="宋体" w:hAnsi="宋体"/>
                <w:color w:val="auto"/>
                <w:sz w:val="24"/>
                <w:szCs w:val="24"/>
              </w:rPr>
            </w:pPr>
          </w:p>
        </w:tc>
        <w:tc>
          <w:tcPr>
            <w:tcW w:w="2319" w:type="dxa"/>
            <w:vAlign w:val="center"/>
          </w:tcPr>
          <w:p>
            <w:pPr>
              <w:autoSpaceDE w:val="0"/>
              <w:autoSpaceDN w:val="0"/>
              <w:spacing w:line="360" w:lineRule="auto"/>
              <w:jc w:val="center"/>
              <w:rPr>
                <w:rFonts w:ascii="宋体" w:hAnsi="宋体"/>
                <w:color w:val="auto"/>
                <w:sz w:val="24"/>
                <w:szCs w:val="24"/>
              </w:rPr>
            </w:pPr>
          </w:p>
        </w:tc>
        <w:tc>
          <w:tcPr>
            <w:tcW w:w="2319" w:type="dxa"/>
            <w:vAlign w:val="center"/>
          </w:tcPr>
          <w:p>
            <w:pPr>
              <w:autoSpaceDE w:val="0"/>
              <w:autoSpaceDN w:val="0"/>
              <w:spacing w:line="360" w:lineRule="auto"/>
              <w:jc w:val="center"/>
              <w:rPr>
                <w:rFonts w:ascii="宋体" w:hAnsi="宋体"/>
                <w:color w:val="auto"/>
                <w:sz w:val="24"/>
                <w:szCs w:val="24"/>
              </w:rPr>
            </w:pPr>
          </w:p>
        </w:tc>
        <w:tc>
          <w:tcPr>
            <w:tcW w:w="1365" w:type="dxa"/>
            <w:vAlign w:val="center"/>
          </w:tcPr>
          <w:p>
            <w:pPr>
              <w:autoSpaceDE w:val="0"/>
              <w:autoSpaceDN w:val="0"/>
              <w:spacing w:line="360" w:lineRule="auto"/>
              <w:jc w:val="center"/>
              <w:rPr>
                <w:rFonts w:ascii="宋体" w:hAnsi="宋体"/>
                <w:color w:val="auto"/>
                <w:sz w:val="24"/>
                <w:szCs w:val="24"/>
              </w:rPr>
            </w:pPr>
          </w:p>
        </w:tc>
        <w:tc>
          <w:tcPr>
            <w:tcW w:w="1365" w:type="dxa"/>
            <w:vAlign w:val="center"/>
          </w:tcPr>
          <w:p>
            <w:pPr>
              <w:autoSpaceDE w:val="0"/>
              <w:autoSpaceDN w:val="0"/>
              <w:spacing w:line="360" w:lineRule="auto"/>
              <w:jc w:val="center"/>
              <w:rPr>
                <w:rFonts w:ascii="宋体" w:hAnsi="宋体"/>
                <w:color w:val="auto"/>
                <w:sz w:val="24"/>
                <w:szCs w:val="24"/>
              </w:rPr>
            </w:pPr>
          </w:p>
        </w:tc>
        <w:tc>
          <w:tcPr>
            <w:tcW w:w="1326" w:type="dxa"/>
          </w:tcPr>
          <w:p>
            <w:pPr>
              <w:autoSpaceDE w:val="0"/>
              <w:autoSpaceDN w:val="0"/>
              <w:spacing w:line="360" w:lineRule="auto"/>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6" w:type="dxa"/>
            <w:vAlign w:val="center"/>
          </w:tcPr>
          <w:p>
            <w:pPr>
              <w:autoSpaceDE w:val="0"/>
              <w:autoSpaceDN w:val="0"/>
              <w:spacing w:line="360" w:lineRule="auto"/>
              <w:jc w:val="center"/>
              <w:rPr>
                <w:rFonts w:ascii="宋体" w:hAnsi="宋体"/>
                <w:color w:val="auto"/>
                <w:sz w:val="24"/>
                <w:szCs w:val="24"/>
              </w:rPr>
            </w:pPr>
          </w:p>
        </w:tc>
        <w:tc>
          <w:tcPr>
            <w:tcW w:w="2319" w:type="dxa"/>
            <w:vAlign w:val="center"/>
          </w:tcPr>
          <w:p>
            <w:pPr>
              <w:autoSpaceDE w:val="0"/>
              <w:autoSpaceDN w:val="0"/>
              <w:spacing w:line="360" w:lineRule="auto"/>
              <w:jc w:val="center"/>
              <w:rPr>
                <w:rFonts w:ascii="宋体" w:hAnsi="宋体"/>
                <w:color w:val="auto"/>
                <w:sz w:val="24"/>
                <w:szCs w:val="24"/>
              </w:rPr>
            </w:pPr>
          </w:p>
        </w:tc>
        <w:tc>
          <w:tcPr>
            <w:tcW w:w="2319" w:type="dxa"/>
            <w:vAlign w:val="center"/>
          </w:tcPr>
          <w:p>
            <w:pPr>
              <w:autoSpaceDE w:val="0"/>
              <w:autoSpaceDN w:val="0"/>
              <w:spacing w:line="360" w:lineRule="auto"/>
              <w:jc w:val="center"/>
              <w:rPr>
                <w:rFonts w:ascii="宋体" w:hAnsi="宋体"/>
                <w:color w:val="auto"/>
                <w:sz w:val="24"/>
                <w:szCs w:val="24"/>
              </w:rPr>
            </w:pPr>
          </w:p>
        </w:tc>
        <w:tc>
          <w:tcPr>
            <w:tcW w:w="1365" w:type="dxa"/>
            <w:vAlign w:val="center"/>
          </w:tcPr>
          <w:p>
            <w:pPr>
              <w:autoSpaceDE w:val="0"/>
              <w:autoSpaceDN w:val="0"/>
              <w:spacing w:line="360" w:lineRule="auto"/>
              <w:jc w:val="center"/>
              <w:rPr>
                <w:rFonts w:ascii="宋体" w:hAnsi="宋体"/>
                <w:color w:val="auto"/>
                <w:sz w:val="24"/>
                <w:szCs w:val="24"/>
              </w:rPr>
            </w:pPr>
          </w:p>
        </w:tc>
        <w:tc>
          <w:tcPr>
            <w:tcW w:w="1365" w:type="dxa"/>
            <w:vAlign w:val="center"/>
          </w:tcPr>
          <w:p>
            <w:pPr>
              <w:autoSpaceDE w:val="0"/>
              <w:autoSpaceDN w:val="0"/>
              <w:spacing w:line="360" w:lineRule="auto"/>
              <w:jc w:val="center"/>
              <w:rPr>
                <w:rFonts w:ascii="宋体" w:hAnsi="宋体"/>
                <w:color w:val="auto"/>
                <w:sz w:val="24"/>
                <w:szCs w:val="24"/>
              </w:rPr>
            </w:pPr>
          </w:p>
        </w:tc>
        <w:tc>
          <w:tcPr>
            <w:tcW w:w="1326" w:type="dxa"/>
          </w:tcPr>
          <w:p>
            <w:pPr>
              <w:autoSpaceDE w:val="0"/>
              <w:autoSpaceDN w:val="0"/>
              <w:spacing w:line="360" w:lineRule="auto"/>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Align w:val="center"/>
          </w:tcPr>
          <w:p>
            <w:pPr>
              <w:autoSpaceDE w:val="0"/>
              <w:autoSpaceDN w:val="0"/>
              <w:spacing w:line="360" w:lineRule="auto"/>
              <w:jc w:val="center"/>
              <w:rPr>
                <w:rFonts w:ascii="宋体" w:hAnsi="宋体"/>
                <w:color w:val="auto"/>
                <w:sz w:val="24"/>
                <w:szCs w:val="24"/>
              </w:rPr>
            </w:pPr>
          </w:p>
        </w:tc>
        <w:tc>
          <w:tcPr>
            <w:tcW w:w="2319" w:type="dxa"/>
            <w:vAlign w:val="center"/>
          </w:tcPr>
          <w:p>
            <w:pPr>
              <w:autoSpaceDE w:val="0"/>
              <w:autoSpaceDN w:val="0"/>
              <w:spacing w:line="360" w:lineRule="auto"/>
              <w:jc w:val="center"/>
              <w:rPr>
                <w:rFonts w:ascii="宋体" w:hAnsi="宋体"/>
                <w:color w:val="auto"/>
                <w:sz w:val="24"/>
                <w:szCs w:val="24"/>
              </w:rPr>
            </w:pPr>
          </w:p>
        </w:tc>
        <w:tc>
          <w:tcPr>
            <w:tcW w:w="2319" w:type="dxa"/>
            <w:vAlign w:val="center"/>
          </w:tcPr>
          <w:p>
            <w:pPr>
              <w:autoSpaceDE w:val="0"/>
              <w:autoSpaceDN w:val="0"/>
              <w:spacing w:line="360" w:lineRule="auto"/>
              <w:jc w:val="center"/>
              <w:rPr>
                <w:rFonts w:ascii="宋体" w:hAnsi="宋体"/>
                <w:color w:val="auto"/>
                <w:sz w:val="24"/>
                <w:szCs w:val="24"/>
              </w:rPr>
            </w:pPr>
          </w:p>
        </w:tc>
        <w:tc>
          <w:tcPr>
            <w:tcW w:w="1365" w:type="dxa"/>
            <w:vAlign w:val="center"/>
          </w:tcPr>
          <w:p>
            <w:pPr>
              <w:autoSpaceDE w:val="0"/>
              <w:autoSpaceDN w:val="0"/>
              <w:spacing w:line="360" w:lineRule="auto"/>
              <w:jc w:val="center"/>
              <w:rPr>
                <w:rFonts w:ascii="宋体" w:hAnsi="宋体"/>
                <w:color w:val="auto"/>
                <w:sz w:val="24"/>
                <w:szCs w:val="24"/>
              </w:rPr>
            </w:pPr>
          </w:p>
        </w:tc>
        <w:tc>
          <w:tcPr>
            <w:tcW w:w="1365" w:type="dxa"/>
            <w:vAlign w:val="center"/>
          </w:tcPr>
          <w:p>
            <w:pPr>
              <w:autoSpaceDE w:val="0"/>
              <w:autoSpaceDN w:val="0"/>
              <w:spacing w:line="360" w:lineRule="auto"/>
              <w:jc w:val="center"/>
              <w:rPr>
                <w:rFonts w:ascii="宋体" w:hAnsi="宋体"/>
                <w:color w:val="auto"/>
                <w:sz w:val="24"/>
                <w:szCs w:val="24"/>
              </w:rPr>
            </w:pPr>
          </w:p>
        </w:tc>
        <w:tc>
          <w:tcPr>
            <w:tcW w:w="1326" w:type="dxa"/>
          </w:tcPr>
          <w:p>
            <w:pPr>
              <w:autoSpaceDE w:val="0"/>
              <w:autoSpaceDN w:val="0"/>
              <w:spacing w:line="360" w:lineRule="auto"/>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Align w:val="center"/>
          </w:tcPr>
          <w:p>
            <w:pPr>
              <w:autoSpaceDE w:val="0"/>
              <w:autoSpaceDN w:val="0"/>
              <w:spacing w:line="360" w:lineRule="auto"/>
              <w:jc w:val="center"/>
              <w:rPr>
                <w:rFonts w:ascii="宋体" w:hAnsi="宋体"/>
                <w:color w:val="auto"/>
                <w:sz w:val="24"/>
                <w:szCs w:val="24"/>
              </w:rPr>
            </w:pPr>
            <w:r>
              <w:rPr>
                <w:rFonts w:ascii="宋体" w:hAnsi="宋体"/>
                <w:color w:val="auto"/>
                <w:sz w:val="24"/>
                <w:szCs w:val="24"/>
              </w:rPr>
              <w:t>……</w:t>
            </w:r>
          </w:p>
        </w:tc>
        <w:tc>
          <w:tcPr>
            <w:tcW w:w="2319" w:type="dxa"/>
            <w:vAlign w:val="center"/>
          </w:tcPr>
          <w:p>
            <w:pPr>
              <w:autoSpaceDE w:val="0"/>
              <w:autoSpaceDN w:val="0"/>
              <w:spacing w:line="360" w:lineRule="auto"/>
              <w:jc w:val="center"/>
              <w:rPr>
                <w:rFonts w:ascii="宋体" w:hAnsi="宋体"/>
                <w:color w:val="auto"/>
                <w:sz w:val="24"/>
                <w:szCs w:val="24"/>
              </w:rPr>
            </w:pPr>
          </w:p>
        </w:tc>
        <w:tc>
          <w:tcPr>
            <w:tcW w:w="2319" w:type="dxa"/>
            <w:vAlign w:val="center"/>
          </w:tcPr>
          <w:p>
            <w:pPr>
              <w:autoSpaceDE w:val="0"/>
              <w:autoSpaceDN w:val="0"/>
              <w:spacing w:line="360" w:lineRule="auto"/>
              <w:jc w:val="center"/>
              <w:rPr>
                <w:rFonts w:ascii="宋体" w:hAnsi="宋体"/>
                <w:color w:val="auto"/>
                <w:sz w:val="24"/>
                <w:szCs w:val="24"/>
              </w:rPr>
            </w:pPr>
          </w:p>
        </w:tc>
        <w:tc>
          <w:tcPr>
            <w:tcW w:w="1365" w:type="dxa"/>
            <w:vAlign w:val="center"/>
          </w:tcPr>
          <w:p>
            <w:pPr>
              <w:autoSpaceDE w:val="0"/>
              <w:autoSpaceDN w:val="0"/>
              <w:spacing w:line="360" w:lineRule="auto"/>
              <w:jc w:val="center"/>
              <w:rPr>
                <w:rFonts w:ascii="宋体" w:hAnsi="宋体"/>
                <w:color w:val="auto"/>
                <w:sz w:val="24"/>
                <w:szCs w:val="24"/>
              </w:rPr>
            </w:pPr>
          </w:p>
        </w:tc>
        <w:tc>
          <w:tcPr>
            <w:tcW w:w="1365" w:type="dxa"/>
            <w:vAlign w:val="center"/>
          </w:tcPr>
          <w:p>
            <w:pPr>
              <w:autoSpaceDE w:val="0"/>
              <w:autoSpaceDN w:val="0"/>
              <w:spacing w:line="360" w:lineRule="auto"/>
              <w:jc w:val="center"/>
              <w:rPr>
                <w:rFonts w:ascii="宋体" w:hAnsi="宋体"/>
                <w:color w:val="auto"/>
                <w:sz w:val="24"/>
                <w:szCs w:val="24"/>
              </w:rPr>
            </w:pPr>
          </w:p>
        </w:tc>
        <w:tc>
          <w:tcPr>
            <w:tcW w:w="1326" w:type="dxa"/>
          </w:tcPr>
          <w:p>
            <w:pPr>
              <w:autoSpaceDE w:val="0"/>
              <w:autoSpaceDN w:val="0"/>
              <w:spacing w:line="360" w:lineRule="auto"/>
              <w:jc w:val="center"/>
              <w:rPr>
                <w:rFonts w:ascii="宋体" w:hAnsi="宋体"/>
                <w:color w:val="auto"/>
                <w:sz w:val="24"/>
                <w:szCs w:val="24"/>
              </w:rPr>
            </w:pPr>
          </w:p>
        </w:tc>
      </w:tr>
    </w:tbl>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投标人名称（加盖公章）：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投标人法定代表人或授权代表（签字或盖章）：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日期：</w:t>
      </w:r>
      <w:r>
        <w:rPr>
          <w:rFonts w:hint="eastAsia" w:ascii="宋体" w:hAnsi="宋体"/>
          <w:color w:val="auto"/>
          <w:sz w:val="24"/>
          <w:szCs w:val="24"/>
          <w:u w:val="single"/>
        </w:rPr>
        <w:t xml:space="preserve">        </w:t>
      </w:r>
      <w:r>
        <w:rPr>
          <w:rFonts w:hint="eastAsia" w:ascii="宋体" w:hAnsi="宋体"/>
          <w:color w:val="auto"/>
          <w:sz w:val="24"/>
          <w:szCs w:val="24"/>
        </w:rPr>
        <w:t>年</w:t>
      </w:r>
      <w:r>
        <w:rPr>
          <w:rFonts w:hint="eastAsia" w:ascii="宋体" w:hAnsi="宋体"/>
          <w:color w:val="auto"/>
          <w:sz w:val="24"/>
          <w:szCs w:val="24"/>
          <w:u w:val="single"/>
        </w:rPr>
        <w:t xml:space="preserve">    </w:t>
      </w:r>
      <w:r>
        <w:rPr>
          <w:rFonts w:hint="eastAsia" w:ascii="宋体" w:hAnsi="宋体"/>
          <w:color w:val="auto"/>
          <w:sz w:val="24"/>
          <w:szCs w:val="24"/>
        </w:rPr>
        <w:t>月</w:t>
      </w:r>
      <w:r>
        <w:rPr>
          <w:rFonts w:hint="eastAsia" w:ascii="宋体" w:hAnsi="宋体"/>
          <w:color w:val="auto"/>
          <w:sz w:val="24"/>
          <w:szCs w:val="24"/>
          <w:u w:val="single"/>
        </w:rPr>
        <w:t xml:space="preserve">    </w:t>
      </w:r>
      <w:r>
        <w:rPr>
          <w:rFonts w:hint="eastAsia" w:ascii="宋体" w:hAnsi="宋体"/>
          <w:color w:val="auto"/>
          <w:sz w:val="24"/>
          <w:szCs w:val="24"/>
        </w:rPr>
        <w:t>日</w:t>
      </w:r>
    </w:p>
    <w:p>
      <w:pPr>
        <w:spacing w:line="360" w:lineRule="auto"/>
        <w:rPr>
          <w:rFonts w:ascii="宋体" w:hAnsi="宋体"/>
          <w:b/>
          <w:color w:val="auto"/>
          <w:sz w:val="24"/>
          <w:szCs w:val="24"/>
        </w:rPr>
      </w:pPr>
    </w:p>
    <w:p>
      <w:pPr>
        <w:rPr>
          <w:rFonts w:ascii="宋体" w:hAnsi="宋体"/>
          <w:b/>
          <w:color w:val="auto"/>
          <w:sz w:val="24"/>
          <w:szCs w:val="24"/>
        </w:rPr>
      </w:pPr>
      <w:r>
        <w:rPr>
          <w:rFonts w:hint="eastAsia" w:ascii="宋体" w:hAnsi="宋体"/>
          <w:b/>
          <w:color w:val="auto"/>
          <w:sz w:val="24"/>
          <w:szCs w:val="24"/>
        </w:rPr>
        <w:t>备注：</w:t>
      </w:r>
    </w:p>
    <w:p>
      <w:pPr>
        <w:ind w:firstLine="480" w:firstLineChars="200"/>
        <w:rPr>
          <w:rFonts w:ascii="宋体" w:hAnsi="宋体"/>
          <w:color w:val="auto"/>
          <w:sz w:val="24"/>
          <w:szCs w:val="24"/>
        </w:rPr>
      </w:pPr>
      <w:r>
        <w:rPr>
          <w:rFonts w:hint="eastAsia" w:ascii="宋体" w:hAnsi="宋体"/>
          <w:color w:val="auto"/>
          <w:sz w:val="24"/>
          <w:szCs w:val="24"/>
        </w:rPr>
        <w:t>1.投标人应对招标文件第二部分《采购需求》中各商务条款逐一如实填写上表。投标人应当如实填写上表“投标文件商务条款响应”处内容，对采购文件提出的要求和条件作出明确响应，并列明具体响应数值或内容，不能照搬采购文件的内容，仅注明符合、满足等无具体内容表述的，将可能被视为未实质性满足招标文件要求。投标人需要说明的内容若需特殊表达，应先在本表中进行相应说明，再另页应答。</w:t>
      </w:r>
    </w:p>
    <w:p>
      <w:pPr>
        <w:ind w:firstLine="480" w:firstLineChars="200"/>
        <w:rPr>
          <w:rFonts w:ascii="宋体" w:hAnsi="宋体"/>
          <w:color w:val="auto"/>
          <w:sz w:val="24"/>
          <w:szCs w:val="24"/>
        </w:rPr>
      </w:pPr>
      <w:r>
        <w:rPr>
          <w:rFonts w:hint="eastAsia" w:ascii="宋体" w:hAnsi="宋体"/>
          <w:color w:val="auto"/>
          <w:sz w:val="24"/>
          <w:szCs w:val="24"/>
        </w:rPr>
        <w:t>2.上表中“响应状态”应按下列规定填写：优于的，填写“正偏离”；符合的，填写“无偏离”；低于的，填写“负偏离”。“正偏离”或“负偏离”应在“偏离说明”列中进行说明。</w:t>
      </w:r>
    </w:p>
    <w:p>
      <w:pPr>
        <w:ind w:firstLine="480" w:firstLineChars="200"/>
        <w:rPr>
          <w:rFonts w:ascii="宋体" w:hAnsi="宋体"/>
          <w:color w:val="auto"/>
          <w:sz w:val="24"/>
          <w:szCs w:val="24"/>
        </w:rPr>
      </w:pPr>
      <w:r>
        <w:rPr>
          <w:rFonts w:hint="eastAsia" w:ascii="宋体" w:hAnsi="宋体"/>
          <w:color w:val="auto"/>
          <w:sz w:val="24"/>
          <w:szCs w:val="24"/>
        </w:rPr>
        <w:t>3.如果投标人对一般商务条款（指不带</w:t>
      </w:r>
      <w:r>
        <w:rPr>
          <w:rFonts w:hint="eastAsia" w:ascii="宋体" w:hAnsi="宋体"/>
          <w:b/>
          <w:color w:val="auto"/>
          <w:sz w:val="24"/>
          <w:szCs w:val="24"/>
        </w:rPr>
        <w:t>“★”</w:t>
      </w:r>
      <w:r>
        <w:rPr>
          <w:rFonts w:hint="eastAsia" w:ascii="宋体" w:hAnsi="宋体"/>
          <w:color w:val="auto"/>
          <w:sz w:val="24"/>
          <w:szCs w:val="24"/>
        </w:rPr>
        <w:t>和</w:t>
      </w:r>
      <w:r>
        <w:rPr>
          <w:rFonts w:hint="eastAsia" w:ascii="宋体" w:hAnsi="宋体"/>
          <w:b/>
          <w:color w:val="auto"/>
          <w:sz w:val="24"/>
          <w:szCs w:val="24"/>
        </w:rPr>
        <w:t>“▲”</w:t>
      </w:r>
      <w:r>
        <w:rPr>
          <w:rFonts w:hint="eastAsia" w:ascii="宋体" w:hAnsi="宋体"/>
          <w:color w:val="auto"/>
          <w:sz w:val="24"/>
          <w:szCs w:val="24"/>
        </w:rPr>
        <w:t>）无任何偏离，请在上表正文内容第一行填写“无一般商务条款偏离”，可不详细填写一般商务条款内容。</w:t>
      </w:r>
    </w:p>
    <w:p>
      <w:pPr>
        <w:ind w:firstLine="480" w:firstLineChars="200"/>
        <w:rPr>
          <w:rFonts w:ascii="宋体" w:hAnsi="宋体"/>
          <w:b/>
          <w:color w:val="auto"/>
          <w:sz w:val="24"/>
          <w:szCs w:val="24"/>
        </w:rPr>
      </w:pPr>
      <w:r>
        <w:rPr>
          <w:rFonts w:hint="eastAsia" w:ascii="宋体" w:hAnsi="宋体"/>
          <w:b/>
          <w:color w:val="auto"/>
          <w:sz w:val="24"/>
          <w:szCs w:val="24"/>
        </w:rPr>
        <w:t>4.招标文件中带“▲”的重要性条款（如有），投标人须标识清楚。带“★”的条款（如有）在《实质性响应一览表》中罗列，本表不需要重复。</w:t>
      </w: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pStyle w:val="5"/>
        <w:numPr>
          <w:ilvl w:val="0"/>
          <w:numId w:val="99"/>
        </w:numPr>
        <w:tabs>
          <w:tab w:val="left" w:pos="945"/>
        </w:tabs>
        <w:spacing w:before="0" w:after="0" w:line="360" w:lineRule="auto"/>
        <w:ind w:left="0" w:firstLine="0"/>
        <w:rPr>
          <w:color w:val="auto"/>
          <w:sz w:val="28"/>
          <w:szCs w:val="28"/>
        </w:rPr>
      </w:pPr>
      <w:bookmarkStart w:id="448" w:name="_Toc13220"/>
      <w:bookmarkStart w:id="449" w:name="_Toc54335490"/>
      <w:bookmarkStart w:id="450" w:name="_Toc22806233"/>
      <w:r>
        <w:rPr>
          <w:rFonts w:hint="eastAsia"/>
          <w:color w:val="auto"/>
          <w:sz w:val="28"/>
          <w:szCs w:val="28"/>
        </w:rPr>
        <w:t>合同条款偏离表</w:t>
      </w:r>
      <w:bookmarkEnd w:id="448"/>
      <w:bookmarkEnd w:id="449"/>
      <w:bookmarkEnd w:id="450"/>
    </w:p>
    <w:p>
      <w:pPr>
        <w:autoSpaceDE w:val="0"/>
        <w:autoSpaceDN w:val="0"/>
        <w:spacing w:line="360" w:lineRule="auto"/>
        <w:jc w:val="center"/>
        <w:rPr>
          <w:rFonts w:ascii="宋体" w:hAnsi="宋体"/>
          <w:b/>
          <w:color w:val="auto"/>
          <w:sz w:val="32"/>
          <w:szCs w:val="32"/>
        </w:rPr>
      </w:pPr>
      <w:r>
        <w:rPr>
          <w:rFonts w:hint="eastAsia" w:ascii="宋体" w:hAnsi="宋体"/>
          <w:b/>
          <w:color w:val="auto"/>
          <w:sz w:val="32"/>
          <w:szCs w:val="32"/>
        </w:rPr>
        <w:t>合同条款偏离表</w:t>
      </w:r>
    </w:p>
    <w:p>
      <w:pPr>
        <w:autoSpaceDE w:val="0"/>
        <w:autoSpaceDN w:val="0"/>
        <w:spacing w:line="360" w:lineRule="auto"/>
        <w:rPr>
          <w:rFonts w:ascii="宋体" w:hAnsi="宋体"/>
          <w:color w:val="auto"/>
          <w:sz w:val="24"/>
          <w:szCs w:val="24"/>
        </w:rPr>
      </w:pPr>
    </w:p>
    <w:p>
      <w:pPr>
        <w:spacing w:line="360" w:lineRule="auto"/>
        <w:ind w:left="809" w:hanging="808" w:hangingChars="337"/>
        <w:rPr>
          <w:rFonts w:hint="eastAsia" w:ascii="宋体" w:hAnsi="宋体" w:eastAsia="宋体"/>
          <w:color w:val="auto"/>
          <w:sz w:val="24"/>
          <w:szCs w:val="24"/>
          <w:lang w:eastAsia="zh-CN"/>
        </w:rPr>
      </w:pPr>
      <w:r>
        <w:rPr>
          <w:rFonts w:hint="eastAsia" w:ascii="宋体" w:hAnsi="宋体"/>
          <w:color w:val="auto"/>
          <w:sz w:val="24"/>
          <w:szCs w:val="24"/>
        </w:rPr>
        <w:t>采购项目名称：</w:t>
      </w:r>
      <w:r>
        <w:rPr>
          <w:rFonts w:hint="eastAsia" w:ascii="宋体" w:hAnsi="宋体"/>
          <w:color w:val="auto"/>
          <w:sz w:val="24"/>
          <w:szCs w:val="24"/>
          <w:lang w:eastAsia="zh-CN"/>
        </w:rPr>
        <w:t>工业和信息化部电子第五研究所动力电池配套使用环境试验箱采购项目</w:t>
      </w:r>
    </w:p>
    <w:p>
      <w:pPr>
        <w:spacing w:line="360" w:lineRule="auto"/>
        <w:ind w:left="809" w:hanging="808" w:hangingChars="337"/>
        <w:rPr>
          <w:rFonts w:ascii="宋体" w:hAnsi="宋体"/>
          <w:color w:val="auto"/>
          <w:sz w:val="24"/>
          <w:szCs w:val="24"/>
        </w:rPr>
      </w:pPr>
      <w:r>
        <w:rPr>
          <w:rFonts w:hint="eastAsia" w:ascii="宋体" w:hAnsi="宋体"/>
          <w:color w:val="auto"/>
          <w:sz w:val="24"/>
          <w:szCs w:val="24"/>
        </w:rPr>
        <w:t>采购包号：</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701"/>
        <w:gridCol w:w="2701"/>
        <w:gridCol w:w="1551"/>
        <w:gridCol w:w="1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9"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序号</w:t>
            </w:r>
          </w:p>
        </w:tc>
        <w:tc>
          <w:tcPr>
            <w:tcW w:w="2701"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招标文件合同条款要求</w:t>
            </w:r>
          </w:p>
        </w:tc>
        <w:tc>
          <w:tcPr>
            <w:tcW w:w="2701"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投标文件合同条款响应</w:t>
            </w:r>
          </w:p>
        </w:tc>
        <w:tc>
          <w:tcPr>
            <w:tcW w:w="1551"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响应状态（正/负/无偏离）</w:t>
            </w:r>
          </w:p>
        </w:tc>
        <w:tc>
          <w:tcPr>
            <w:tcW w:w="1552"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autoSpaceDE w:val="0"/>
              <w:autoSpaceDN w:val="0"/>
              <w:spacing w:line="360" w:lineRule="auto"/>
              <w:jc w:val="center"/>
              <w:rPr>
                <w:rFonts w:ascii="宋体" w:hAnsi="宋体"/>
                <w:color w:val="auto"/>
                <w:sz w:val="24"/>
                <w:szCs w:val="24"/>
              </w:rPr>
            </w:pPr>
          </w:p>
        </w:tc>
        <w:tc>
          <w:tcPr>
            <w:tcW w:w="2701" w:type="dxa"/>
            <w:vAlign w:val="center"/>
          </w:tcPr>
          <w:p>
            <w:pPr>
              <w:autoSpaceDE w:val="0"/>
              <w:autoSpaceDN w:val="0"/>
              <w:spacing w:line="360" w:lineRule="auto"/>
              <w:jc w:val="center"/>
              <w:rPr>
                <w:rFonts w:ascii="宋体" w:hAnsi="宋体"/>
                <w:color w:val="auto"/>
                <w:sz w:val="24"/>
                <w:szCs w:val="24"/>
              </w:rPr>
            </w:pPr>
          </w:p>
        </w:tc>
        <w:tc>
          <w:tcPr>
            <w:tcW w:w="2701" w:type="dxa"/>
            <w:vAlign w:val="center"/>
          </w:tcPr>
          <w:p>
            <w:pPr>
              <w:autoSpaceDE w:val="0"/>
              <w:autoSpaceDN w:val="0"/>
              <w:spacing w:line="360" w:lineRule="auto"/>
              <w:jc w:val="center"/>
              <w:rPr>
                <w:rFonts w:ascii="宋体" w:hAnsi="宋体"/>
                <w:color w:val="auto"/>
                <w:sz w:val="24"/>
                <w:szCs w:val="24"/>
              </w:rPr>
            </w:pPr>
          </w:p>
        </w:tc>
        <w:tc>
          <w:tcPr>
            <w:tcW w:w="1551" w:type="dxa"/>
            <w:vAlign w:val="center"/>
          </w:tcPr>
          <w:p>
            <w:pPr>
              <w:autoSpaceDE w:val="0"/>
              <w:autoSpaceDN w:val="0"/>
              <w:spacing w:line="360" w:lineRule="auto"/>
              <w:jc w:val="center"/>
              <w:rPr>
                <w:rFonts w:ascii="宋体" w:hAnsi="宋体"/>
                <w:color w:val="auto"/>
                <w:sz w:val="24"/>
                <w:szCs w:val="24"/>
              </w:rPr>
            </w:pPr>
          </w:p>
        </w:tc>
        <w:tc>
          <w:tcPr>
            <w:tcW w:w="1552" w:type="dxa"/>
            <w:vAlign w:val="center"/>
          </w:tcPr>
          <w:p>
            <w:pPr>
              <w:autoSpaceDE w:val="0"/>
              <w:autoSpaceDN w:val="0"/>
              <w:spacing w:line="360" w:lineRule="auto"/>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autoSpaceDE w:val="0"/>
              <w:autoSpaceDN w:val="0"/>
              <w:spacing w:line="360" w:lineRule="auto"/>
              <w:jc w:val="center"/>
              <w:rPr>
                <w:rFonts w:ascii="宋体" w:hAnsi="宋体"/>
                <w:color w:val="auto"/>
                <w:sz w:val="24"/>
                <w:szCs w:val="24"/>
              </w:rPr>
            </w:pPr>
          </w:p>
        </w:tc>
        <w:tc>
          <w:tcPr>
            <w:tcW w:w="2701" w:type="dxa"/>
            <w:vAlign w:val="center"/>
          </w:tcPr>
          <w:p>
            <w:pPr>
              <w:autoSpaceDE w:val="0"/>
              <w:autoSpaceDN w:val="0"/>
              <w:spacing w:line="360" w:lineRule="auto"/>
              <w:jc w:val="center"/>
              <w:rPr>
                <w:rFonts w:ascii="宋体" w:hAnsi="宋体"/>
                <w:color w:val="auto"/>
                <w:sz w:val="24"/>
                <w:szCs w:val="24"/>
              </w:rPr>
            </w:pPr>
          </w:p>
        </w:tc>
        <w:tc>
          <w:tcPr>
            <w:tcW w:w="2701" w:type="dxa"/>
            <w:vAlign w:val="center"/>
          </w:tcPr>
          <w:p>
            <w:pPr>
              <w:autoSpaceDE w:val="0"/>
              <w:autoSpaceDN w:val="0"/>
              <w:spacing w:line="360" w:lineRule="auto"/>
              <w:jc w:val="center"/>
              <w:rPr>
                <w:rFonts w:ascii="宋体" w:hAnsi="宋体"/>
                <w:color w:val="auto"/>
                <w:sz w:val="24"/>
                <w:szCs w:val="24"/>
              </w:rPr>
            </w:pPr>
          </w:p>
        </w:tc>
        <w:tc>
          <w:tcPr>
            <w:tcW w:w="1551" w:type="dxa"/>
            <w:vAlign w:val="center"/>
          </w:tcPr>
          <w:p>
            <w:pPr>
              <w:autoSpaceDE w:val="0"/>
              <w:autoSpaceDN w:val="0"/>
              <w:spacing w:line="360" w:lineRule="auto"/>
              <w:jc w:val="center"/>
              <w:rPr>
                <w:rFonts w:ascii="宋体" w:hAnsi="宋体"/>
                <w:color w:val="auto"/>
                <w:sz w:val="24"/>
                <w:szCs w:val="24"/>
              </w:rPr>
            </w:pPr>
          </w:p>
        </w:tc>
        <w:tc>
          <w:tcPr>
            <w:tcW w:w="1552" w:type="dxa"/>
            <w:vAlign w:val="center"/>
          </w:tcPr>
          <w:p>
            <w:pPr>
              <w:autoSpaceDE w:val="0"/>
              <w:autoSpaceDN w:val="0"/>
              <w:spacing w:line="360" w:lineRule="auto"/>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autoSpaceDE w:val="0"/>
              <w:autoSpaceDN w:val="0"/>
              <w:spacing w:line="360" w:lineRule="auto"/>
              <w:jc w:val="center"/>
              <w:rPr>
                <w:rFonts w:ascii="宋体" w:hAnsi="宋体"/>
                <w:color w:val="auto"/>
                <w:sz w:val="24"/>
                <w:szCs w:val="24"/>
              </w:rPr>
            </w:pPr>
          </w:p>
        </w:tc>
        <w:tc>
          <w:tcPr>
            <w:tcW w:w="2701" w:type="dxa"/>
            <w:vAlign w:val="center"/>
          </w:tcPr>
          <w:p>
            <w:pPr>
              <w:autoSpaceDE w:val="0"/>
              <w:autoSpaceDN w:val="0"/>
              <w:spacing w:line="360" w:lineRule="auto"/>
              <w:jc w:val="center"/>
              <w:rPr>
                <w:rFonts w:ascii="宋体" w:hAnsi="宋体"/>
                <w:color w:val="auto"/>
                <w:sz w:val="24"/>
                <w:szCs w:val="24"/>
              </w:rPr>
            </w:pPr>
          </w:p>
        </w:tc>
        <w:tc>
          <w:tcPr>
            <w:tcW w:w="2701" w:type="dxa"/>
            <w:vAlign w:val="center"/>
          </w:tcPr>
          <w:p>
            <w:pPr>
              <w:autoSpaceDE w:val="0"/>
              <w:autoSpaceDN w:val="0"/>
              <w:spacing w:line="360" w:lineRule="auto"/>
              <w:jc w:val="center"/>
              <w:rPr>
                <w:rFonts w:ascii="宋体" w:hAnsi="宋体"/>
                <w:color w:val="auto"/>
                <w:sz w:val="24"/>
                <w:szCs w:val="24"/>
              </w:rPr>
            </w:pPr>
          </w:p>
        </w:tc>
        <w:tc>
          <w:tcPr>
            <w:tcW w:w="1551" w:type="dxa"/>
            <w:vAlign w:val="center"/>
          </w:tcPr>
          <w:p>
            <w:pPr>
              <w:autoSpaceDE w:val="0"/>
              <w:autoSpaceDN w:val="0"/>
              <w:spacing w:line="360" w:lineRule="auto"/>
              <w:jc w:val="center"/>
              <w:rPr>
                <w:rFonts w:ascii="宋体" w:hAnsi="宋体"/>
                <w:color w:val="auto"/>
                <w:sz w:val="24"/>
                <w:szCs w:val="24"/>
              </w:rPr>
            </w:pPr>
          </w:p>
        </w:tc>
        <w:tc>
          <w:tcPr>
            <w:tcW w:w="1552" w:type="dxa"/>
            <w:vAlign w:val="center"/>
          </w:tcPr>
          <w:p>
            <w:pPr>
              <w:autoSpaceDE w:val="0"/>
              <w:autoSpaceDN w:val="0"/>
              <w:spacing w:line="360" w:lineRule="auto"/>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autoSpaceDE w:val="0"/>
              <w:autoSpaceDN w:val="0"/>
              <w:spacing w:line="360" w:lineRule="auto"/>
              <w:jc w:val="center"/>
              <w:rPr>
                <w:rFonts w:ascii="宋体" w:hAnsi="宋体"/>
                <w:color w:val="auto"/>
                <w:sz w:val="24"/>
                <w:szCs w:val="24"/>
              </w:rPr>
            </w:pPr>
          </w:p>
        </w:tc>
        <w:tc>
          <w:tcPr>
            <w:tcW w:w="2701" w:type="dxa"/>
            <w:vAlign w:val="center"/>
          </w:tcPr>
          <w:p>
            <w:pPr>
              <w:autoSpaceDE w:val="0"/>
              <w:autoSpaceDN w:val="0"/>
              <w:spacing w:line="360" w:lineRule="auto"/>
              <w:jc w:val="center"/>
              <w:rPr>
                <w:rFonts w:ascii="宋体" w:hAnsi="宋体"/>
                <w:color w:val="auto"/>
                <w:sz w:val="24"/>
                <w:szCs w:val="24"/>
              </w:rPr>
            </w:pPr>
          </w:p>
        </w:tc>
        <w:tc>
          <w:tcPr>
            <w:tcW w:w="2701" w:type="dxa"/>
            <w:vAlign w:val="center"/>
          </w:tcPr>
          <w:p>
            <w:pPr>
              <w:autoSpaceDE w:val="0"/>
              <w:autoSpaceDN w:val="0"/>
              <w:spacing w:line="360" w:lineRule="auto"/>
              <w:jc w:val="center"/>
              <w:rPr>
                <w:rFonts w:ascii="宋体" w:hAnsi="宋体"/>
                <w:color w:val="auto"/>
                <w:sz w:val="24"/>
                <w:szCs w:val="24"/>
              </w:rPr>
            </w:pPr>
          </w:p>
        </w:tc>
        <w:tc>
          <w:tcPr>
            <w:tcW w:w="1551" w:type="dxa"/>
            <w:vAlign w:val="center"/>
          </w:tcPr>
          <w:p>
            <w:pPr>
              <w:autoSpaceDE w:val="0"/>
              <w:autoSpaceDN w:val="0"/>
              <w:spacing w:line="360" w:lineRule="auto"/>
              <w:jc w:val="center"/>
              <w:rPr>
                <w:rFonts w:ascii="宋体" w:hAnsi="宋体"/>
                <w:color w:val="auto"/>
                <w:sz w:val="24"/>
                <w:szCs w:val="24"/>
              </w:rPr>
            </w:pPr>
          </w:p>
        </w:tc>
        <w:tc>
          <w:tcPr>
            <w:tcW w:w="1552" w:type="dxa"/>
            <w:vAlign w:val="center"/>
          </w:tcPr>
          <w:p>
            <w:pPr>
              <w:autoSpaceDE w:val="0"/>
              <w:autoSpaceDN w:val="0"/>
              <w:spacing w:line="360" w:lineRule="auto"/>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autoSpaceDE w:val="0"/>
              <w:autoSpaceDN w:val="0"/>
              <w:spacing w:line="360" w:lineRule="auto"/>
              <w:jc w:val="center"/>
              <w:rPr>
                <w:rFonts w:ascii="宋体" w:hAnsi="宋体"/>
                <w:color w:val="auto"/>
                <w:sz w:val="24"/>
                <w:szCs w:val="24"/>
              </w:rPr>
            </w:pPr>
          </w:p>
        </w:tc>
        <w:tc>
          <w:tcPr>
            <w:tcW w:w="2701" w:type="dxa"/>
            <w:vAlign w:val="center"/>
          </w:tcPr>
          <w:p>
            <w:pPr>
              <w:autoSpaceDE w:val="0"/>
              <w:autoSpaceDN w:val="0"/>
              <w:spacing w:line="360" w:lineRule="auto"/>
              <w:jc w:val="center"/>
              <w:rPr>
                <w:rFonts w:ascii="宋体" w:hAnsi="宋体"/>
                <w:color w:val="auto"/>
                <w:sz w:val="24"/>
                <w:szCs w:val="24"/>
              </w:rPr>
            </w:pPr>
          </w:p>
        </w:tc>
        <w:tc>
          <w:tcPr>
            <w:tcW w:w="2701" w:type="dxa"/>
            <w:vAlign w:val="center"/>
          </w:tcPr>
          <w:p>
            <w:pPr>
              <w:autoSpaceDE w:val="0"/>
              <w:autoSpaceDN w:val="0"/>
              <w:spacing w:line="360" w:lineRule="auto"/>
              <w:jc w:val="center"/>
              <w:rPr>
                <w:rFonts w:ascii="宋体" w:hAnsi="宋体"/>
                <w:color w:val="auto"/>
                <w:sz w:val="24"/>
                <w:szCs w:val="24"/>
              </w:rPr>
            </w:pPr>
          </w:p>
        </w:tc>
        <w:tc>
          <w:tcPr>
            <w:tcW w:w="1551" w:type="dxa"/>
            <w:vAlign w:val="center"/>
          </w:tcPr>
          <w:p>
            <w:pPr>
              <w:autoSpaceDE w:val="0"/>
              <w:autoSpaceDN w:val="0"/>
              <w:spacing w:line="360" w:lineRule="auto"/>
              <w:jc w:val="center"/>
              <w:rPr>
                <w:rFonts w:ascii="宋体" w:hAnsi="宋体"/>
                <w:color w:val="auto"/>
                <w:sz w:val="24"/>
                <w:szCs w:val="24"/>
              </w:rPr>
            </w:pPr>
          </w:p>
        </w:tc>
        <w:tc>
          <w:tcPr>
            <w:tcW w:w="1552" w:type="dxa"/>
            <w:vAlign w:val="center"/>
          </w:tcPr>
          <w:p>
            <w:pPr>
              <w:autoSpaceDE w:val="0"/>
              <w:autoSpaceDN w:val="0"/>
              <w:spacing w:line="360" w:lineRule="auto"/>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autoSpaceDE w:val="0"/>
              <w:autoSpaceDN w:val="0"/>
              <w:spacing w:line="360" w:lineRule="auto"/>
              <w:jc w:val="center"/>
              <w:rPr>
                <w:rFonts w:ascii="宋体" w:hAnsi="宋体"/>
                <w:color w:val="auto"/>
                <w:sz w:val="24"/>
                <w:szCs w:val="24"/>
              </w:rPr>
            </w:pPr>
            <w:r>
              <w:rPr>
                <w:rFonts w:ascii="宋体" w:hAnsi="宋体"/>
                <w:color w:val="auto"/>
                <w:sz w:val="24"/>
                <w:szCs w:val="24"/>
              </w:rPr>
              <w:t>……</w:t>
            </w:r>
          </w:p>
        </w:tc>
        <w:tc>
          <w:tcPr>
            <w:tcW w:w="2701" w:type="dxa"/>
            <w:vAlign w:val="center"/>
          </w:tcPr>
          <w:p>
            <w:pPr>
              <w:autoSpaceDE w:val="0"/>
              <w:autoSpaceDN w:val="0"/>
              <w:spacing w:line="360" w:lineRule="auto"/>
              <w:jc w:val="center"/>
              <w:rPr>
                <w:rFonts w:ascii="宋体" w:hAnsi="宋体"/>
                <w:color w:val="auto"/>
                <w:sz w:val="24"/>
                <w:szCs w:val="24"/>
              </w:rPr>
            </w:pPr>
          </w:p>
        </w:tc>
        <w:tc>
          <w:tcPr>
            <w:tcW w:w="2701" w:type="dxa"/>
            <w:vAlign w:val="center"/>
          </w:tcPr>
          <w:p>
            <w:pPr>
              <w:autoSpaceDE w:val="0"/>
              <w:autoSpaceDN w:val="0"/>
              <w:spacing w:line="360" w:lineRule="auto"/>
              <w:jc w:val="center"/>
              <w:rPr>
                <w:rFonts w:ascii="宋体" w:hAnsi="宋体"/>
                <w:color w:val="auto"/>
                <w:sz w:val="24"/>
                <w:szCs w:val="24"/>
              </w:rPr>
            </w:pPr>
          </w:p>
        </w:tc>
        <w:tc>
          <w:tcPr>
            <w:tcW w:w="1551" w:type="dxa"/>
            <w:vAlign w:val="center"/>
          </w:tcPr>
          <w:p>
            <w:pPr>
              <w:autoSpaceDE w:val="0"/>
              <w:autoSpaceDN w:val="0"/>
              <w:spacing w:line="360" w:lineRule="auto"/>
              <w:jc w:val="center"/>
              <w:rPr>
                <w:rFonts w:ascii="宋体" w:hAnsi="宋体"/>
                <w:color w:val="auto"/>
                <w:sz w:val="24"/>
                <w:szCs w:val="24"/>
              </w:rPr>
            </w:pPr>
          </w:p>
        </w:tc>
        <w:tc>
          <w:tcPr>
            <w:tcW w:w="1552" w:type="dxa"/>
            <w:vAlign w:val="center"/>
          </w:tcPr>
          <w:p>
            <w:pPr>
              <w:autoSpaceDE w:val="0"/>
              <w:autoSpaceDN w:val="0"/>
              <w:spacing w:line="360" w:lineRule="auto"/>
              <w:jc w:val="center"/>
              <w:rPr>
                <w:rFonts w:ascii="宋体" w:hAnsi="宋体"/>
                <w:color w:val="auto"/>
                <w:sz w:val="24"/>
                <w:szCs w:val="24"/>
              </w:rPr>
            </w:pPr>
          </w:p>
        </w:tc>
      </w:tr>
    </w:tbl>
    <w:p>
      <w:pPr>
        <w:ind w:firstLine="480" w:firstLineChars="200"/>
        <w:rPr>
          <w:rFonts w:ascii="宋体" w:hAnsi="宋体"/>
          <w:b/>
          <w:color w:val="auto"/>
          <w:sz w:val="24"/>
          <w:szCs w:val="24"/>
        </w:rPr>
      </w:pP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投标人名称（加盖公章）：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投标人法定代表人或授权代表（签字或盖章）：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日期：</w:t>
      </w:r>
      <w:r>
        <w:rPr>
          <w:rFonts w:hint="eastAsia" w:ascii="宋体" w:hAnsi="宋体"/>
          <w:color w:val="auto"/>
          <w:sz w:val="24"/>
          <w:szCs w:val="24"/>
          <w:u w:val="single"/>
        </w:rPr>
        <w:t xml:space="preserve">        </w:t>
      </w:r>
      <w:r>
        <w:rPr>
          <w:rFonts w:hint="eastAsia" w:ascii="宋体" w:hAnsi="宋体"/>
          <w:color w:val="auto"/>
          <w:sz w:val="24"/>
          <w:szCs w:val="24"/>
        </w:rPr>
        <w:t>年</w:t>
      </w:r>
      <w:r>
        <w:rPr>
          <w:rFonts w:hint="eastAsia" w:ascii="宋体" w:hAnsi="宋体"/>
          <w:color w:val="auto"/>
          <w:sz w:val="24"/>
          <w:szCs w:val="24"/>
          <w:u w:val="single"/>
        </w:rPr>
        <w:t xml:space="preserve">    </w:t>
      </w:r>
      <w:r>
        <w:rPr>
          <w:rFonts w:hint="eastAsia" w:ascii="宋体" w:hAnsi="宋体"/>
          <w:color w:val="auto"/>
          <w:sz w:val="24"/>
          <w:szCs w:val="24"/>
        </w:rPr>
        <w:t>月</w:t>
      </w:r>
      <w:r>
        <w:rPr>
          <w:rFonts w:hint="eastAsia" w:ascii="宋体" w:hAnsi="宋体"/>
          <w:color w:val="auto"/>
          <w:sz w:val="24"/>
          <w:szCs w:val="24"/>
          <w:u w:val="single"/>
        </w:rPr>
        <w:t xml:space="preserve">    </w:t>
      </w:r>
      <w:r>
        <w:rPr>
          <w:rFonts w:hint="eastAsia" w:ascii="宋体" w:hAnsi="宋体"/>
          <w:color w:val="auto"/>
          <w:sz w:val="24"/>
          <w:szCs w:val="24"/>
        </w:rPr>
        <w:t>日</w:t>
      </w:r>
    </w:p>
    <w:p>
      <w:pPr>
        <w:rPr>
          <w:rFonts w:ascii="宋体" w:hAnsi="宋体"/>
          <w:b/>
          <w:color w:val="auto"/>
          <w:sz w:val="24"/>
          <w:szCs w:val="24"/>
        </w:rPr>
      </w:pPr>
    </w:p>
    <w:p>
      <w:pPr>
        <w:rPr>
          <w:rFonts w:ascii="宋体" w:hAnsi="宋体"/>
          <w:b/>
          <w:color w:val="auto"/>
          <w:sz w:val="24"/>
          <w:szCs w:val="24"/>
        </w:rPr>
      </w:pPr>
      <w:r>
        <w:rPr>
          <w:rFonts w:hint="eastAsia" w:ascii="宋体" w:hAnsi="宋体"/>
          <w:b/>
          <w:color w:val="auto"/>
          <w:sz w:val="24"/>
          <w:szCs w:val="24"/>
        </w:rPr>
        <w:t>备注：</w:t>
      </w:r>
    </w:p>
    <w:p>
      <w:pPr>
        <w:ind w:firstLine="480" w:firstLineChars="200"/>
        <w:rPr>
          <w:rFonts w:ascii="宋体" w:hAnsi="宋体"/>
          <w:color w:val="auto"/>
          <w:sz w:val="24"/>
          <w:szCs w:val="24"/>
        </w:rPr>
      </w:pPr>
      <w:r>
        <w:rPr>
          <w:rFonts w:hint="eastAsia" w:ascii="宋体" w:hAnsi="宋体"/>
          <w:color w:val="auto"/>
          <w:sz w:val="24"/>
          <w:szCs w:val="24"/>
        </w:rPr>
        <w:t>1.投标人应对招标文件第五部分《拟签订的合同文本》中各合同条款有偏离或不能响应的条款逐一如实填写上表；凡未在上表中填写的合同条款，均被视为投标人承诺完全响应招标文件中各合同条款的约定，若中标须完全接受。</w:t>
      </w:r>
    </w:p>
    <w:p>
      <w:pPr>
        <w:ind w:firstLine="480" w:firstLineChars="200"/>
        <w:rPr>
          <w:rFonts w:ascii="宋体" w:hAnsi="宋体"/>
          <w:color w:val="auto"/>
          <w:sz w:val="24"/>
          <w:szCs w:val="24"/>
        </w:rPr>
      </w:pPr>
      <w:r>
        <w:rPr>
          <w:rFonts w:hint="eastAsia" w:ascii="宋体" w:hAnsi="宋体"/>
          <w:color w:val="auto"/>
          <w:sz w:val="24"/>
          <w:szCs w:val="24"/>
        </w:rPr>
        <w:t>2.上表中“响应状态”应按下列规定填写：优于的，填写“正偏离”；符合的，填写“无偏离”；低于的，填写“负偏离”。“正偏离”或“负偏离”应在“偏离说明”列中进行说明。</w:t>
      </w:r>
    </w:p>
    <w:p>
      <w:pPr>
        <w:ind w:firstLine="480" w:firstLineChars="200"/>
        <w:rPr>
          <w:rFonts w:ascii="宋体" w:hAnsi="宋体"/>
          <w:color w:val="auto"/>
          <w:sz w:val="24"/>
          <w:szCs w:val="24"/>
        </w:rPr>
      </w:pPr>
      <w:r>
        <w:rPr>
          <w:rFonts w:hint="eastAsia" w:ascii="宋体" w:hAnsi="宋体"/>
          <w:color w:val="auto"/>
          <w:sz w:val="24"/>
          <w:szCs w:val="24"/>
        </w:rPr>
        <w:t>3.如果投标人对一般合同条款（指不带</w:t>
      </w:r>
      <w:r>
        <w:rPr>
          <w:rFonts w:hint="eastAsia" w:ascii="宋体" w:hAnsi="宋体"/>
          <w:b/>
          <w:color w:val="auto"/>
          <w:sz w:val="24"/>
          <w:szCs w:val="24"/>
        </w:rPr>
        <w:t>“★”</w:t>
      </w:r>
      <w:r>
        <w:rPr>
          <w:rFonts w:hint="eastAsia" w:ascii="宋体" w:hAnsi="宋体"/>
          <w:color w:val="auto"/>
          <w:sz w:val="24"/>
          <w:szCs w:val="24"/>
        </w:rPr>
        <w:t>和</w:t>
      </w:r>
      <w:r>
        <w:rPr>
          <w:rFonts w:hint="eastAsia" w:ascii="宋体" w:hAnsi="宋体"/>
          <w:b/>
          <w:color w:val="auto"/>
          <w:sz w:val="24"/>
          <w:szCs w:val="24"/>
        </w:rPr>
        <w:t>“▲”</w:t>
      </w:r>
      <w:r>
        <w:rPr>
          <w:rFonts w:hint="eastAsia" w:ascii="宋体" w:hAnsi="宋体"/>
          <w:color w:val="auto"/>
          <w:sz w:val="24"/>
          <w:szCs w:val="24"/>
        </w:rPr>
        <w:t>）无任何偏离，请在上表正文内容第一行填写“无一般合同条款偏离”，可不详细填写一般合同条款内容。</w:t>
      </w:r>
    </w:p>
    <w:p>
      <w:pPr>
        <w:autoSpaceDE w:val="0"/>
        <w:autoSpaceDN w:val="0"/>
        <w:ind w:firstLine="480" w:firstLineChars="200"/>
        <w:rPr>
          <w:rFonts w:ascii="宋体" w:hAnsi="宋体"/>
          <w:b/>
          <w:color w:val="auto"/>
          <w:sz w:val="24"/>
          <w:szCs w:val="24"/>
        </w:rPr>
      </w:pPr>
      <w:r>
        <w:rPr>
          <w:rFonts w:hint="eastAsia" w:ascii="宋体" w:hAnsi="宋体"/>
          <w:b/>
          <w:color w:val="auto"/>
          <w:sz w:val="24"/>
          <w:szCs w:val="24"/>
        </w:rPr>
        <w:t>4.带“▲”的重要性条款（如有），投标人须标识清楚。带“★”的条款（如有）在《实质性响应一览表》中罗列，本表不需要重复。</w:t>
      </w:r>
    </w:p>
    <w:p>
      <w:pPr>
        <w:autoSpaceDE w:val="0"/>
        <w:autoSpaceDN w:val="0"/>
        <w:spacing w:line="360" w:lineRule="auto"/>
        <w:rPr>
          <w:rFonts w:ascii="宋体" w:hAnsi="宋体"/>
          <w:b/>
          <w:color w:val="auto"/>
          <w:sz w:val="24"/>
          <w:szCs w:val="24"/>
        </w:rPr>
      </w:pPr>
    </w:p>
    <w:p>
      <w:pPr>
        <w:autoSpaceDE w:val="0"/>
        <w:autoSpaceDN w:val="0"/>
        <w:spacing w:line="360" w:lineRule="auto"/>
        <w:rPr>
          <w:rFonts w:ascii="宋体" w:hAnsi="宋体"/>
          <w:b/>
          <w:color w:val="auto"/>
          <w:sz w:val="24"/>
          <w:szCs w:val="24"/>
        </w:rPr>
      </w:pPr>
    </w:p>
    <w:p>
      <w:pPr>
        <w:autoSpaceDE w:val="0"/>
        <w:autoSpaceDN w:val="0"/>
        <w:spacing w:line="360" w:lineRule="auto"/>
        <w:rPr>
          <w:rFonts w:ascii="宋体" w:hAnsi="宋体"/>
          <w:color w:val="auto"/>
          <w:sz w:val="24"/>
          <w:szCs w:val="24"/>
        </w:rPr>
      </w:pPr>
    </w:p>
    <w:p>
      <w:pPr>
        <w:pStyle w:val="5"/>
        <w:numPr>
          <w:ilvl w:val="0"/>
          <w:numId w:val="99"/>
        </w:numPr>
        <w:tabs>
          <w:tab w:val="left" w:pos="945"/>
        </w:tabs>
        <w:spacing w:before="0" w:after="0" w:line="360" w:lineRule="auto"/>
        <w:ind w:left="0" w:firstLine="0"/>
        <w:rPr>
          <w:color w:val="auto"/>
          <w:sz w:val="28"/>
          <w:szCs w:val="28"/>
        </w:rPr>
      </w:pPr>
      <w:bookmarkStart w:id="451" w:name="_Toc1893"/>
      <w:bookmarkStart w:id="452" w:name="_Toc22806234"/>
      <w:bookmarkStart w:id="453" w:name="_Toc54335491"/>
      <w:r>
        <w:rPr>
          <w:rFonts w:hint="eastAsia"/>
          <w:color w:val="auto"/>
          <w:sz w:val="28"/>
          <w:szCs w:val="28"/>
        </w:rPr>
        <w:t>商务情况</w:t>
      </w:r>
      <w:bookmarkEnd w:id="451"/>
      <w:bookmarkEnd w:id="452"/>
      <w:bookmarkEnd w:id="453"/>
    </w:p>
    <w:p>
      <w:pPr>
        <w:pStyle w:val="6"/>
        <w:numPr>
          <w:ilvl w:val="1"/>
          <w:numId w:val="99"/>
        </w:numPr>
        <w:tabs>
          <w:tab w:val="left" w:pos="945"/>
        </w:tabs>
        <w:ind w:left="0" w:firstLine="0"/>
        <w:rPr>
          <w:rFonts w:ascii="宋体" w:hAnsi="宋体"/>
          <w:color w:val="auto"/>
          <w:szCs w:val="24"/>
        </w:rPr>
      </w:pPr>
      <w:bookmarkStart w:id="454" w:name="_Toc22806235"/>
      <w:r>
        <w:rPr>
          <w:rFonts w:hint="eastAsia" w:ascii="宋体" w:hAnsi="宋体"/>
          <w:color w:val="auto"/>
          <w:szCs w:val="24"/>
        </w:rPr>
        <w:t>类似项目业绩（如有）</w:t>
      </w:r>
      <w:bookmarkEnd w:id="454"/>
    </w:p>
    <w:p>
      <w:pPr>
        <w:autoSpaceDE w:val="0"/>
        <w:autoSpaceDN w:val="0"/>
        <w:spacing w:line="360" w:lineRule="auto"/>
        <w:jc w:val="center"/>
        <w:rPr>
          <w:rFonts w:ascii="宋体" w:hAnsi="宋体"/>
          <w:b/>
          <w:color w:val="auto"/>
          <w:sz w:val="32"/>
          <w:szCs w:val="32"/>
        </w:rPr>
      </w:pPr>
      <w:r>
        <w:rPr>
          <w:rFonts w:hint="eastAsia" w:ascii="宋体" w:hAnsi="宋体"/>
          <w:b/>
          <w:color w:val="auto"/>
          <w:sz w:val="32"/>
          <w:szCs w:val="32"/>
        </w:rPr>
        <w:t>类似项目业绩</w:t>
      </w:r>
    </w:p>
    <w:p>
      <w:pPr>
        <w:autoSpaceDE w:val="0"/>
        <w:autoSpaceDN w:val="0"/>
        <w:spacing w:line="360" w:lineRule="auto"/>
        <w:rPr>
          <w:rFonts w:ascii="宋体" w:hAnsi="宋体"/>
          <w:color w:val="auto"/>
          <w:sz w:val="24"/>
          <w:szCs w:val="24"/>
        </w:rPr>
      </w:pPr>
    </w:p>
    <w:p>
      <w:pPr>
        <w:spacing w:line="360" w:lineRule="auto"/>
        <w:ind w:left="809" w:hanging="808" w:hangingChars="337"/>
        <w:rPr>
          <w:rFonts w:hint="eastAsia" w:ascii="宋体" w:hAnsi="宋体" w:eastAsia="宋体"/>
          <w:color w:val="auto"/>
          <w:sz w:val="24"/>
          <w:szCs w:val="24"/>
          <w:lang w:eastAsia="zh-CN"/>
        </w:rPr>
      </w:pPr>
      <w:r>
        <w:rPr>
          <w:rFonts w:hint="eastAsia" w:ascii="宋体" w:hAnsi="宋体"/>
          <w:color w:val="auto"/>
          <w:sz w:val="24"/>
          <w:szCs w:val="24"/>
        </w:rPr>
        <w:t>采购项目名称：</w:t>
      </w:r>
      <w:r>
        <w:rPr>
          <w:rFonts w:hint="eastAsia" w:ascii="宋体" w:hAnsi="宋体"/>
          <w:color w:val="auto"/>
          <w:sz w:val="24"/>
          <w:szCs w:val="24"/>
          <w:lang w:eastAsia="zh-CN"/>
        </w:rPr>
        <w:t>工业和信息化部电子第五研究所动力电池配套使用环境试验箱采购项目</w:t>
      </w:r>
    </w:p>
    <w:p>
      <w:pPr>
        <w:spacing w:line="360" w:lineRule="auto"/>
        <w:ind w:left="809" w:hanging="808" w:hangingChars="337"/>
        <w:rPr>
          <w:rFonts w:ascii="宋体" w:hAnsi="宋体"/>
          <w:color w:val="auto"/>
          <w:sz w:val="24"/>
          <w:szCs w:val="24"/>
        </w:rPr>
      </w:pPr>
      <w:r>
        <w:rPr>
          <w:rFonts w:hint="eastAsia" w:ascii="宋体" w:hAnsi="宋体"/>
          <w:color w:val="auto"/>
          <w:sz w:val="24"/>
          <w:szCs w:val="24"/>
        </w:rPr>
        <w:t>采购包号：</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275"/>
        <w:gridCol w:w="1134"/>
        <w:gridCol w:w="1505"/>
        <w:gridCol w:w="1614"/>
        <w:gridCol w:w="1417"/>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851" w:type="dxa"/>
            <w:vAlign w:val="center"/>
          </w:tcPr>
          <w:p>
            <w:pPr>
              <w:autoSpaceDE w:val="0"/>
              <w:autoSpaceDN w:val="0"/>
              <w:jc w:val="center"/>
              <w:rPr>
                <w:rFonts w:ascii="宋体" w:hAnsi="宋体"/>
                <w:color w:val="auto"/>
                <w:sz w:val="24"/>
                <w:szCs w:val="24"/>
              </w:rPr>
            </w:pPr>
            <w:r>
              <w:rPr>
                <w:rFonts w:hint="eastAsia" w:ascii="宋体" w:hAnsi="宋体"/>
                <w:color w:val="auto"/>
                <w:sz w:val="24"/>
                <w:szCs w:val="24"/>
              </w:rPr>
              <w:t>序号</w:t>
            </w:r>
          </w:p>
        </w:tc>
        <w:tc>
          <w:tcPr>
            <w:tcW w:w="1275" w:type="dxa"/>
            <w:vAlign w:val="center"/>
          </w:tcPr>
          <w:p>
            <w:pPr>
              <w:autoSpaceDE w:val="0"/>
              <w:autoSpaceDN w:val="0"/>
              <w:jc w:val="center"/>
              <w:rPr>
                <w:rFonts w:ascii="宋体" w:hAnsi="宋体"/>
                <w:color w:val="auto"/>
                <w:sz w:val="24"/>
                <w:szCs w:val="24"/>
              </w:rPr>
            </w:pPr>
            <w:r>
              <w:rPr>
                <w:rFonts w:hint="eastAsia" w:ascii="宋体" w:hAnsi="宋体"/>
                <w:color w:val="auto"/>
                <w:sz w:val="24"/>
                <w:szCs w:val="24"/>
              </w:rPr>
              <w:t>项目名称</w:t>
            </w:r>
          </w:p>
        </w:tc>
        <w:tc>
          <w:tcPr>
            <w:tcW w:w="1134" w:type="dxa"/>
            <w:vAlign w:val="center"/>
          </w:tcPr>
          <w:p>
            <w:pPr>
              <w:autoSpaceDE w:val="0"/>
              <w:autoSpaceDN w:val="0"/>
              <w:jc w:val="center"/>
              <w:rPr>
                <w:rFonts w:ascii="宋体" w:hAnsi="宋体"/>
                <w:color w:val="auto"/>
                <w:sz w:val="24"/>
                <w:szCs w:val="24"/>
              </w:rPr>
            </w:pPr>
            <w:r>
              <w:rPr>
                <w:rFonts w:hint="eastAsia" w:ascii="宋体" w:hAnsi="宋体"/>
                <w:color w:val="auto"/>
                <w:sz w:val="24"/>
                <w:szCs w:val="24"/>
              </w:rPr>
              <w:t>项目主要内容</w:t>
            </w:r>
          </w:p>
        </w:tc>
        <w:tc>
          <w:tcPr>
            <w:tcW w:w="1505" w:type="dxa"/>
            <w:vAlign w:val="center"/>
          </w:tcPr>
          <w:p>
            <w:pPr>
              <w:autoSpaceDE w:val="0"/>
              <w:autoSpaceDN w:val="0"/>
              <w:jc w:val="center"/>
              <w:rPr>
                <w:rFonts w:ascii="宋体" w:hAnsi="宋体"/>
                <w:color w:val="auto"/>
                <w:sz w:val="24"/>
                <w:szCs w:val="24"/>
              </w:rPr>
            </w:pPr>
            <w:r>
              <w:rPr>
                <w:rFonts w:hint="eastAsia" w:ascii="宋体" w:hAnsi="宋体"/>
                <w:color w:val="auto"/>
                <w:sz w:val="24"/>
                <w:szCs w:val="24"/>
              </w:rPr>
              <w:t>合同签订时间</w:t>
            </w:r>
          </w:p>
        </w:tc>
        <w:tc>
          <w:tcPr>
            <w:tcW w:w="1614" w:type="dxa"/>
            <w:vAlign w:val="center"/>
          </w:tcPr>
          <w:p>
            <w:pPr>
              <w:autoSpaceDE w:val="0"/>
              <w:autoSpaceDN w:val="0"/>
              <w:jc w:val="center"/>
              <w:rPr>
                <w:rFonts w:ascii="宋体" w:hAnsi="宋体"/>
                <w:color w:val="auto"/>
                <w:sz w:val="24"/>
                <w:szCs w:val="24"/>
              </w:rPr>
            </w:pPr>
            <w:r>
              <w:rPr>
                <w:rFonts w:hint="eastAsia" w:ascii="宋体" w:hAnsi="宋体"/>
                <w:color w:val="auto"/>
                <w:sz w:val="24"/>
                <w:szCs w:val="24"/>
              </w:rPr>
              <w:t>业主名称及联系电话</w:t>
            </w:r>
          </w:p>
        </w:tc>
        <w:tc>
          <w:tcPr>
            <w:tcW w:w="1417" w:type="dxa"/>
            <w:vAlign w:val="center"/>
          </w:tcPr>
          <w:p>
            <w:pPr>
              <w:autoSpaceDE w:val="0"/>
              <w:autoSpaceDN w:val="0"/>
              <w:jc w:val="center"/>
              <w:rPr>
                <w:rFonts w:ascii="宋体" w:hAnsi="宋体"/>
                <w:color w:val="auto"/>
                <w:sz w:val="24"/>
                <w:szCs w:val="24"/>
              </w:rPr>
            </w:pPr>
            <w:r>
              <w:rPr>
                <w:rFonts w:hint="eastAsia" w:ascii="宋体" w:hAnsi="宋体"/>
                <w:color w:val="auto"/>
                <w:sz w:val="24"/>
                <w:szCs w:val="24"/>
              </w:rPr>
              <w:t>合同金额</w:t>
            </w:r>
          </w:p>
          <w:p>
            <w:pPr>
              <w:autoSpaceDE w:val="0"/>
              <w:autoSpaceDN w:val="0"/>
              <w:jc w:val="center"/>
              <w:rPr>
                <w:rFonts w:ascii="宋体" w:hAnsi="宋体"/>
                <w:color w:val="auto"/>
                <w:sz w:val="24"/>
                <w:szCs w:val="24"/>
              </w:rPr>
            </w:pPr>
            <w:r>
              <w:rPr>
                <w:rFonts w:hint="eastAsia" w:ascii="宋体" w:hAnsi="宋体"/>
                <w:color w:val="auto"/>
                <w:sz w:val="24"/>
                <w:szCs w:val="24"/>
              </w:rPr>
              <w:t>（万元）</w:t>
            </w:r>
          </w:p>
        </w:tc>
        <w:tc>
          <w:tcPr>
            <w:tcW w:w="1314" w:type="dxa"/>
            <w:vAlign w:val="center"/>
          </w:tcPr>
          <w:p>
            <w:pPr>
              <w:autoSpaceDE w:val="0"/>
              <w:autoSpaceDN w:val="0"/>
              <w:jc w:val="center"/>
              <w:rPr>
                <w:rFonts w:ascii="宋体" w:hAnsi="宋体"/>
                <w:color w:val="auto"/>
                <w:sz w:val="24"/>
                <w:szCs w:val="24"/>
              </w:rPr>
            </w:pPr>
            <w:r>
              <w:rPr>
                <w:rFonts w:hint="eastAsia" w:ascii="宋体" w:hAnsi="宋体"/>
                <w:color w:val="auto"/>
                <w:sz w:val="24"/>
                <w:szCs w:val="24"/>
              </w:rPr>
              <w:t>证明材料（如有，在投标文件页码）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51" w:type="dxa"/>
            <w:vAlign w:val="center"/>
          </w:tcPr>
          <w:p>
            <w:pPr>
              <w:autoSpaceDE w:val="0"/>
              <w:autoSpaceDN w:val="0"/>
              <w:jc w:val="center"/>
              <w:rPr>
                <w:rFonts w:ascii="宋体" w:hAnsi="宋体"/>
                <w:color w:val="auto"/>
                <w:sz w:val="24"/>
                <w:szCs w:val="24"/>
              </w:rPr>
            </w:pPr>
          </w:p>
        </w:tc>
        <w:tc>
          <w:tcPr>
            <w:tcW w:w="1275" w:type="dxa"/>
            <w:vAlign w:val="center"/>
          </w:tcPr>
          <w:p>
            <w:pPr>
              <w:autoSpaceDE w:val="0"/>
              <w:autoSpaceDN w:val="0"/>
              <w:jc w:val="center"/>
              <w:rPr>
                <w:rFonts w:ascii="宋体" w:hAnsi="宋体"/>
                <w:color w:val="auto"/>
                <w:sz w:val="24"/>
                <w:szCs w:val="24"/>
              </w:rPr>
            </w:pPr>
          </w:p>
        </w:tc>
        <w:tc>
          <w:tcPr>
            <w:tcW w:w="1134" w:type="dxa"/>
            <w:vAlign w:val="center"/>
          </w:tcPr>
          <w:p>
            <w:pPr>
              <w:autoSpaceDE w:val="0"/>
              <w:autoSpaceDN w:val="0"/>
              <w:jc w:val="center"/>
              <w:rPr>
                <w:rFonts w:ascii="宋体" w:hAnsi="宋体"/>
                <w:color w:val="auto"/>
                <w:sz w:val="24"/>
                <w:szCs w:val="24"/>
              </w:rPr>
            </w:pPr>
          </w:p>
        </w:tc>
        <w:tc>
          <w:tcPr>
            <w:tcW w:w="1505" w:type="dxa"/>
            <w:vAlign w:val="center"/>
          </w:tcPr>
          <w:p>
            <w:pPr>
              <w:autoSpaceDE w:val="0"/>
              <w:autoSpaceDN w:val="0"/>
              <w:jc w:val="center"/>
              <w:rPr>
                <w:rFonts w:ascii="宋体" w:hAnsi="宋体"/>
                <w:color w:val="auto"/>
                <w:sz w:val="24"/>
                <w:szCs w:val="24"/>
              </w:rPr>
            </w:pPr>
          </w:p>
        </w:tc>
        <w:tc>
          <w:tcPr>
            <w:tcW w:w="1614" w:type="dxa"/>
            <w:vAlign w:val="center"/>
          </w:tcPr>
          <w:p>
            <w:pPr>
              <w:autoSpaceDE w:val="0"/>
              <w:autoSpaceDN w:val="0"/>
              <w:jc w:val="center"/>
              <w:rPr>
                <w:rFonts w:ascii="宋体" w:hAnsi="宋体"/>
                <w:color w:val="auto"/>
                <w:sz w:val="24"/>
                <w:szCs w:val="24"/>
              </w:rPr>
            </w:pPr>
          </w:p>
        </w:tc>
        <w:tc>
          <w:tcPr>
            <w:tcW w:w="1417" w:type="dxa"/>
            <w:vAlign w:val="center"/>
          </w:tcPr>
          <w:p>
            <w:pPr>
              <w:autoSpaceDE w:val="0"/>
              <w:autoSpaceDN w:val="0"/>
              <w:jc w:val="center"/>
              <w:rPr>
                <w:rFonts w:ascii="宋体" w:hAnsi="宋体"/>
                <w:color w:val="auto"/>
                <w:sz w:val="24"/>
                <w:szCs w:val="24"/>
              </w:rPr>
            </w:pPr>
          </w:p>
        </w:tc>
        <w:tc>
          <w:tcPr>
            <w:tcW w:w="1314" w:type="dxa"/>
            <w:vAlign w:val="center"/>
          </w:tcPr>
          <w:p>
            <w:pPr>
              <w:autoSpaceDE w:val="0"/>
              <w:autoSpaceDN w:val="0"/>
              <w:jc w:val="center"/>
              <w:rPr>
                <w:rFonts w:ascii="宋体" w:hAnsi="宋体"/>
                <w:color w:val="auto"/>
                <w:sz w:val="24"/>
                <w:szCs w:val="24"/>
              </w:rPr>
            </w:pPr>
            <w:r>
              <w:rPr>
                <w:rFonts w:hint="eastAsia" w:ascii="宋体" w:hAnsi="宋体"/>
                <w:color w:val="auto"/>
                <w:sz w:val="24"/>
                <w:szCs w:val="24"/>
              </w:rPr>
              <w:t>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51" w:type="dxa"/>
            <w:vAlign w:val="center"/>
          </w:tcPr>
          <w:p>
            <w:pPr>
              <w:autoSpaceDE w:val="0"/>
              <w:autoSpaceDN w:val="0"/>
              <w:jc w:val="center"/>
              <w:rPr>
                <w:rFonts w:ascii="宋体" w:hAnsi="宋体"/>
                <w:color w:val="auto"/>
                <w:sz w:val="24"/>
                <w:szCs w:val="24"/>
              </w:rPr>
            </w:pPr>
          </w:p>
        </w:tc>
        <w:tc>
          <w:tcPr>
            <w:tcW w:w="1275" w:type="dxa"/>
            <w:vAlign w:val="center"/>
          </w:tcPr>
          <w:p>
            <w:pPr>
              <w:autoSpaceDE w:val="0"/>
              <w:autoSpaceDN w:val="0"/>
              <w:jc w:val="center"/>
              <w:rPr>
                <w:rFonts w:ascii="宋体" w:hAnsi="宋体"/>
                <w:color w:val="auto"/>
                <w:sz w:val="24"/>
                <w:szCs w:val="24"/>
              </w:rPr>
            </w:pPr>
          </w:p>
        </w:tc>
        <w:tc>
          <w:tcPr>
            <w:tcW w:w="1134" w:type="dxa"/>
            <w:vAlign w:val="center"/>
          </w:tcPr>
          <w:p>
            <w:pPr>
              <w:autoSpaceDE w:val="0"/>
              <w:autoSpaceDN w:val="0"/>
              <w:jc w:val="center"/>
              <w:rPr>
                <w:rFonts w:ascii="宋体" w:hAnsi="宋体"/>
                <w:color w:val="auto"/>
                <w:sz w:val="24"/>
                <w:szCs w:val="24"/>
              </w:rPr>
            </w:pPr>
          </w:p>
        </w:tc>
        <w:tc>
          <w:tcPr>
            <w:tcW w:w="1505" w:type="dxa"/>
            <w:vAlign w:val="center"/>
          </w:tcPr>
          <w:p>
            <w:pPr>
              <w:autoSpaceDE w:val="0"/>
              <w:autoSpaceDN w:val="0"/>
              <w:jc w:val="center"/>
              <w:rPr>
                <w:rFonts w:ascii="宋体" w:hAnsi="宋体"/>
                <w:color w:val="auto"/>
                <w:sz w:val="24"/>
                <w:szCs w:val="24"/>
              </w:rPr>
            </w:pPr>
          </w:p>
        </w:tc>
        <w:tc>
          <w:tcPr>
            <w:tcW w:w="1614" w:type="dxa"/>
            <w:vAlign w:val="center"/>
          </w:tcPr>
          <w:p>
            <w:pPr>
              <w:autoSpaceDE w:val="0"/>
              <w:autoSpaceDN w:val="0"/>
              <w:jc w:val="center"/>
              <w:rPr>
                <w:rFonts w:ascii="宋体" w:hAnsi="宋体"/>
                <w:color w:val="auto"/>
                <w:sz w:val="24"/>
                <w:szCs w:val="24"/>
              </w:rPr>
            </w:pPr>
          </w:p>
        </w:tc>
        <w:tc>
          <w:tcPr>
            <w:tcW w:w="1417" w:type="dxa"/>
            <w:vAlign w:val="center"/>
          </w:tcPr>
          <w:p>
            <w:pPr>
              <w:autoSpaceDE w:val="0"/>
              <w:autoSpaceDN w:val="0"/>
              <w:jc w:val="center"/>
              <w:rPr>
                <w:rFonts w:ascii="宋体" w:hAnsi="宋体"/>
                <w:color w:val="auto"/>
                <w:sz w:val="24"/>
                <w:szCs w:val="24"/>
              </w:rPr>
            </w:pPr>
          </w:p>
        </w:tc>
        <w:tc>
          <w:tcPr>
            <w:tcW w:w="1314" w:type="dxa"/>
            <w:vAlign w:val="center"/>
          </w:tcPr>
          <w:p>
            <w:pPr>
              <w:autoSpaceDE w:val="0"/>
              <w:autoSpaceDN w:val="0"/>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51" w:type="dxa"/>
            <w:vAlign w:val="center"/>
          </w:tcPr>
          <w:p>
            <w:pPr>
              <w:autoSpaceDE w:val="0"/>
              <w:autoSpaceDN w:val="0"/>
              <w:jc w:val="center"/>
              <w:rPr>
                <w:rFonts w:ascii="宋体" w:hAnsi="宋体"/>
                <w:color w:val="auto"/>
                <w:sz w:val="24"/>
                <w:szCs w:val="24"/>
              </w:rPr>
            </w:pPr>
          </w:p>
        </w:tc>
        <w:tc>
          <w:tcPr>
            <w:tcW w:w="1275" w:type="dxa"/>
            <w:vAlign w:val="center"/>
          </w:tcPr>
          <w:p>
            <w:pPr>
              <w:autoSpaceDE w:val="0"/>
              <w:autoSpaceDN w:val="0"/>
              <w:jc w:val="center"/>
              <w:rPr>
                <w:rFonts w:ascii="宋体" w:hAnsi="宋体"/>
                <w:color w:val="auto"/>
                <w:sz w:val="24"/>
                <w:szCs w:val="24"/>
              </w:rPr>
            </w:pPr>
          </w:p>
        </w:tc>
        <w:tc>
          <w:tcPr>
            <w:tcW w:w="1134" w:type="dxa"/>
            <w:vAlign w:val="center"/>
          </w:tcPr>
          <w:p>
            <w:pPr>
              <w:autoSpaceDE w:val="0"/>
              <w:autoSpaceDN w:val="0"/>
              <w:jc w:val="center"/>
              <w:rPr>
                <w:rFonts w:ascii="宋体" w:hAnsi="宋体"/>
                <w:color w:val="auto"/>
                <w:sz w:val="24"/>
                <w:szCs w:val="24"/>
              </w:rPr>
            </w:pPr>
          </w:p>
        </w:tc>
        <w:tc>
          <w:tcPr>
            <w:tcW w:w="1505" w:type="dxa"/>
            <w:vAlign w:val="center"/>
          </w:tcPr>
          <w:p>
            <w:pPr>
              <w:autoSpaceDE w:val="0"/>
              <w:autoSpaceDN w:val="0"/>
              <w:jc w:val="center"/>
              <w:rPr>
                <w:rFonts w:ascii="宋体" w:hAnsi="宋体"/>
                <w:color w:val="auto"/>
                <w:sz w:val="24"/>
                <w:szCs w:val="24"/>
              </w:rPr>
            </w:pPr>
          </w:p>
        </w:tc>
        <w:tc>
          <w:tcPr>
            <w:tcW w:w="1614" w:type="dxa"/>
            <w:vAlign w:val="center"/>
          </w:tcPr>
          <w:p>
            <w:pPr>
              <w:autoSpaceDE w:val="0"/>
              <w:autoSpaceDN w:val="0"/>
              <w:jc w:val="center"/>
              <w:rPr>
                <w:rFonts w:ascii="宋体" w:hAnsi="宋体"/>
                <w:color w:val="auto"/>
                <w:sz w:val="24"/>
                <w:szCs w:val="24"/>
              </w:rPr>
            </w:pPr>
          </w:p>
        </w:tc>
        <w:tc>
          <w:tcPr>
            <w:tcW w:w="1417" w:type="dxa"/>
            <w:vAlign w:val="center"/>
          </w:tcPr>
          <w:p>
            <w:pPr>
              <w:autoSpaceDE w:val="0"/>
              <w:autoSpaceDN w:val="0"/>
              <w:jc w:val="center"/>
              <w:rPr>
                <w:rFonts w:ascii="宋体" w:hAnsi="宋体"/>
                <w:color w:val="auto"/>
                <w:sz w:val="24"/>
                <w:szCs w:val="24"/>
              </w:rPr>
            </w:pPr>
          </w:p>
        </w:tc>
        <w:tc>
          <w:tcPr>
            <w:tcW w:w="1314" w:type="dxa"/>
            <w:vAlign w:val="center"/>
          </w:tcPr>
          <w:p>
            <w:pPr>
              <w:autoSpaceDE w:val="0"/>
              <w:autoSpaceDN w:val="0"/>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51" w:type="dxa"/>
            <w:vAlign w:val="center"/>
          </w:tcPr>
          <w:p>
            <w:pPr>
              <w:autoSpaceDE w:val="0"/>
              <w:autoSpaceDN w:val="0"/>
              <w:jc w:val="center"/>
              <w:rPr>
                <w:rFonts w:ascii="宋体" w:hAnsi="宋体"/>
                <w:color w:val="auto"/>
                <w:sz w:val="24"/>
                <w:szCs w:val="24"/>
              </w:rPr>
            </w:pPr>
          </w:p>
        </w:tc>
        <w:tc>
          <w:tcPr>
            <w:tcW w:w="1275" w:type="dxa"/>
            <w:vAlign w:val="center"/>
          </w:tcPr>
          <w:p>
            <w:pPr>
              <w:autoSpaceDE w:val="0"/>
              <w:autoSpaceDN w:val="0"/>
              <w:jc w:val="center"/>
              <w:rPr>
                <w:rFonts w:ascii="宋体" w:hAnsi="宋体"/>
                <w:color w:val="auto"/>
                <w:sz w:val="24"/>
                <w:szCs w:val="24"/>
              </w:rPr>
            </w:pPr>
            <w:r>
              <w:rPr>
                <w:rFonts w:ascii="宋体" w:hAnsi="宋体"/>
                <w:color w:val="auto"/>
                <w:sz w:val="24"/>
                <w:szCs w:val="24"/>
              </w:rPr>
              <w:t>……</w:t>
            </w:r>
          </w:p>
        </w:tc>
        <w:tc>
          <w:tcPr>
            <w:tcW w:w="1134" w:type="dxa"/>
            <w:vAlign w:val="center"/>
          </w:tcPr>
          <w:p>
            <w:pPr>
              <w:autoSpaceDE w:val="0"/>
              <w:autoSpaceDN w:val="0"/>
              <w:jc w:val="center"/>
              <w:rPr>
                <w:rFonts w:ascii="宋体" w:hAnsi="宋体"/>
                <w:color w:val="auto"/>
                <w:sz w:val="24"/>
                <w:szCs w:val="24"/>
              </w:rPr>
            </w:pPr>
          </w:p>
        </w:tc>
        <w:tc>
          <w:tcPr>
            <w:tcW w:w="1505" w:type="dxa"/>
            <w:vAlign w:val="center"/>
          </w:tcPr>
          <w:p>
            <w:pPr>
              <w:autoSpaceDE w:val="0"/>
              <w:autoSpaceDN w:val="0"/>
              <w:jc w:val="center"/>
              <w:rPr>
                <w:rFonts w:ascii="宋体" w:hAnsi="宋体"/>
                <w:color w:val="auto"/>
                <w:sz w:val="24"/>
                <w:szCs w:val="24"/>
              </w:rPr>
            </w:pPr>
          </w:p>
        </w:tc>
        <w:tc>
          <w:tcPr>
            <w:tcW w:w="1614" w:type="dxa"/>
            <w:vAlign w:val="center"/>
          </w:tcPr>
          <w:p>
            <w:pPr>
              <w:autoSpaceDE w:val="0"/>
              <w:autoSpaceDN w:val="0"/>
              <w:jc w:val="center"/>
              <w:rPr>
                <w:rFonts w:ascii="宋体" w:hAnsi="宋体"/>
                <w:color w:val="auto"/>
                <w:sz w:val="24"/>
                <w:szCs w:val="24"/>
              </w:rPr>
            </w:pPr>
          </w:p>
        </w:tc>
        <w:tc>
          <w:tcPr>
            <w:tcW w:w="1417" w:type="dxa"/>
            <w:vAlign w:val="center"/>
          </w:tcPr>
          <w:p>
            <w:pPr>
              <w:autoSpaceDE w:val="0"/>
              <w:autoSpaceDN w:val="0"/>
              <w:jc w:val="center"/>
              <w:rPr>
                <w:rFonts w:ascii="宋体" w:hAnsi="宋体"/>
                <w:color w:val="auto"/>
                <w:sz w:val="24"/>
                <w:szCs w:val="24"/>
              </w:rPr>
            </w:pPr>
          </w:p>
        </w:tc>
        <w:tc>
          <w:tcPr>
            <w:tcW w:w="1314" w:type="dxa"/>
            <w:vAlign w:val="center"/>
          </w:tcPr>
          <w:p>
            <w:pPr>
              <w:autoSpaceDE w:val="0"/>
              <w:autoSpaceDN w:val="0"/>
              <w:jc w:val="center"/>
              <w:rPr>
                <w:rFonts w:ascii="宋体" w:hAnsi="宋体"/>
                <w:color w:val="auto"/>
                <w:sz w:val="24"/>
                <w:szCs w:val="24"/>
              </w:rPr>
            </w:pPr>
          </w:p>
        </w:tc>
      </w:tr>
    </w:tbl>
    <w:p>
      <w:pPr>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投标人名称（加盖公章）：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投标人法定代表人或授权代表（签字或盖章）：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日期：</w:t>
      </w:r>
      <w:r>
        <w:rPr>
          <w:rFonts w:hint="eastAsia" w:ascii="宋体" w:hAnsi="宋体"/>
          <w:color w:val="auto"/>
          <w:sz w:val="24"/>
          <w:szCs w:val="24"/>
          <w:u w:val="single"/>
        </w:rPr>
        <w:t xml:space="preserve">        </w:t>
      </w:r>
      <w:r>
        <w:rPr>
          <w:rFonts w:hint="eastAsia" w:ascii="宋体" w:hAnsi="宋体"/>
          <w:color w:val="auto"/>
          <w:sz w:val="24"/>
          <w:szCs w:val="24"/>
        </w:rPr>
        <w:t>年</w:t>
      </w:r>
      <w:r>
        <w:rPr>
          <w:rFonts w:hint="eastAsia" w:ascii="宋体" w:hAnsi="宋体"/>
          <w:color w:val="auto"/>
          <w:sz w:val="24"/>
          <w:szCs w:val="24"/>
          <w:u w:val="single"/>
        </w:rPr>
        <w:t xml:space="preserve">    </w:t>
      </w:r>
      <w:r>
        <w:rPr>
          <w:rFonts w:hint="eastAsia" w:ascii="宋体" w:hAnsi="宋体"/>
          <w:color w:val="auto"/>
          <w:sz w:val="24"/>
          <w:szCs w:val="24"/>
        </w:rPr>
        <w:t>月</w:t>
      </w:r>
      <w:r>
        <w:rPr>
          <w:rFonts w:hint="eastAsia" w:ascii="宋体" w:hAnsi="宋体"/>
          <w:color w:val="auto"/>
          <w:sz w:val="24"/>
          <w:szCs w:val="24"/>
          <w:u w:val="single"/>
        </w:rPr>
        <w:t xml:space="preserve">    </w:t>
      </w:r>
      <w:r>
        <w:rPr>
          <w:rFonts w:hint="eastAsia" w:ascii="宋体" w:hAnsi="宋体"/>
          <w:color w:val="auto"/>
          <w:sz w:val="24"/>
          <w:szCs w:val="24"/>
        </w:rPr>
        <w:t>日</w:t>
      </w:r>
    </w:p>
    <w:p>
      <w:pPr>
        <w:spacing w:line="360" w:lineRule="auto"/>
        <w:rPr>
          <w:rFonts w:ascii="宋体" w:hAnsi="宋体"/>
          <w:b/>
          <w:color w:val="auto"/>
          <w:sz w:val="24"/>
          <w:szCs w:val="24"/>
        </w:rPr>
      </w:pPr>
    </w:p>
    <w:p>
      <w:pPr>
        <w:rPr>
          <w:rFonts w:ascii="宋体" w:hAnsi="宋体"/>
          <w:b/>
          <w:color w:val="auto"/>
          <w:sz w:val="24"/>
          <w:szCs w:val="24"/>
        </w:rPr>
      </w:pPr>
      <w:r>
        <w:rPr>
          <w:rFonts w:hint="eastAsia" w:ascii="宋体" w:hAnsi="宋体"/>
          <w:b/>
          <w:color w:val="auto"/>
          <w:sz w:val="24"/>
          <w:szCs w:val="24"/>
        </w:rPr>
        <w:t>备注：</w:t>
      </w:r>
    </w:p>
    <w:p>
      <w:pPr>
        <w:ind w:firstLine="480" w:firstLineChars="200"/>
        <w:rPr>
          <w:rFonts w:ascii="宋体" w:hAnsi="宋体"/>
          <w:color w:val="auto"/>
          <w:sz w:val="24"/>
          <w:szCs w:val="24"/>
        </w:rPr>
      </w:pPr>
      <w:r>
        <w:rPr>
          <w:rFonts w:hint="eastAsia" w:ascii="宋体" w:hAnsi="宋体"/>
          <w:color w:val="auto"/>
          <w:sz w:val="24"/>
          <w:szCs w:val="24"/>
        </w:rPr>
        <w:t>1.投标人应如实填写类似项目业绩，不得弄虚作假；</w:t>
      </w:r>
    </w:p>
    <w:p>
      <w:pPr>
        <w:ind w:firstLine="480" w:firstLineChars="200"/>
        <w:rPr>
          <w:rFonts w:ascii="宋体" w:hAnsi="宋体"/>
          <w:color w:val="auto"/>
          <w:sz w:val="24"/>
          <w:szCs w:val="24"/>
        </w:rPr>
      </w:pPr>
      <w:r>
        <w:rPr>
          <w:rFonts w:hint="eastAsia" w:ascii="宋体" w:hAnsi="宋体"/>
          <w:color w:val="auto"/>
          <w:sz w:val="24"/>
          <w:szCs w:val="24"/>
        </w:rPr>
        <w:t>2.如果投标人有类似项目业绩，请在上表后附业绩的相关材料（</w:t>
      </w:r>
      <w:r>
        <w:rPr>
          <w:rFonts w:hint="eastAsia" w:ascii="宋体" w:hAnsi="宋体"/>
          <w:b/>
          <w:color w:val="auto"/>
          <w:sz w:val="24"/>
          <w:szCs w:val="24"/>
        </w:rPr>
        <w:t>如评分表中对相关材料作出要求的，按其要求提供</w:t>
      </w:r>
      <w:r>
        <w:rPr>
          <w:rFonts w:hint="eastAsia" w:ascii="宋体" w:hAnsi="宋体"/>
          <w:color w:val="auto"/>
          <w:sz w:val="24"/>
          <w:szCs w:val="24"/>
        </w:rPr>
        <w:t>；如评分表中未对相关材料作出要求的，提供反映业绩各方当事人名称、合同金额、合同签订时间及当事人盖章签署等合同关键页及验收报告或业主验收证明等）；</w:t>
      </w:r>
    </w:p>
    <w:p>
      <w:pPr>
        <w:ind w:firstLine="480" w:firstLineChars="200"/>
        <w:rPr>
          <w:rFonts w:ascii="宋体" w:hAnsi="宋体"/>
          <w:color w:val="auto"/>
          <w:sz w:val="24"/>
          <w:szCs w:val="24"/>
        </w:rPr>
      </w:pPr>
      <w:r>
        <w:rPr>
          <w:rFonts w:hint="eastAsia" w:ascii="宋体" w:hAnsi="宋体"/>
          <w:color w:val="auto"/>
          <w:sz w:val="24"/>
          <w:szCs w:val="24"/>
        </w:rPr>
        <w:t>3.如果投标人没有类似项目业绩，请在上表正文内容第一行填写“无类似项目业绩”。</w:t>
      </w:r>
    </w:p>
    <w:p>
      <w:pPr>
        <w:ind w:firstLine="480" w:firstLineChars="200"/>
        <w:rPr>
          <w:rFonts w:ascii="宋体" w:hAnsi="宋体"/>
          <w:color w:val="auto"/>
          <w:sz w:val="24"/>
          <w:szCs w:val="24"/>
        </w:rPr>
      </w:pPr>
      <w:r>
        <w:rPr>
          <w:rFonts w:hint="eastAsia" w:ascii="宋体" w:hAnsi="宋体"/>
          <w:color w:val="auto"/>
          <w:sz w:val="24"/>
          <w:szCs w:val="24"/>
        </w:rPr>
        <w:t>4.分支机构投标的，除非招标文件另有规定，认可总公司（总所）的类似项目业绩。</w:t>
      </w: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pStyle w:val="6"/>
        <w:numPr>
          <w:ilvl w:val="1"/>
          <w:numId w:val="99"/>
        </w:numPr>
        <w:tabs>
          <w:tab w:val="left" w:pos="945"/>
        </w:tabs>
        <w:ind w:left="0" w:firstLine="0"/>
        <w:rPr>
          <w:rFonts w:ascii="宋体" w:hAnsi="宋体"/>
          <w:color w:val="auto"/>
          <w:szCs w:val="24"/>
        </w:rPr>
      </w:pPr>
      <w:bookmarkStart w:id="455" w:name="_Toc22806236"/>
      <w:r>
        <w:rPr>
          <w:rFonts w:hint="eastAsia" w:ascii="宋体" w:hAnsi="宋体"/>
          <w:color w:val="auto"/>
          <w:szCs w:val="24"/>
        </w:rPr>
        <w:t>获得的荣誉、资信、认证情况（如有）</w:t>
      </w:r>
      <w:bookmarkEnd w:id="455"/>
    </w:p>
    <w:p>
      <w:pPr>
        <w:autoSpaceDE w:val="0"/>
        <w:autoSpaceDN w:val="0"/>
        <w:spacing w:line="360" w:lineRule="auto"/>
        <w:jc w:val="center"/>
        <w:rPr>
          <w:rFonts w:ascii="宋体" w:hAnsi="宋体"/>
          <w:b/>
          <w:color w:val="auto"/>
          <w:sz w:val="32"/>
          <w:szCs w:val="32"/>
        </w:rPr>
      </w:pPr>
      <w:r>
        <w:rPr>
          <w:rFonts w:hint="eastAsia" w:ascii="宋体" w:hAnsi="宋体"/>
          <w:b/>
          <w:color w:val="auto"/>
          <w:sz w:val="32"/>
          <w:szCs w:val="32"/>
        </w:rPr>
        <w:t>获得的荣誉、资信、认证情况</w:t>
      </w:r>
    </w:p>
    <w:p>
      <w:pPr>
        <w:spacing w:line="360" w:lineRule="auto"/>
        <w:ind w:left="809" w:hanging="808" w:hangingChars="337"/>
        <w:rPr>
          <w:rFonts w:hint="eastAsia" w:ascii="宋体" w:hAnsi="宋体" w:eastAsia="宋体"/>
          <w:color w:val="auto"/>
          <w:sz w:val="24"/>
          <w:szCs w:val="24"/>
          <w:lang w:eastAsia="zh-CN"/>
        </w:rPr>
      </w:pPr>
      <w:r>
        <w:rPr>
          <w:rFonts w:hint="eastAsia" w:ascii="宋体" w:hAnsi="宋体"/>
          <w:color w:val="auto"/>
          <w:sz w:val="24"/>
          <w:szCs w:val="24"/>
        </w:rPr>
        <w:t>采购项目名称：</w:t>
      </w:r>
      <w:r>
        <w:rPr>
          <w:rFonts w:hint="eastAsia" w:ascii="宋体" w:hAnsi="宋体"/>
          <w:color w:val="auto"/>
          <w:sz w:val="24"/>
          <w:szCs w:val="24"/>
          <w:lang w:eastAsia="zh-CN"/>
        </w:rPr>
        <w:t>工业和信息化部电子第五研究所动力电池配套使用环境试验箱采购项目</w:t>
      </w:r>
    </w:p>
    <w:p>
      <w:pPr>
        <w:spacing w:line="360" w:lineRule="auto"/>
        <w:ind w:left="809" w:hanging="808" w:hangingChars="337"/>
        <w:rPr>
          <w:rFonts w:ascii="宋体" w:hAnsi="宋体"/>
          <w:color w:val="auto"/>
          <w:sz w:val="24"/>
          <w:szCs w:val="24"/>
        </w:rPr>
      </w:pPr>
      <w:r>
        <w:rPr>
          <w:rFonts w:hint="eastAsia" w:ascii="宋体" w:hAnsi="宋体"/>
          <w:color w:val="auto"/>
          <w:sz w:val="24"/>
          <w:szCs w:val="24"/>
        </w:rPr>
        <w:t>采购包号：</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2552"/>
        <w:gridCol w:w="2087"/>
        <w:gridCol w:w="1598"/>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颁发日期</w:t>
            </w:r>
          </w:p>
        </w:tc>
        <w:tc>
          <w:tcPr>
            <w:tcW w:w="2552"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名称</w:t>
            </w:r>
          </w:p>
        </w:tc>
        <w:tc>
          <w:tcPr>
            <w:tcW w:w="2087"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颁发机构</w:t>
            </w:r>
          </w:p>
        </w:tc>
        <w:tc>
          <w:tcPr>
            <w:tcW w:w="1598"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等级（如有）</w:t>
            </w:r>
          </w:p>
        </w:tc>
        <w:tc>
          <w:tcPr>
            <w:tcW w:w="1134"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 xml:space="preserve">    年  月  日</w:t>
            </w:r>
          </w:p>
        </w:tc>
        <w:tc>
          <w:tcPr>
            <w:tcW w:w="2552" w:type="dxa"/>
            <w:vAlign w:val="center"/>
          </w:tcPr>
          <w:p>
            <w:pPr>
              <w:autoSpaceDE w:val="0"/>
              <w:autoSpaceDN w:val="0"/>
              <w:spacing w:line="360" w:lineRule="auto"/>
              <w:jc w:val="center"/>
              <w:rPr>
                <w:rFonts w:ascii="宋体" w:hAnsi="宋体"/>
                <w:color w:val="auto"/>
                <w:sz w:val="24"/>
                <w:szCs w:val="24"/>
              </w:rPr>
            </w:pPr>
          </w:p>
        </w:tc>
        <w:tc>
          <w:tcPr>
            <w:tcW w:w="2087" w:type="dxa"/>
            <w:vAlign w:val="center"/>
          </w:tcPr>
          <w:p>
            <w:pPr>
              <w:autoSpaceDE w:val="0"/>
              <w:autoSpaceDN w:val="0"/>
              <w:spacing w:line="360" w:lineRule="auto"/>
              <w:jc w:val="center"/>
              <w:rPr>
                <w:rFonts w:ascii="宋体" w:hAnsi="宋体"/>
                <w:color w:val="auto"/>
                <w:sz w:val="24"/>
                <w:szCs w:val="24"/>
              </w:rPr>
            </w:pPr>
          </w:p>
        </w:tc>
        <w:tc>
          <w:tcPr>
            <w:tcW w:w="1598" w:type="dxa"/>
            <w:vAlign w:val="center"/>
          </w:tcPr>
          <w:p>
            <w:pPr>
              <w:autoSpaceDE w:val="0"/>
              <w:autoSpaceDN w:val="0"/>
              <w:spacing w:line="360" w:lineRule="auto"/>
              <w:jc w:val="center"/>
              <w:rPr>
                <w:rFonts w:ascii="宋体" w:hAnsi="宋体"/>
                <w:color w:val="auto"/>
                <w:sz w:val="24"/>
                <w:szCs w:val="24"/>
              </w:rPr>
            </w:pPr>
          </w:p>
        </w:tc>
        <w:tc>
          <w:tcPr>
            <w:tcW w:w="1134" w:type="dxa"/>
            <w:vAlign w:val="center"/>
          </w:tcPr>
          <w:p>
            <w:pPr>
              <w:autoSpaceDE w:val="0"/>
              <w:autoSpaceDN w:val="0"/>
              <w:spacing w:line="360" w:lineRule="auto"/>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 xml:space="preserve">    年  月  日</w:t>
            </w:r>
          </w:p>
        </w:tc>
        <w:tc>
          <w:tcPr>
            <w:tcW w:w="2552" w:type="dxa"/>
            <w:vAlign w:val="center"/>
          </w:tcPr>
          <w:p>
            <w:pPr>
              <w:autoSpaceDE w:val="0"/>
              <w:autoSpaceDN w:val="0"/>
              <w:spacing w:line="360" w:lineRule="auto"/>
              <w:jc w:val="center"/>
              <w:rPr>
                <w:rFonts w:ascii="宋体" w:hAnsi="宋体"/>
                <w:color w:val="auto"/>
                <w:sz w:val="24"/>
                <w:szCs w:val="24"/>
              </w:rPr>
            </w:pPr>
          </w:p>
        </w:tc>
        <w:tc>
          <w:tcPr>
            <w:tcW w:w="2087" w:type="dxa"/>
            <w:vAlign w:val="center"/>
          </w:tcPr>
          <w:p>
            <w:pPr>
              <w:autoSpaceDE w:val="0"/>
              <w:autoSpaceDN w:val="0"/>
              <w:spacing w:line="360" w:lineRule="auto"/>
              <w:jc w:val="center"/>
              <w:rPr>
                <w:rFonts w:ascii="宋体" w:hAnsi="宋体"/>
                <w:color w:val="auto"/>
                <w:sz w:val="24"/>
                <w:szCs w:val="24"/>
              </w:rPr>
            </w:pPr>
          </w:p>
        </w:tc>
        <w:tc>
          <w:tcPr>
            <w:tcW w:w="1598" w:type="dxa"/>
            <w:vAlign w:val="center"/>
          </w:tcPr>
          <w:p>
            <w:pPr>
              <w:autoSpaceDE w:val="0"/>
              <w:autoSpaceDN w:val="0"/>
              <w:spacing w:line="360" w:lineRule="auto"/>
              <w:jc w:val="center"/>
              <w:rPr>
                <w:rFonts w:ascii="宋体" w:hAnsi="宋体"/>
                <w:color w:val="auto"/>
                <w:sz w:val="24"/>
                <w:szCs w:val="24"/>
              </w:rPr>
            </w:pPr>
          </w:p>
        </w:tc>
        <w:tc>
          <w:tcPr>
            <w:tcW w:w="1134" w:type="dxa"/>
            <w:vAlign w:val="center"/>
          </w:tcPr>
          <w:p>
            <w:pPr>
              <w:autoSpaceDE w:val="0"/>
              <w:autoSpaceDN w:val="0"/>
              <w:spacing w:line="360" w:lineRule="auto"/>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 xml:space="preserve">    年  月  日</w:t>
            </w:r>
          </w:p>
        </w:tc>
        <w:tc>
          <w:tcPr>
            <w:tcW w:w="2552" w:type="dxa"/>
            <w:vAlign w:val="center"/>
          </w:tcPr>
          <w:p>
            <w:pPr>
              <w:autoSpaceDE w:val="0"/>
              <w:autoSpaceDN w:val="0"/>
              <w:spacing w:line="360" w:lineRule="auto"/>
              <w:jc w:val="center"/>
              <w:rPr>
                <w:rFonts w:ascii="宋体" w:hAnsi="宋体"/>
                <w:color w:val="auto"/>
                <w:sz w:val="24"/>
                <w:szCs w:val="24"/>
              </w:rPr>
            </w:pPr>
          </w:p>
        </w:tc>
        <w:tc>
          <w:tcPr>
            <w:tcW w:w="2087" w:type="dxa"/>
            <w:vAlign w:val="center"/>
          </w:tcPr>
          <w:p>
            <w:pPr>
              <w:autoSpaceDE w:val="0"/>
              <w:autoSpaceDN w:val="0"/>
              <w:spacing w:line="360" w:lineRule="auto"/>
              <w:jc w:val="center"/>
              <w:rPr>
                <w:rFonts w:ascii="宋体" w:hAnsi="宋体"/>
                <w:color w:val="auto"/>
                <w:sz w:val="24"/>
                <w:szCs w:val="24"/>
              </w:rPr>
            </w:pPr>
          </w:p>
        </w:tc>
        <w:tc>
          <w:tcPr>
            <w:tcW w:w="1598" w:type="dxa"/>
            <w:vAlign w:val="center"/>
          </w:tcPr>
          <w:p>
            <w:pPr>
              <w:autoSpaceDE w:val="0"/>
              <w:autoSpaceDN w:val="0"/>
              <w:spacing w:line="360" w:lineRule="auto"/>
              <w:jc w:val="center"/>
              <w:rPr>
                <w:rFonts w:ascii="宋体" w:hAnsi="宋体"/>
                <w:color w:val="auto"/>
                <w:sz w:val="24"/>
                <w:szCs w:val="24"/>
              </w:rPr>
            </w:pPr>
          </w:p>
        </w:tc>
        <w:tc>
          <w:tcPr>
            <w:tcW w:w="1134" w:type="dxa"/>
            <w:vAlign w:val="center"/>
          </w:tcPr>
          <w:p>
            <w:pPr>
              <w:autoSpaceDE w:val="0"/>
              <w:autoSpaceDN w:val="0"/>
              <w:spacing w:line="360" w:lineRule="auto"/>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 xml:space="preserve">    年  月  日</w:t>
            </w:r>
          </w:p>
        </w:tc>
        <w:tc>
          <w:tcPr>
            <w:tcW w:w="2552" w:type="dxa"/>
            <w:vAlign w:val="center"/>
          </w:tcPr>
          <w:p>
            <w:pPr>
              <w:autoSpaceDE w:val="0"/>
              <w:autoSpaceDN w:val="0"/>
              <w:spacing w:line="360" w:lineRule="auto"/>
              <w:jc w:val="center"/>
              <w:rPr>
                <w:rFonts w:ascii="宋体" w:hAnsi="宋体"/>
                <w:color w:val="auto"/>
                <w:sz w:val="24"/>
                <w:szCs w:val="24"/>
              </w:rPr>
            </w:pPr>
          </w:p>
        </w:tc>
        <w:tc>
          <w:tcPr>
            <w:tcW w:w="2087" w:type="dxa"/>
            <w:vAlign w:val="center"/>
          </w:tcPr>
          <w:p>
            <w:pPr>
              <w:autoSpaceDE w:val="0"/>
              <w:autoSpaceDN w:val="0"/>
              <w:spacing w:line="360" w:lineRule="auto"/>
              <w:jc w:val="center"/>
              <w:rPr>
                <w:rFonts w:ascii="宋体" w:hAnsi="宋体"/>
                <w:color w:val="auto"/>
                <w:sz w:val="24"/>
                <w:szCs w:val="24"/>
              </w:rPr>
            </w:pPr>
          </w:p>
        </w:tc>
        <w:tc>
          <w:tcPr>
            <w:tcW w:w="1598" w:type="dxa"/>
            <w:vAlign w:val="center"/>
          </w:tcPr>
          <w:p>
            <w:pPr>
              <w:autoSpaceDE w:val="0"/>
              <w:autoSpaceDN w:val="0"/>
              <w:spacing w:line="360" w:lineRule="auto"/>
              <w:jc w:val="center"/>
              <w:rPr>
                <w:rFonts w:ascii="宋体" w:hAnsi="宋体"/>
                <w:color w:val="auto"/>
                <w:sz w:val="24"/>
                <w:szCs w:val="24"/>
              </w:rPr>
            </w:pPr>
          </w:p>
        </w:tc>
        <w:tc>
          <w:tcPr>
            <w:tcW w:w="1134" w:type="dxa"/>
            <w:vAlign w:val="center"/>
          </w:tcPr>
          <w:p>
            <w:pPr>
              <w:autoSpaceDE w:val="0"/>
              <w:autoSpaceDN w:val="0"/>
              <w:spacing w:line="360" w:lineRule="auto"/>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vAlign w:val="center"/>
          </w:tcPr>
          <w:p>
            <w:pPr>
              <w:autoSpaceDE w:val="0"/>
              <w:autoSpaceDN w:val="0"/>
              <w:spacing w:line="360" w:lineRule="auto"/>
              <w:jc w:val="center"/>
              <w:rPr>
                <w:rFonts w:ascii="宋体" w:hAnsi="宋体"/>
                <w:color w:val="auto"/>
                <w:sz w:val="24"/>
                <w:szCs w:val="24"/>
              </w:rPr>
            </w:pPr>
            <w:r>
              <w:rPr>
                <w:rFonts w:ascii="宋体" w:hAnsi="宋体"/>
                <w:color w:val="auto"/>
                <w:sz w:val="24"/>
                <w:szCs w:val="24"/>
              </w:rPr>
              <w:t>……</w:t>
            </w:r>
          </w:p>
        </w:tc>
        <w:tc>
          <w:tcPr>
            <w:tcW w:w="2552" w:type="dxa"/>
            <w:vAlign w:val="center"/>
          </w:tcPr>
          <w:p>
            <w:pPr>
              <w:autoSpaceDE w:val="0"/>
              <w:autoSpaceDN w:val="0"/>
              <w:spacing w:line="360" w:lineRule="auto"/>
              <w:jc w:val="center"/>
              <w:rPr>
                <w:rFonts w:ascii="宋体" w:hAnsi="宋体"/>
                <w:color w:val="auto"/>
                <w:sz w:val="24"/>
                <w:szCs w:val="24"/>
              </w:rPr>
            </w:pPr>
          </w:p>
        </w:tc>
        <w:tc>
          <w:tcPr>
            <w:tcW w:w="2087" w:type="dxa"/>
            <w:vAlign w:val="center"/>
          </w:tcPr>
          <w:p>
            <w:pPr>
              <w:autoSpaceDE w:val="0"/>
              <w:autoSpaceDN w:val="0"/>
              <w:spacing w:line="360" w:lineRule="auto"/>
              <w:jc w:val="center"/>
              <w:rPr>
                <w:rFonts w:ascii="宋体" w:hAnsi="宋体"/>
                <w:color w:val="auto"/>
                <w:sz w:val="24"/>
                <w:szCs w:val="24"/>
              </w:rPr>
            </w:pPr>
          </w:p>
        </w:tc>
        <w:tc>
          <w:tcPr>
            <w:tcW w:w="1598" w:type="dxa"/>
            <w:vAlign w:val="center"/>
          </w:tcPr>
          <w:p>
            <w:pPr>
              <w:autoSpaceDE w:val="0"/>
              <w:autoSpaceDN w:val="0"/>
              <w:spacing w:line="360" w:lineRule="auto"/>
              <w:jc w:val="center"/>
              <w:rPr>
                <w:rFonts w:ascii="宋体" w:hAnsi="宋体"/>
                <w:color w:val="auto"/>
                <w:sz w:val="24"/>
                <w:szCs w:val="24"/>
              </w:rPr>
            </w:pPr>
          </w:p>
        </w:tc>
        <w:tc>
          <w:tcPr>
            <w:tcW w:w="1134" w:type="dxa"/>
            <w:vAlign w:val="center"/>
          </w:tcPr>
          <w:p>
            <w:pPr>
              <w:autoSpaceDE w:val="0"/>
              <w:autoSpaceDN w:val="0"/>
              <w:spacing w:line="360" w:lineRule="auto"/>
              <w:jc w:val="center"/>
              <w:rPr>
                <w:rFonts w:ascii="宋体" w:hAnsi="宋体"/>
                <w:color w:val="auto"/>
                <w:sz w:val="24"/>
                <w:szCs w:val="24"/>
              </w:rPr>
            </w:pPr>
          </w:p>
        </w:tc>
      </w:tr>
    </w:tbl>
    <w:p>
      <w:pPr>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投标人名称（加盖公章）：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投标人法定代表人或授权代表（签字或盖章）：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日期：</w:t>
      </w:r>
      <w:r>
        <w:rPr>
          <w:rFonts w:hint="eastAsia" w:ascii="宋体" w:hAnsi="宋体"/>
          <w:color w:val="auto"/>
          <w:sz w:val="24"/>
          <w:szCs w:val="24"/>
          <w:u w:val="single"/>
        </w:rPr>
        <w:t xml:space="preserve">        </w:t>
      </w:r>
      <w:r>
        <w:rPr>
          <w:rFonts w:hint="eastAsia" w:ascii="宋体" w:hAnsi="宋体"/>
          <w:color w:val="auto"/>
          <w:sz w:val="24"/>
          <w:szCs w:val="24"/>
        </w:rPr>
        <w:t>年</w:t>
      </w:r>
      <w:r>
        <w:rPr>
          <w:rFonts w:hint="eastAsia" w:ascii="宋体" w:hAnsi="宋体"/>
          <w:color w:val="auto"/>
          <w:sz w:val="24"/>
          <w:szCs w:val="24"/>
          <w:u w:val="single"/>
        </w:rPr>
        <w:t xml:space="preserve">    </w:t>
      </w:r>
      <w:r>
        <w:rPr>
          <w:rFonts w:hint="eastAsia" w:ascii="宋体" w:hAnsi="宋体"/>
          <w:color w:val="auto"/>
          <w:sz w:val="24"/>
          <w:szCs w:val="24"/>
        </w:rPr>
        <w:t>月</w:t>
      </w:r>
      <w:r>
        <w:rPr>
          <w:rFonts w:hint="eastAsia" w:ascii="宋体" w:hAnsi="宋体"/>
          <w:color w:val="auto"/>
          <w:sz w:val="24"/>
          <w:szCs w:val="24"/>
          <w:u w:val="single"/>
        </w:rPr>
        <w:t xml:space="preserve">    </w:t>
      </w:r>
      <w:r>
        <w:rPr>
          <w:rFonts w:hint="eastAsia" w:ascii="宋体" w:hAnsi="宋体"/>
          <w:color w:val="auto"/>
          <w:sz w:val="24"/>
          <w:szCs w:val="24"/>
        </w:rPr>
        <w:t>日</w:t>
      </w:r>
    </w:p>
    <w:p>
      <w:pPr>
        <w:rPr>
          <w:rFonts w:ascii="宋体" w:hAnsi="宋体"/>
          <w:b/>
          <w:color w:val="auto"/>
          <w:sz w:val="24"/>
          <w:szCs w:val="24"/>
        </w:rPr>
      </w:pPr>
    </w:p>
    <w:p>
      <w:pPr>
        <w:rPr>
          <w:rFonts w:ascii="宋体" w:hAnsi="宋体"/>
          <w:b/>
          <w:color w:val="auto"/>
          <w:sz w:val="24"/>
          <w:szCs w:val="24"/>
        </w:rPr>
      </w:pPr>
      <w:r>
        <w:rPr>
          <w:rFonts w:hint="eastAsia" w:ascii="宋体" w:hAnsi="宋体"/>
          <w:b/>
          <w:color w:val="auto"/>
          <w:sz w:val="24"/>
          <w:szCs w:val="24"/>
        </w:rPr>
        <w:t>备注：</w:t>
      </w:r>
    </w:p>
    <w:p>
      <w:pPr>
        <w:ind w:firstLine="480" w:firstLineChars="200"/>
        <w:rPr>
          <w:rFonts w:ascii="宋体" w:hAnsi="宋体"/>
          <w:color w:val="auto"/>
          <w:sz w:val="24"/>
          <w:szCs w:val="24"/>
        </w:rPr>
      </w:pPr>
      <w:r>
        <w:rPr>
          <w:rFonts w:hint="eastAsia" w:ascii="宋体" w:hAnsi="宋体"/>
          <w:color w:val="auto"/>
          <w:sz w:val="24"/>
          <w:szCs w:val="24"/>
        </w:rPr>
        <w:t>1.投标人应如实填写获得的荣誉、资信、认证（资质）情况（</w:t>
      </w:r>
      <w:r>
        <w:rPr>
          <w:rFonts w:hint="eastAsia" w:ascii="宋体" w:hAnsi="宋体"/>
          <w:b/>
          <w:color w:val="auto"/>
          <w:sz w:val="24"/>
          <w:szCs w:val="24"/>
        </w:rPr>
        <w:t>或根据资格条件和评分因素对应内容的要求填写</w:t>
      </w:r>
      <w:r>
        <w:rPr>
          <w:rFonts w:hint="eastAsia" w:ascii="宋体" w:hAnsi="宋体"/>
          <w:color w:val="auto"/>
          <w:sz w:val="24"/>
          <w:szCs w:val="24"/>
        </w:rPr>
        <w:t>），不得弄虚作假；</w:t>
      </w:r>
    </w:p>
    <w:p>
      <w:pPr>
        <w:ind w:firstLine="480" w:firstLineChars="200"/>
        <w:rPr>
          <w:rFonts w:ascii="宋体" w:hAnsi="宋体"/>
          <w:color w:val="auto"/>
          <w:sz w:val="24"/>
          <w:szCs w:val="24"/>
        </w:rPr>
      </w:pPr>
      <w:r>
        <w:rPr>
          <w:rFonts w:hint="eastAsia" w:ascii="宋体" w:hAnsi="宋体"/>
          <w:color w:val="auto"/>
          <w:sz w:val="24"/>
          <w:szCs w:val="24"/>
        </w:rPr>
        <w:t>2.如果投标人获得过任何荣誉、资信、认证，请在上表后附荣誉、资信、认证的相关材料；</w:t>
      </w:r>
    </w:p>
    <w:p>
      <w:pPr>
        <w:ind w:firstLine="480" w:firstLineChars="200"/>
        <w:rPr>
          <w:rFonts w:ascii="宋体" w:hAnsi="宋体"/>
          <w:color w:val="auto"/>
          <w:sz w:val="24"/>
          <w:szCs w:val="24"/>
        </w:rPr>
      </w:pPr>
      <w:r>
        <w:rPr>
          <w:rFonts w:hint="eastAsia" w:ascii="宋体" w:hAnsi="宋体"/>
          <w:color w:val="auto"/>
          <w:sz w:val="24"/>
          <w:szCs w:val="24"/>
        </w:rPr>
        <w:t>3.如果投标人未获得过任何荣誉、资信、认证，请在上表正文内容第一行填写“无荣誉、资信、认证情况”。</w:t>
      </w:r>
    </w:p>
    <w:p>
      <w:pPr>
        <w:ind w:firstLine="480" w:firstLineChars="200"/>
        <w:rPr>
          <w:rFonts w:ascii="宋体" w:hAnsi="宋体"/>
          <w:color w:val="auto"/>
          <w:sz w:val="24"/>
          <w:szCs w:val="24"/>
        </w:rPr>
      </w:pPr>
      <w:r>
        <w:rPr>
          <w:rFonts w:hint="eastAsia" w:ascii="宋体" w:hAnsi="宋体"/>
          <w:color w:val="auto"/>
          <w:sz w:val="24"/>
          <w:szCs w:val="24"/>
        </w:rPr>
        <w:t>4.分支机构投标的，除非招标文件另有规定，认可总公司（总所）的荣誉、资信、认证情况。</w:t>
      </w: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pStyle w:val="5"/>
        <w:numPr>
          <w:ilvl w:val="0"/>
          <w:numId w:val="99"/>
        </w:numPr>
        <w:tabs>
          <w:tab w:val="left" w:pos="945"/>
        </w:tabs>
        <w:spacing w:before="0" w:after="0" w:line="360" w:lineRule="auto"/>
        <w:ind w:left="0" w:firstLine="0"/>
        <w:rPr>
          <w:color w:val="auto"/>
          <w:sz w:val="28"/>
          <w:szCs w:val="28"/>
        </w:rPr>
      </w:pPr>
      <w:bookmarkStart w:id="456" w:name="_Toc22806240"/>
      <w:bookmarkStart w:id="457" w:name="_Toc4918"/>
      <w:bookmarkStart w:id="458" w:name="_Toc54335492"/>
      <w:r>
        <w:rPr>
          <w:rFonts w:hint="eastAsia"/>
          <w:color w:val="auto"/>
          <w:sz w:val="28"/>
          <w:szCs w:val="28"/>
        </w:rPr>
        <w:t>《商务评审表》各评审因素响应情况及相关证明材料</w:t>
      </w:r>
      <w:bookmarkEnd w:id="456"/>
      <w:r>
        <w:rPr>
          <w:rFonts w:hint="eastAsia"/>
          <w:color w:val="auto"/>
          <w:sz w:val="28"/>
          <w:szCs w:val="28"/>
        </w:rPr>
        <w:t>（如有）</w:t>
      </w:r>
      <w:bookmarkEnd w:id="457"/>
      <w:bookmarkEnd w:id="458"/>
    </w:p>
    <w:p>
      <w:pPr>
        <w:spacing w:line="360" w:lineRule="auto"/>
        <w:ind w:left="1083" w:hanging="1078" w:hangingChars="337"/>
        <w:jc w:val="center"/>
        <w:rPr>
          <w:rFonts w:ascii="宋体" w:hAnsi="宋体"/>
          <w:b/>
          <w:color w:val="auto"/>
          <w:sz w:val="32"/>
          <w:szCs w:val="32"/>
        </w:rPr>
      </w:pPr>
      <w:r>
        <w:rPr>
          <w:rFonts w:hint="eastAsia" w:ascii="宋体" w:hAnsi="宋体"/>
          <w:b/>
          <w:color w:val="auto"/>
          <w:sz w:val="32"/>
          <w:szCs w:val="32"/>
        </w:rPr>
        <w:t>《商务评审表》各评审因素响应情况及相关证明材料</w:t>
      </w:r>
    </w:p>
    <w:p>
      <w:pPr>
        <w:autoSpaceDE w:val="0"/>
        <w:autoSpaceDN w:val="0"/>
        <w:spacing w:line="360" w:lineRule="auto"/>
        <w:rPr>
          <w:rFonts w:ascii="宋体" w:hAnsi="宋体"/>
          <w:color w:val="auto"/>
          <w:sz w:val="24"/>
          <w:szCs w:val="24"/>
        </w:rPr>
      </w:pPr>
    </w:p>
    <w:p>
      <w:pPr>
        <w:spacing w:line="360" w:lineRule="auto"/>
        <w:ind w:left="809" w:hanging="808" w:hangingChars="337"/>
        <w:rPr>
          <w:rFonts w:hint="eastAsia" w:ascii="宋体" w:hAnsi="宋体" w:eastAsia="宋体"/>
          <w:color w:val="auto"/>
          <w:sz w:val="24"/>
          <w:szCs w:val="24"/>
          <w:lang w:eastAsia="zh-CN"/>
        </w:rPr>
      </w:pPr>
      <w:r>
        <w:rPr>
          <w:rFonts w:hint="eastAsia" w:ascii="宋体" w:hAnsi="宋体"/>
          <w:color w:val="auto"/>
          <w:sz w:val="24"/>
          <w:szCs w:val="24"/>
        </w:rPr>
        <w:t>采购项目名称：</w:t>
      </w:r>
      <w:r>
        <w:rPr>
          <w:rFonts w:hint="eastAsia" w:ascii="宋体" w:hAnsi="宋体"/>
          <w:color w:val="auto"/>
          <w:sz w:val="24"/>
          <w:szCs w:val="24"/>
          <w:lang w:eastAsia="zh-CN"/>
        </w:rPr>
        <w:t>工业和信息化部电子第五研究所动力电池配套使用环境试验箱采购项目</w:t>
      </w:r>
    </w:p>
    <w:p>
      <w:pPr>
        <w:spacing w:line="360" w:lineRule="auto"/>
        <w:ind w:left="809" w:hanging="808" w:hangingChars="337"/>
        <w:rPr>
          <w:rFonts w:ascii="宋体" w:hAnsi="宋体"/>
          <w:color w:val="auto"/>
          <w:sz w:val="24"/>
          <w:szCs w:val="24"/>
        </w:rPr>
      </w:pPr>
      <w:r>
        <w:rPr>
          <w:rFonts w:hint="eastAsia" w:ascii="宋体" w:hAnsi="宋体"/>
          <w:color w:val="auto"/>
          <w:sz w:val="24"/>
          <w:szCs w:val="24"/>
        </w:rPr>
        <w:t>采购包号：</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165"/>
        <w:gridCol w:w="3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序号</w:t>
            </w:r>
          </w:p>
        </w:tc>
        <w:tc>
          <w:tcPr>
            <w:tcW w:w="5165"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说明事项</w:t>
            </w:r>
          </w:p>
        </w:tc>
        <w:tc>
          <w:tcPr>
            <w:tcW w:w="3181"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证明材料所在页码范围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rPr>
            </w:pPr>
          </w:p>
        </w:tc>
        <w:tc>
          <w:tcPr>
            <w:tcW w:w="5165" w:type="dxa"/>
            <w:vAlign w:val="center"/>
          </w:tcPr>
          <w:p>
            <w:pPr>
              <w:autoSpaceDE w:val="0"/>
              <w:autoSpaceDN w:val="0"/>
              <w:spacing w:line="360" w:lineRule="auto"/>
              <w:jc w:val="center"/>
              <w:rPr>
                <w:rFonts w:ascii="宋体" w:hAnsi="宋体"/>
                <w:color w:val="auto"/>
                <w:sz w:val="24"/>
                <w:szCs w:val="24"/>
              </w:rPr>
            </w:pPr>
          </w:p>
        </w:tc>
        <w:tc>
          <w:tcPr>
            <w:tcW w:w="3181" w:type="dxa"/>
            <w:vAlign w:val="center"/>
          </w:tcPr>
          <w:p>
            <w:pPr>
              <w:autoSpaceDE w:val="0"/>
              <w:autoSpaceDN w:val="0"/>
              <w:spacing w:line="360" w:lineRule="auto"/>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rPr>
            </w:pPr>
          </w:p>
        </w:tc>
        <w:tc>
          <w:tcPr>
            <w:tcW w:w="5165" w:type="dxa"/>
            <w:vAlign w:val="center"/>
          </w:tcPr>
          <w:p>
            <w:pPr>
              <w:autoSpaceDE w:val="0"/>
              <w:autoSpaceDN w:val="0"/>
              <w:spacing w:line="360" w:lineRule="auto"/>
              <w:jc w:val="center"/>
              <w:rPr>
                <w:rFonts w:ascii="宋体" w:hAnsi="宋体"/>
                <w:color w:val="auto"/>
                <w:sz w:val="24"/>
                <w:szCs w:val="24"/>
              </w:rPr>
            </w:pPr>
          </w:p>
        </w:tc>
        <w:tc>
          <w:tcPr>
            <w:tcW w:w="3181" w:type="dxa"/>
            <w:vAlign w:val="center"/>
          </w:tcPr>
          <w:p>
            <w:pPr>
              <w:autoSpaceDE w:val="0"/>
              <w:autoSpaceDN w:val="0"/>
              <w:spacing w:line="360" w:lineRule="auto"/>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rPr>
            </w:pPr>
          </w:p>
        </w:tc>
        <w:tc>
          <w:tcPr>
            <w:tcW w:w="5165" w:type="dxa"/>
            <w:vAlign w:val="center"/>
          </w:tcPr>
          <w:p>
            <w:pPr>
              <w:autoSpaceDE w:val="0"/>
              <w:autoSpaceDN w:val="0"/>
              <w:spacing w:line="360" w:lineRule="auto"/>
              <w:jc w:val="center"/>
              <w:rPr>
                <w:rFonts w:ascii="宋体" w:hAnsi="宋体"/>
                <w:color w:val="auto"/>
                <w:sz w:val="24"/>
                <w:szCs w:val="24"/>
              </w:rPr>
            </w:pPr>
          </w:p>
        </w:tc>
        <w:tc>
          <w:tcPr>
            <w:tcW w:w="3181" w:type="dxa"/>
            <w:vAlign w:val="center"/>
          </w:tcPr>
          <w:p>
            <w:pPr>
              <w:autoSpaceDE w:val="0"/>
              <w:autoSpaceDN w:val="0"/>
              <w:spacing w:line="360" w:lineRule="auto"/>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rPr>
            </w:pPr>
          </w:p>
        </w:tc>
        <w:tc>
          <w:tcPr>
            <w:tcW w:w="5165" w:type="dxa"/>
            <w:vAlign w:val="center"/>
          </w:tcPr>
          <w:p>
            <w:pPr>
              <w:autoSpaceDE w:val="0"/>
              <w:autoSpaceDN w:val="0"/>
              <w:spacing w:line="360" w:lineRule="auto"/>
              <w:jc w:val="center"/>
              <w:rPr>
                <w:rFonts w:ascii="宋体" w:hAnsi="宋体"/>
                <w:color w:val="auto"/>
                <w:sz w:val="24"/>
                <w:szCs w:val="24"/>
              </w:rPr>
            </w:pPr>
          </w:p>
        </w:tc>
        <w:tc>
          <w:tcPr>
            <w:tcW w:w="3181" w:type="dxa"/>
            <w:vAlign w:val="center"/>
          </w:tcPr>
          <w:p>
            <w:pPr>
              <w:autoSpaceDE w:val="0"/>
              <w:autoSpaceDN w:val="0"/>
              <w:spacing w:line="360" w:lineRule="auto"/>
              <w:jc w:val="center"/>
              <w:rPr>
                <w:rFonts w:ascii="宋体" w:hAnsi="宋体"/>
                <w:color w:val="auto"/>
                <w:sz w:val="24"/>
                <w:szCs w:val="24"/>
              </w:rPr>
            </w:pPr>
          </w:p>
        </w:tc>
      </w:tr>
    </w:tbl>
    <w:p>
      <w:pPr>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投标人名称（加盖公章）：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投标人法定代表人或授权代表（签字或盖章）：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日期：</w:t>
      </w:r>
      <w:r>
        <w:rPr>
          <w:rFonts w:hint="eastAsia" w:ascii="宋体" w:hAnsi="宋体"/>
          <w:color w:val="auto"/>
          <w:sz w:val="24"/>
          <w:szCs w:val="24"/>
          <w:u w:val="single"/>
        </w:rPr>
        <w:t xml:space="preserve">        </w:t>
      </w:r>
      <w:r>
        <w:rPr>
          <w:rFonts w:hint="eastAsia" w:ascii="宋体" w:hAnsi="宋体"/>
          <w:color w:val="auto"/>
          <w:sz w:val="24"/>
          <w:szCs w:val="24"/>
        </w:rPr>
        <w:t>年</w:t>
      </w:r>
      <w:r>
        <w:rPr>
          <w:rFonts w:hint="eastAsia" w:ascii="宋体" w:hAnsi="宋体"/>
          <w:color w:val="auto"/>
          <w:sz w:val="24"/>
          <w:szCs w:val="24"/>
          <w:u w:val="single"/>
        </w:rPr>
        <w:t xml:space="preserve">    </w:t>
      </w:r>
      <w:r>
        <w:rPr>
          <w:rFonts w:hint="eastAsia" w:ascii="宋体" w:hAnsi="宋体"/>
          <w:color w:val="auto"/>
          <w:sz w:val="24"/>
          <w:szCs w:val="24"/>
        </w:rPr>
        <w:t>月</w:t>
      </w:r>
      <w:r>
        <w:rPr>
          <w:rFonts w:hint="eastAsia" w:ascii="宋体" w:hAnsi="宋体"/>
          <w:color w:val="auto"/>
          <w:sz w:val="24"/>
          <w:szCs w:val="24"/>
          <w:u w:val="single"/>
        </w:rPr>
        <w:t xml:space="preserve">    </w:t>
      </w:r>
      <w:r>
        <w:rPr>
          <w:rFonts w:hint="eastAsia" w:ascii="宋体" w:hAnsi="宋体"/>
          <w:color w:val="auto"/>
          <w:sz w:val="24"/>
          <w:szCs w:val="24"/>
        </w:rPr>
        <w:t>日</w:t>
      </w:r>
    </w:p>
    <w:p>
      <w:pPr>
        <w:autoSpaceDE w:val="0"/>
        <w:autoSpaceDN w:val="0"/>
        <w:spacing w:line="360" w:lineRule="auto"/>
        <w:rPr>
          <w:rFonts w:ascii="宋体" w:hAnsi="宋体"/>
          <w:b/>
          <w:color w:val="auto"/>
          <w:sz w:val="24"/>
          <w:szCs w:val="24"/>
        </w:rPr>
      </w:pPr>
    </w:p>
    <w:p>
      <w:pPr>
        <w:autoSpaceDE w:val="0"/>
        <w:autoSpaceDN w:val="0"/>
        <w:rPr>
          <w:rFonts w:ascii="宋体" w:hAnsi="宋体"/>
          <w:b/>
          <w:color w:val="auto"/>
          <w:sz w:val="24"/>
          <w:szCs w:val="24"/>
        </w:rPr>
      </w:pPr>
      <w:r>
        <w:rPr>
          <w:rFonts w:hint="eastAsia" w:ascii="宋体" w:hAnsi="宋体"/>
          <w:b/>
          <w:color w:val="auto"/>
          <w:sz w:val="24"/>
          <w:szCs w:val="24"/>
        </w:rPr>
        <w:t>备注：</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1.</w:t>
      </w:r>
      <w:r>
        <w:rPr>
          <w:rFonts w:hint="eastAsia" w:ascii="宋体" w:hAnsi="宋体"/>
          <w:b/>
          <w:color w:val="auto"/>
          <w:sz w:val="24"/>
          <w:szCs w:val="24"/>
        </w:rPr>
        <w:t>除本部分《2.2商务得分自评表》外，</w:t>
      </w:r>
      <w:r>
        <w:rPr>
          <w:rFonts w:hint="eastAsia" w:ascii="宋体" w:hAnsi="宋体"/>
          <w:color w:val="auto"/>
          <w:sz w:val="24"/>
          <w:szCs w:val="24"/>
        </w:rPr>
        <w:t>投标人可对《商务评审表》各评审因素响应情况做出补充说明并在上表后附提供相关证明材料；</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2.如相关内容已在投标文件其他部分做出说明或提供证明材料，上表可以直接引用相关说明和证明材料的页码范围；</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3.如果投标人无上述任何情况说明和相关证明材料，请在上表第一行填写“无相关情况说明”。</w:t>
      </w: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pStyle w:val="5"/>
        <w:numPr>
          <w:ilvl w:val="0"/>
          <w:numId w:val="99"/>
        </w:numPr>
        <w:tabs>
          <w:tab w:val="left" w:pos="945"/>
        </w:tabs>
        <w:spacing w:before="0" w:after="0" w:line="360" w:lineRule="auto"/>
        <w:ind w:left="0" w:firstLine="0"/>
        <w:rPr>
          <w:color w:val="auto"/>
          <w:sz w:val="28"/>
          <w:szCs w:val="28"/>
        </w:rPr>
      </w:pPr>
      <w:bookmarkStart w:id="459" w:name="_Toc16247"/>
      <w:bookmarkStart w:id="460" w:name="_Toc22806241"/>
      <w:bookmarkStart w:id="461" w:name="_Toc54335493"/>
      <w:r>
        <w:rPr>
          <w:rFonts w:hint="eastAsia"/>
          <w:color w:val="auto"/>
          <w:sz w:val="28"/>
          <w:szCs w:val="28"/>
        </w:rPr>
        <w:t>投标人认为有必要说明或提供的其他商务文件（如有）</w:t>
      </w:r>
      <w:bookmarkEnd w:id="459"/>
      <w:bookmarkEnd w:id="460"/>
      <w:bookmarkEnd w:id="461"/>
    </w:p>
    <w:p>
      <w:pPr>
        <w:spacing w:line="360" w:lineRule="auto"/>
        <w:ind w:left="1083" w:hanging="1078" w:hangingChars="337"/>
        <w:jc w:val="center"/>
        <w:rPr>
          <w:rFonts w:ascii="宋体" w:hAnsi="宋体"/>
          <w:b/>
          <w:color w:val="auto"/>
          <w:sz w:val="32"/>
          <w:szCs w:val="32"/>
        </w:rPr>
      </w:pPr>
      <w:r>
        <w:rPr>
          <w:rFonts w:hint="eastAsia" w:ascii="宋体" w:hAnsi="宋体"/>
          <w:b/>
          <w:color w:val="auto"/>
          <w:sz w:val="32"/>
          <w:szCs w:val="32"/>
        </w:rPr>
        <w:t>投标人认为有必要说明或提供的其他商务文件</w:t>
      </w:r>
    </w:p>
    <w:p>
      <w:pPr>
        <w:autoSpaceDE w:val="0"/>
        <w:autoSpaceDN w:val="0"/>
        <w:spacing w:line="360" w:lineRule="auto"/>
        <w:rPr>
          <w:rFonts w:ascii="宋体" w:hAnsi="宋体"/>
          <w:color w:val="auto"/>
          <w:sz w:val="24"/>
          <w:szCs w:val="24"/>
        </w:rPr>
      </w:pPr>
    </w:p>
    <w:p>
      <w:pPr>
        <w:spacing w:line="360" w:lineRule="auto"/>
        <w:ind w:left="809" w:hanging="808" w:hangingChars="337"/>
        <w:rPr>
          <w:rFonts w:hint="eastAsia" w:ascii="宋体" w:hAnsi="宋体" w:eastAsia="宋体"/>
          <w:color w:val="auto"/>
          <w:sz w:val="24"/>
          <w:szCs w:val="24"/>
          <w:lang w:eastAsia="zh-CN"/>
        </w:rPr>
      </w:pPr>
      <w:r>
        <w:rPr>
          <w:rFonts w:hint="eastAsia" w:ascii="宋体" w:hAnsi="宋体"/>
          <w:color w:val="auto"/>
          <w:sz w:val="24"/>
          <w:szCs w:val="24"/>
        </w:rPr>
        <w:t>采购项目名称：</w:t>
      </w:r>
      <w:r>
        <w:rPr>
          <w:rFonts w:hint="eastAsia" w:ascii="宋体" w:hAnsi="宋体"/>
          <w:color w:val="auto"/>
          <w:sz w:val="24"/>
          <w:szCs w:val="24"/>
          <w:lang w:eastAsia="zh-CN"/>
        </w:rPr>
        <w:t>工业和信息化部电子第五研究所动力电池配套使用环境试验箱采购项目</w:t>
      </w:r>
    </w:p>
    <w:p>
      <w:pPr>
        <w:spacing w:line="360" w:lineRule="auto"/>
        <w:ind w:left="809" w:hanging="808" w:hangingChars="337"/>
        <w:rPr>
          <w:rFonts w:ascii="宋体" w:hAnsi="宋体"/>
          <w:color w:val="auto"/>
          <w:sz w:val="24"/>
          <w:szCs w:val="24"/>
        </w:rPr>
      </w:pPr>
      <w:r>
        <w:rPr>
          <w:rFonts w:hint="eastAsia" w:ascii="宋体" w:hAnsi="宋体"/>
          <w:color w:val="auto"/>
          <w:sz w:val="24"/>
          <w:szCs w:val="24"/>
        </w:rPr>
        <w:t>采购包号：</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165"/>
        <w:gridCol w:w="3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序号</w:t>
            </w:r>
          </w:p>
        </w:tc>
        <w:tc>
          <w:tcPr>
            <w:tcW w:w="5165"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说明事项</w:t>
            </w:r>
          </w:p>
        </w:tc>
        <w:tc>
          <w:tcPr>
            <w:tcW w:w="3181" w:type="dxa"/>
            <w:vAlign w:val="center"/>
          </w:tcPr>
          <w:p>
            <w:pPr>
              <w:autoSpaceDE w:val="0"/>
              <w:autoSpaceDN w:val="0"/>
              <w:spacing w:line="360" w:lineRule="auto"/>
              <w:jc w:val="center"/>
              <w:rPr>
                <w:rFonts w:ascii="宋体" w:hAnsi="宋体"/>
                <w:color w:val="auto"/>
                <w:sz w:val="24"/>
                <w:szCs w:val="24"/>
              </w:rPr>
            </w:pPr>
            <w:r>
              <w:rPr>
                <w:rFonts w:hint="eastAsia" w:ascii="宋体" w:hAnsi="宋体"/>
                <w:color w:val="auto"/>
                <w:sz w:val="24"/>
                <w:szCs w:val="24"/>
              </w:rPr>
              <w:t>证明材料所在页码范围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rPr>
            </w:pPr>
          </w:p>
        </w:tc>
        <w:tc>
          <w:tcPr>
            <w:tcW w:w="5165" w:type="dxa"/>
            <w:vAlign w:val="center"/>
          </w:tcPr>
          <w:p>
            <w:pPr>
              <w:autoSpaceDE w:val="0"/>
              <w:autoSpaceDN w:val="0"/>
              <w:spacing w:line="360" w:lineRule="auto"/>
              <w:jc w:val="center"/>
              <w:rPr>
                <w:rFonts w:ascii="宋体" w:hAnsi="宋体"/>
                <w:color w:val="auto"/>
                <w:sz w:val="24"/>
                <w:szCs w:val="24"/>
              </w:rPr>
            </w:pPr>
          </w:p>
        </w:tc>
        <w:tc>
          <w:tcPr>
            <w:tcW w:w="3181" w:type="dxa"/>
            <w:vAlign w:val="center"/>
          </w:tcPr>
          <w:p>
            <w:pPr>
              <w:autoSpaceDE w:val="0"/>
              <w:autoSpaceDN w:val="0"/>
              <w:spacing w:line="360" w:lineRule="auto"/>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rPr>
            </w:pPr>
          </w:p>
        </w:tc>
        <w:tc>
          <w:tcPr>
            <w:tcW w:w="5165" w:type="dxa"/>
            <w:vAlign w:val="center"/>
          </w:tcPr>
          <w:p>
            <w:pPr>
              <w:autoSpaceDE w:val="0"/>
              <w:autoSpaceDN w:val="0"/>
              <w:spacing w:line="360" w:lineRule="auto"/>
              <w:jc w:val="center"/>
              <w:rPr>
                <w:rFonts w:ascii="宋体" w:hAnsi="宋体"/>
                <w:color w:val="auto"/>
                <w:sz w:val="24"/>
                <w:szCs w:val="24"/>
              </w:rPr>
            </w:pPr>
          </w:p>
        </w:tc>
        <w:tc>
          <w:tcPr>
            <w:tcW w:w="3181" w:type="dxa"/>
            <w:vAlign w:val="center"/>
          </w:tcPr>
          <w:p>
            <w:pPr>
              <w:autoSpaceDE w:val="0"/>
              <w:autoSpaceDN w:val="0"/>
              <w:spacing w:line="360" w:lineRule="auto"/>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rPr>
            </w:pPr>
          </w:p>
        </w:tc>
        <w:tc>
          <w:tcPr>
            <w:tcW w:w="5165" w:type="dxa"/>
            <w:vAlign w:val="center"/>
          </w:tcPr>
          <w:p>
            <w:pPr>
              <w:autoSpaceDE w:val="0"/>
              <w:autoSpaceDN w:val="0"/>
              <w:spacing w:line="360" w:lineRule="auto"/>
              <w:jc w:val="center"/>
              <w:rPr>
                <w:rFonts w:ascii="宋体" w:hAnsi="宋体"/>
                <w:color w:val="auto"/>
                <w:sz w:val="24"/>
                <w:szCs w:val="24"/>
              </w:rPr>
            </w:pPr>
          </w:p>
        </w:tc>
        <w:tc>
          <w:tcPr>
            <w:tcW w:w="3181" w:type="dxa"/>
            <w:vAlign w:val="center"/>
          </w:tcPr>
          <w:p>
            <w:pPr>
              <w:autoSpaceDE w:val="0"/>
              <w:autoSpaceDN w:val="0"/>
              <w:spacing w:line="360" w:lineRule="auto"/>
              <w:jc w:val="center"/>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pPr>
              <w:autoSpaceDE w:val="0"/>
              <w:autoSpaceDN w:val="0"/>
              <w:spacing w:line="360" w:lineRule="auto"/>
              <w:jc w:val="center"/>
              <w:rPr>
                <w:rFonts w:ascii="宋体" w:hAnsi="宋体"/>
                <w:color w:val="auto"/>
                <w:sz w:val="24"/>
                <w:szCs w:val="24"/>
              </w:rPr>
            </w:pPr>
          </w:p>
        </w:tc>
        <w:tc>
          <w:tcPr>
            <w:tcW w:w="5165" w:type="dxa"/>
            <w:vAlign w:val="center"/>
          </w:tcPr>
          <w:p>
            <w:pPr>
              <w:autoSpaceDE w:val="0"/>
              <w:autoSpaceDN w:val="0"/>
              <w:spacing w:line="360" w:lineRule="auto"/>
              <w:jc w:val="center"/>
              <w:rPr>
                <w:rFonts w:ascii="宋体" w:hAnsi="宋体"/>
                <w:color w:val="auto"/>
                <w:sz w:val="24"/>
                <w:szCs w:val="24"/>
              </w:rPr>
            </w:pPr>
          </w:p>
        </w:tc>
        <w:tc>
          <w:tcPr>
            <w:tcW w:w="3181" w:type="dxa"/>
            <w:vAlign w:val="center"/>
          </w:tcPr>
          <w:p>
            <w:pPr>
              <w:autoSpaceDE w:val="0"/>
              <w:autoSpaceDN w:val="0"/>
              <w:spacing w:line="360" w:lineRule="auto"/>
              <w:jc w:val="center"/>
              <w:rPr>
                <w:rFonts w:ascii="宋体" w:hAnsi="宋体"/>
                <w:color w:val="auto"/>
                <w:sz w:val="24"/>
                <w:szCs w:val="24"/>
              </w:rPr>
            </w:pPr>
          </w:p>
        </w:tc>
      </w:tr>
    </w:tbl>
    <w:p>
      <w:pPr>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投标人名称（加盖公章）：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投标人法定代表人或授权代表（签字或盖章）：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日期：</w:t>
      </w:r>
      <w:r>
        <w:rPr>
          <w:rFonts w:hint="eastAsia" w:ascii="宋体" w:hAnsi="宋体"/>
          <w:color w:val="auto"/>
          <w:sz w:val="24"/>
          <w:szCs w:val="24"/>
          <w:u w:val="single"/>
        </w:rPr>
        <w:t xml:space="preserve">        </w:t>
      </w:r>
      <w:r>
        <w:rPr>
          <w:rFonts w:hint="eastAsia" w:ascii="宋体" w:hAnsi="宋体"/>
          <w:color w:val="auto"/>
          <w:sz w:val="24"/>
          <w:szCs w:val="24"/>
        </w:rPr>
        <w:t>年</w:t>
      </w:r>
      <w:r>
        <w:rPr>
          <w:rFonts w:hint="eastAsia" w:ascii="宋体" w:hAnsi="宋体"/>
          <w:color w:val="auto"/>
          <w:sz w:val="24"/>
          <w:szCs w:val="24"/>
          <w:u w:val="single"/>
        </w:rPr>
        <w:t xml:space="preserve">    </w:t>
      </w:r>
      <w:r>
        <w:rPr>
          <w:rFonts w:hint="eastAsia" w:ascii="宋体" w:hAnsi="宋体"/>
          <w:color w:val="auto"/>
          <w:sz w:val="24"/>
          <w:szCs w:val="24"/>
        </w:rPr>
        <w:t>月</w:t>
      </w:r>
      <w:r>
        <w:rPr>
          <w:rFonts w:hint="eastAsia" w:ascii="宋体" w:hAnsi="宋体"/>
          <w:color w:val="auto"/>
          <w:sz w:val="24"/>
          <w:szCs w:val="24"/>
          <w:u w:val="single"/>
        </w:rPr>
        <w:t xml:space="preserve">    </w:t>
      </w:r>
      <w:r>
        <w:rPr>
          <w:rFonts w:hint="eastAsia" w:ascii="宋体" w:hAnsi="宋体"/>
          <w:color w:val="auto"/>
          <w:sz w:val="24"/>
          <w:szCs w:val="24"/>
        </w:rPr>
        <w:t>日</w:t>
      </w:r>
    </w:p>
    <w:p>
      <w:pPr>
        <w:autoSpaceDE w:val="0"/>
        <w:autoSpaceDN w:val="0"/>
        <w:rPr>
          <w:rFonts w:ascii="宋体" w:hAnsi="宋体"/>
          <w:b/>
          <w:color w:val="auto"/>
          <w:sz w:val="24"/>
          <w:szCs w:val="24"/>
        </w:rPr>
      </w:pPr>
    </w:p>
    <w:p>
      <w:pPr>
        <w:autoSpaceDE w:val="0"/>
        <w:autoSpaceDN w:val="0"/>
        <w:rPr>
          <w:rFonts w:ascii="宋体" w:hAnsi="宋体"/>
          <w:b/>
          <w:color w:val="auto"/>
          <w:sz w:val="24"/>
          <w:szCs w:val="24"/>
        </w:rPr>
      </w:pPr>
      <w:r>
        <w:rPr>
          <w:rFonts w:hint="eastAsia" w:ascii="宋体" w:hAnsi="宋体"/>
          <w:b/>
          <w:color w:val="auto"/>
          <w:sz w:val="24"/>
          <w:szCs w:val="24"/>
        </w:rPr>
        <w:t>备注：</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1.投标人可对其他商务情况（如有）做出说明并在上表后附相关证明材料；其他商务情况不限于：</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（1）不良记录情况</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（2）诉讼情况</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（3）供应商认为需要提供的其他情况。</w:t>
      </w:r>
    </w:p>
    <w:p>
      <w:pPr>
        <w:autoSpaceDE w:val="0"/>
        <w:autoSpaceDN w:val="0"/>
        <w:ind w:firstLine="480" w:firstLineChars="200"/>
        <w:rPr>
          <w:rFonts w:ascii="宋体" w:hAnsi="宋体"/>
          <w:color w:val="auto"/>
          <w:sz w:val="24"/>
          <w:szCs w:val="24"/>
        </w:rPr>
      </w:pPr>
      <w:bookmarkStart w:id="462" w:name="_Hlk65576868"/>
      <w:r>
        <w:rPr>
          <w:rFonts w:hint="eastAsia" w:ascii="宋体" w:hAnsi="宋体"/>
          <w:color w:val="auto"/>
          <w:sz w:val="24"/>
          <w:szCs w:val="24"/>
        </w:rPr>
        <w:t>2.联合体投标的，如有，联合体各方应分别做出说明并附相关证明材料。</w:t>
      </w:r>
      <w:bookmarkEnd w:id="462"/>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3.分支机构投标的，如有，总公司（总所）、分支机构应分别做出说明并附相关证明材料。</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4.以合同分包形式投标的，除非特别说明，可以仅对投标供应商做出说明并附相关证明材料。</w:t>
      </w: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pStyle w:val="4"/>
        <w:numPr>
          <w:ilvl w:val="0"/>
          <w:numId w:val="91"/>
        </w:numPr>
        <w:tabs>
          <w:tab w:val="left" w:pos="945"/>
        </w:tabs>
        <w:spacing w:before="0" w:after="0" w:line="360" w:lineRule="auto"/>
        <w:ind w:left="984" w:hanging="980" w:hangingChars="350"/>
        <w:rPr>
          <w:rFonts w:ascii="宋体" w:hAnsi="宋体"/>
          <w:color w:val="auto"/>
          <w:sz w:val="28"/>
          <w:szCs w:val="28"/>
        </w:rPr>
      </w:pPr>
      <w:bookmarkStart w:id="463" w:name="_Toc23755"/>
      <w:bookmarkStart w:id="464" w:name="_Toc54335494"/>
      <w:bookmarkStart w:id="465" w:name="_Toc22806242"/>
      <w:r>
        <w:rPr>
          <w:rFonts w:hint="eastAsia" w:ascii="宋体" w:hAnsi="宋体"/>
          <w:color w:val="auto"/>
          <w:sz w:val="28"/>
          <w:szCs w:val="28"/>
        </w:rPr>
        <w:t>价格文件</w:t>
      </w:r>
      <w:bookmarkEnd w:id="463"/>
      <w:bookmarkEnd w:id="464"/>
      <w:bookmarkEnd w:id="465"/>
    </w:p>
    <w:p>
      <w:pPr>
        <w:pStyle w:val="5"/>
        <w:numPr>
          <w:ilvl w:val="0"/>
          <w:numId w:val="99"/>
        </w:numPr>
        <w:tabs>
          <w:tab w:val="left" w:pos="945"/>
        </w:tabs>
        <w:spacing w:before="0" w:after="0" w:line="360" w:lineRule="auto"/>
        <w:ind w:left="0" w:firstLine="0"/>
        <w:rPr>
          <w:color w:val="auto"/>
          <w:sz w:val="28"/>
          <w:szCs w:val="28"/>
        </w:rPr>
      </w:pPr>
      <w:bookmarkStart w:id="466" w:name="_Toc10999"/>
      <w:bookmarkStart w:id="467" w:name="_Toc54335495"/>
      <w:r>
        <w:rPr>
          <w:rFonts w:hint="eastAsia"/>
          <w:color w:val="auto"/>
          <w:sz w:val="28"/>
          <w:szCs w:val="28"/>
        </w:rPr>
        <w:t>开标一览表</w:t>
      </w:r>
      <w:bookmarkEnd w:id="466"/>
      <w:bookmarkEnd w:id="467"/>
    </w:p>
    <w:p>
      <w:pPr>
        <w:spacing w:line="360" w:lineRule="auto"/>
        <w:ind w:left="1083" w:hanging="1078" w:hangingChars="337"/>
        <w:jc w:val="center"/>
        <w:rPr>
          <w:rFonts w:ascii="宋体" w:hAnsi="宋体"/>
          <w:b/>
          <w:color w:val="auto"/>
          <w:sz w:val="32"/>
          <w:szCs w:val="32"/>
        </w:rPr>
      </w:pPr>
      <w:r>
        <w:rPr>
          <w:rFonts w:hint="eastAsia" w:ascii="宋体" w:hAnsi="宋体"/>
          <w:b/>
          <w:color w:val="auto"/>
          <w:sz w:val="32"/>
          <w:szCs w:val="32"/>
        </w:rPr>
        <w:t>开标一览表</w:t>
      </w:r>
    </w:p>
    <w:p>
      <w:pPr>
        <w:spacing w:line="360" w:lineRule="auto"/>
        <w:ind w:left="809" w:hanging="808" w:hangingChars="337"/>
        <w:rPr>
          <w:rFonts w:ascii="宋体" w:hAnsi="宋体"/>
          <w:color w:val="auto"/>
          <w:sz w:val="24"/>
          <w:szCs w:val="24"/>
        </w:rPr>
      </w:pPr>
    </w:p>
    <w:p>
      <w:pPr>
        <w:spacing w:line="360" w:lineRule="auto"/>
        <w:ind w:left="809" w:hanging="808" w:hangingChars="337"/>
        <w:rPr>
          <w:rFonts w:hint="eastAsia" w:ascii="宋体" w:hAnsi="宋体" w:eastAsia="宋体"/>
          <w:color w:val="auto"/>
          <w:sz w:val="24"/>
          <w:szCs w:val="24"/>
          <w:lang w:eastAsia="zh-CN"/>
        </w:rPr>
      </w:pPr>
      <w:r>
        <w:rPr>
          <w:rFonts w:hint="eastAsia" w:ascii="宋体" w:hAnsi="宋体"/>
          <w:color w:val="auto"/>
          <w:sz w:val="24"/>
          <w:szCs w:val="24"/>
        </w:rPr>
        <w:t>采购项目名称：</w:t>
      </w:r>
      <w:r>
        <w:rPr>
          <w:rFonts w:hint="eastAsia" w:ascii="宋体" w:hAnsi="宋体"/>
          <w:color w:val="auto"/>
          <w:sz w:val="24"/>
          <w:szCs w:val="24"/>
          <w:lang w:eastAsia="zh-CN"/>
        </w:rPr>
        <w:t>工业和信息化部电子第五研究所动力电池配套使用环境试验箱采购项目</w:t>
      </w:r>
    </w:p>
    <w:p>
      <w:pPr>
        <w:spacing w:line="360" w:lineRule="auto"/>
        <w:ind w:left="809" w:hanging="808" w:hangingChars="337"/>
        <w:rPr>
          <w:rFonts w:ascii="宋体" w:hAnsi="宋体"/>
          <w:color w:val="auto"/>
          <w:sz w:val="24"/>
          <w:szCs w:val="24"/>
        </w:rPr>
      </w:pPr>
      <w:r>
        <w:rPr>
          <w:rFonts w:hint="eastAsia" w:ascii="宋体" w:hAnsi="宋体"/>
          <w:color w:val="auto"/>
          <w:sz w:val="24"/>
          <w:szCs w:val="24"/>
        </w:rPr>
        <w:t>采购包号：</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7"/>
        <w:gridCol w:w="6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2657" w:type="dxa"/>
            <w:tcBorders>
              <w:bottom w:val="single" w:color="auto" w:sz="4" w:space="0"/>
            </w:tcBorders>
            <w:vAlign w:val="center"/>
          </w:tcPr>
          <w:p>
            <w:pPr>
              <w:spacing w:line="360" w:lineRule="auto"/>
              <w:jc w:val="center"/>
              <w:rPr>
                <w:rFonts w:ascii="宋体" w:hAnsi="宋体"/>
                <w:bCs/>
                <w:color w:val="auto"/>
                <w:sz w:val="24"/>
                <w:szCs w:val="24"/>
              </w:rPr>
            </w:pPr>
            <w:r>
              <w:rPr>
                <w:rFonts w:hint="eastAsia" w:ascii="Calibri" w:hAnsi="Calibri"/>
                <w:bCs/>
                <w:color w:val="auto"/>
                <w:sz w:val="24"/>
                <w:szCs w:val="24"/>
              </w:rPr>
              <w:t>合同履行期限</w:t>
            </w:r>
          </w:p>
        </w:tc>
        <w:tc>
          <w:tcPr>
            <w:tcW w:w="6545" w:type="dxa"/>
            <w:tcBorders>
              <w:bottom w:val="single" w:color="auto" w:sz="4" w:space="0"/>
            </w:tcBorders>
            <w:vAlign w:val="center"/>
          </w:tcPr>
          <w:p>
            <w:pPr>
              <w:spacing w:line="360" w:lineRule="auto"/>
              <w:jc w:val="center"/>
              <w:rPr>
                <w:rFonts w:ascii="宋体" w:hAnsi="宋体"/>
                <w:bCs/>
                <w:color w:val="auto"/>
                <w:sz w:val="24"/>
                <w:szCs w:val="24"/>
              </w:rPr>
            </w:pPr>
            <w:r>
              <w:rPr>
                <w:rFonts w:hint="eastAsia" w:ascii="宋体" w:hAnsi="宋体"/>
                <w:bCs/>
                <w:color w:val="auto"/>
                <w:sz w:val="24"/>
                <w:szCs w:val="24"/>
              </w:rPr>
              <w:t>投标总价（元）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8" w:hRule="atLeast"/>
          <w:jc w:val="center"/>
        </w:trPr>
        <w:tc>
          <w:tcPr>
            <w:tcW w:w="2657" w:type="dxa"/>
            <w:vAlign w:val="center"/>
          </w:tcPr>
          <w:p>
            <w:pPr>
              <w:spacing w:line="360" w:lineRule="auto"/>
              <w:rPr>
                <w:rFonts w:ascii="宋体" w:hAnsi="宋体"/>
                <w:bCs/>
                <w:color w:val="auto"/>
                <w:sz w:val="24"/>
                <w:szCs w:val="24"/>
              </w:rPr>
            </w:pPr>
            <w:r>
              <w:rPr>
                <w:rFonts w:hint="eastAsia" w:ascii="宋体" w:hAnsi="宋体"/>
                <w:bCs/>
                <w:color w:val="auto"/>
                <w:sz w:val="24"/>
                <w:szCs w:val="24"/>
              </w:rPr>
              <w:t>（至少满足《投标邀请》中的合同</w:t>
            </w:r>
            <w:r>
              <w:rPr>
                <w:rFonts w:hint="eastAsia" w:ascii="Calibri" w:hAnsi="Calibri"/>
                <w:bCs/>
                <w:color w:val="auto"/>
                <w:sz w:val="24"/>
                <w:szCs w:val="24"/>
              </w:rPr>
              <w:t>履行</w:t>
            </w:r>
            <w:r>
              <w:rPr>
                <w:rFonts w:hint="eastAsia" w:ascii="宋体" w:hAnsi="宋体"/>
                <w:bCs/>
                <w:color w:val="auto"/>
                <w:sz w:val="24"/>
                <w:szCs w:val="24"/>
              </w:rPr>
              <w:t>期限）</w:t>
            </w:r>
          </w:p>
        </w:tc>
        <w:tc>
          <w:tcPr>
            <w:tcW w:w="6545" w:type="dxa"/>
            <w:vAlign w:val="center"/>
          </w:tcPr>
          <w:p>
            <w:pPr>
              <w:pStyle w:val="63"/>
              <w:widowControl w:val="0"/>
              <w:pBdr>
                <w:bottom w:val="none" w:color="auto" w:sz="0" w:space="0"/>
                <w:right w:val="none" w:color="auto" w:sz="0" w:space="0"/>
              </w:pBdr>
              <w:spacing w:before="0" w:beforeAutospacing="0" w:after="0" w:afterAutospacing="0" w:line="360" w:lineRule="auto"/>
              <w:jc w:val="left"/>
              <w:rPr>
                <w:bCs/>
                <w:color w:val="auto"/>
                <w:sz w:val="24"/>
                <w:szCs w:val="24"/>
              </w:rPr>
            </w:pPr>
            <w:r>
              <w:rPr>
                <w:rFonts w:hint="eastAsia"/>
                <w:bCs/>
                <w:color w:val="auto"/>
                <w:sz w:val="24"/>
                <w:szCs w:val="24"/>
              </w:rPr>
              <w:t>（大写）人民币</w:t>
            </w:r>
            <w:r>
              <w:rPr>
                <w:rFonts w:hint="eastAsia"/>
                <w:bCs/>
                <w:color w:val="auto"/>
                <w:sz w:val="24"/>
                <w:szCs w:val="24"/>
                <w:u w:val="single"/>
              </w:rPr>
              <w:t xml:space="preserve">                      </w:t>
            </w:r>
            <w:r>
              <w:rPr>
                <w:rFonts w:hint="eastAsia"/>
                <w:bCs/>
                <w:color w:val="auto"/>
                <w:sz w:val="24"/>
                <w:szCs w:val="24"/>
              </w:rPr>
              <w:t>元</w:t>
            </w:r>
          </w:p>
          <w:p>
            <w:pPr>
              <w:pStyle w:val="63"/>
              <w:widowControl w:val="0"/>
              <w:pBdr>
                <w:bottom w:val="none" w:color="auto" w:sz="0" w:space="0"/>
                <w:right w:val="none" w:color="auto" w:sz="0" w:space="0"/>
              </w:pBdr>
              <w:spacing w:before="0" w:beforeAutospacing="0" w:after="0" w:afterAutospacing="0" w:line="360" w:lineRule="auto"/>
              <w:jc w:val="left"/>
              <w:rPr>
                <w:bCs/>
                <w:color w:val="auto"/>
                <w:sz w:val="24"/>
                <w:szCs w:val="24"/>
              </w:rPr>
            </w:pPr>
          </w:p>
          <w:p>
            <w:pPr>
              <w:pStyle w:val="63"/>
              <w:widowControl w:val="0"/>
              <w:pBdr>
                <w:bottom w:val="none" w:color="auto" w:sz="0" w:space="0"/>
                <w:right w:val="none" w:color="auto" w:sz="0" w:space="0"/>
              </w:pBdr>
              <w:spacing w:before="0" w:beforeAutospacing="0" w:after="0" w:afterAutospacing="0" w:line="360" w:lineRule="auto"/>
              <w:jc w:val="left"/>
              <w:rPr>
                <w:bCs/>
                <w:color w:val="auto"/>
                <w:kern w:val="2"/>
                <w:sz w:val="24"/>
                <w:szCs w:val="24"/>
              </w:rPr>
            </w:pPr>
            <w:r>
              <w:rPr>
                <w:rFonts w:hint="eastAsia"/>
                <w:bCs/>
                <w:color w:val="auto"/>
                <w:sz w:val="24"/>
                <w:szCs w:val="24"/>
              </w:rPr>
              <w:t>（小写）¥</w:t>
            </w:r>
            <w:r>
              <w:rPr>
                <w:rFonts w:hint="eastAsia"/>
                <w:bCs/>
                <w:color w:val="auto"/>
                <w:sz w:val="24"/>
                <w:szCs w:val="24"/>
                <w:u w:val="single"/>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8" w:hRule="atLeast"/>
          <w:jc w:val="center"/>
        </w:trPr>
        <w:tc>
          <w:tcPr>
            <w:tcW w:w="2657" w:type="dxa"/>
            <w:vAlign w:val="center"/>
          </w:tcPr>
          <w:p>
            <w:pPr>
              <w:pStyle w:val="63"/>
              <w:widowControl w:val="0"/>
              <w:pBdr>
                <w:bottom w:val="none" w:color="auto" w:sz="0" w:space="0"/>
                <w:right w:val="none" w:color="auto" w:sz="0" w:space="0"/>
              </w:pBdr>
              <w:spacing w:before="0" w:beforeAutospacing="0" w:after="0" w:afterAutospacing="0" w:line="360" w:lineRule="auto"/>
              <w:rPr>
                <w:bCs/>
                <w:color w:val="auto"/>
                <w:sz w:val="24"/>
                <w:szCs w:val="24"/>
              </w:rPr>
            </w:pPr>
            <w:r>
              <w:rPr>
                <w:rFonts w:hint="eastAsia"/>
                <w:bCs/>
                <w:color w:val="auto"/>
                <w:kern w:val="2"/>
                <w:sz w:val="24"/>
                <w:szCs w:val="24"/>
              </w:rPr>
              <w:t>核心产品情况</w:t>
            </w:r>
          </w:p>
        </w:tc>
        <w:tc>
          <w:tcPr>
            <w:tcW w:w="6545" w:type="dxa"/>
            <w:vAlign w:val="center"/>
          </w:tcPr>
          <w:p>
            <w:pPr>
              <w:spacing w:line="360" w:lineRule="auto"/>
              <w:rPr>
                <w:rFonts w:ascii="宋体" w:hAnsi="宋体"/>
                <w:bCs/>
                <w:color w:val="auto"/>
                <w:sz w:val="24"/>
                <w:szCs w:val="24"/>
              </w:rPr>
            </w:pPr>
            <w:r>
              <w:rPr>
                <w:rFonts w:hint="eastAsia" w:ascii="宋体" w:hAnsi="宋体"/>
                <w:bCs/>
                <w:color w:val="auto"/>
                <w:sz w:val="24"/>
                <w:szCs w:val="24"/>
              </w:rPr>
              <w:t>核心产品名称:                国别/地区：</w:t>
            </w:r>
          </w:p>
          <w:p>
            <w:pPr>
              <w:pStyle w:val="2"/>
              <w:rPr>
                <w:rFonts w:ascii="Calibri" w:hAnsi="Calibri"/>
                <w:color w:val="auto"/>
              </w:rPr>
            </w:pPr>
          </w:p>
          <w:p>
            <w:pPr>
              <w:spacing w:line="360" w:lineRule="auto"/>
              <w:rPr>
                <w:rFonts w:ascii="Calibri" w:hAnsi="Calibri"/>
                <w:bCs/>
                <w:color w:val="auto"/>
                <w:sz w:val="24"/>
                <w:szCs w:val="24"/>
              </w:rPr>
            </w:pPr>
            <w:r>
              <w:rPr>
                <w:rFonts w:hint="eastAsia" w:ascii="宋体" w:hAnsi="宋体"/>
                <w:bCs/>
                <w:color w:val="auto"/>
                <w:sz w:val="24"/>
                <w:szCs w:val="24"/>
              </w:rPr>
              <w:t>品牌：                       型号：</w:t>
            </w:r>
          </w:p>
        </w:tc>
      </w:tr>
    </w:tbl>
    <w:p>
      <w:pPr>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投标人名称（加盖公章）：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投标人法定代表人或授权代表（签字或盖章）：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日期：</w:t>
      </w:r>
      <w:r>
        <w:rPr>
          <w:rFonts w:hint="eastAsia" w:ascii="宋体" w:hAnsi="宋体"/>
          <w:color w:val="auto"/>
          <w:sz w:val="24"/>
          <w:szCs w:val="24"/>
          <w:u w:val="single"/>
        </w:rPr>
        <w:t xml:space="preserve">        </w:t>
      </w:r>
      <w:r>
        <w:rPr>
          <w:rFonts w:hint="eastAsia" w:ascii="宋体" w:hAnsi="宋体"/>
          <w:color w:val="auto"/>
          <w:sz w:val="24"/>
          <w:szCs w:val="24"/>
        </w:rPr>
        <w:t>年</w:t>
      </w:r>
      <w:r>
        <w:rPr>
          <w:rFonts w:hint="eastAsia" w:ascii="宋体" w:hAnsi="宋体"/>
          <w:color w:val="auto"/>
          <w:sz w:val="24"/>
          <w:szCs w:val="24"/>
          <w:u w:val="single"/>
        </w:rPr>
        <w:t xml:space="preserve">    </w:t>
      </w:r>
      <w:r>
        <w:rPr>
          <w:rFonts w:hint="eastAsia" w:ascii="宋体" w:hAnsi="宋体"/>
          <w:color w:val="auto"/>
          <w:sz w:val="24"/>
          <w:szCs w:val="24"/>
        </w:rPr>
        <w:t>月</w:t>
      </w:r>
      <w:r>
        <w:rPr>
          <w:rFonts w:hint="eastAsia" w:ascii="宋体" w:hAnsi="宋体"/>
          <w:color w:val="auto"/>
          <w:sz w:val="24"/>
          <w:szCs w:val="24"/>
          <w:u w:val="single"/>
        </w:rPr>
        <w:t xml:space="preserve">    </w:t>
      </w:r>
      <w:r>
        <w:rPr>
          <w:rFonts w:hint="eastAsia" w:ascii="宋体" w:hAnsi="宋体"/>
          <w:color w:val="auto"/>
          <w:sz w:val="24"/>
          <w:szCs w:val="24"/>
        </w:rPr>
        <w:t>日</w:t>
      </w:r>
    </w:p>
    <w:p>
      <w:pPr>
        <w:autoSpaceDE w:val="0"/>
        <w:autoSpaceDN w:val="0"/>
        <w:spacing w:line="360" w:lineRule="auto"/>
        <w:rPr>
          <w:rFonts w:ascii="宋体" w:hAnsi="宋体"/>
          <w:color w:val="auto"/>
          <w:sz w:val="24"/>
          <w:szCs w:val="24"/>
        </w:rPr>
      </w:pPr>
    </w:p>
    <w:p>
      <w:pPr>
        <w:ind w:left="723" w:hanging="720" w:hangingChars="300"/>
        <w:rPr>
          <w:rFonts w:ascii="宋体" w:hAnsi="宋体"/>
          <w:b/>
          <w:color w:val="auto"/>
          <w:sz w:val="24"/>
          <w:szCs w:val="24"/>
        </w:rPr>
      </w:pPr>
      <w:r>
        <w:rPr>
          <w:rFonts w:hint="eastAsia" w:ascii="宋体" w:hAnsi="宋体"/>
          <w:b/>
          <w:color w:val="auto"/>
          <w:sz w:val="24"/>
          <w:szCs w:val="24"/>
        </w:rPr>
        <w:t>备注：</w:t>
      </w:r>
    </w:p>
    <w:p>
      <w:pPr>
        <w:ind w:firstLine="480" w:firstLineChars="200"/>
        <w:rPr>
          <w:rFonts w:ascii="宋体" w:hAnsi="宋体"/>
          <w:color w:val="auto"/>
          <w:sz w:val="24"/>
          <w:szCs w:val="24"/>
        </w:rPr>
      </w:pPr>
      <w:r>
        <w:rPr>
          <w:rFonts w:hint="eastAsia" w:ascii="宋体" w:hAnsi="宋体"/>
          <w:color w:val="auto"/>
          <w:sz w:val="24"/>
          <w:szCs w:val="24"/>
        </w:rPr>
        <w:t>1.此表报价包括《采购需求》要求的货物设备以及必须的附属设备、随机附件、专用工具、试验仪器和相关技术服务等全部内容。</w:t>
      </w:r>
    </w:p>
    <w:p>
      <w:pPr>
        <w:ind w:firstLine="480" w:firstLineChars="200"/>
        <w:rPr>
          <w:rFonts w:ascii="宋体" w:hAnsi="宋体"/>
          <w:color w:val="auto"/>
          <w:sz w:val="24"/>
          <w:szCs w:val="24"/>
        </w:rPr>
      </w:pPr>
      <w:r>
        <w:rPr>
          <w:rFonts w:hint="eastAsia" w:ascii="宋体" w:hAnsi="宋体"/>
          <w:color w:val="auto"/>
          <w:sz w:val="24"/>
          <w:szCs w:val="24"/>
        </w:rPr>
        <w:t>2.报价中必须包含货物设计、生产制造、购置、安装、运输保险、装卸、培训辅导、质保期售后服务、全额含税发票、雇员费用、合同实施过程中应预见和不可预见费用等。所有价格均应予人民币报价，金额单位为元。</w:t>
      </w:r>
    </w:p>
    <w:p>
      <w:pPr>
        <w:ind w:firstLine="480" w:firstLineChars="200"/>
        <w:rPr>
          <w:rFonts w:ascii="宋体" w:hAnsi="宋体"/>
          <w:color w:val="auto"/>
          <w:sz w:val="24"/>
          <w:szCs w:val="24"/>
        </w:rPr>
      </w:pPr>
      <w:r>
        <w:rPr>
          <w:rFonts w:hint="eastAsia" w:ascii="宋体" w:hAnsi="宋体"/>
          <w:color w:val="auto"/>
          <w:sz w:val="24"/>
          <w:szCs w:val="24"/>
        </w:rPr>
        <w:t>3.</w:t>
      </w:r>
      <w:r>
        <w:rPr>
          <w:rFonts w:hint="eastAsia"/>
          <w:b/>
          <w:color w:val="auto"/>
          <w:spacing w:val="4"/>
          <w:sz w:val="24"/>
          <w:szCs w:val="24"/>
        </w:rPr>
        <w:t>温馨提示：</w:t>
      </w:r>
      <w:r>
        <w:rPr>
          <w:rFonts w:hint="eastAsia"/>
          <w:color w:val="auto"/>
          <w:spacing w:val="4"/>
          <w:sz w:val="24"/>
          <w:szCs w:val="24"/>
        </w:rPr>
        <w:t>中文大写金额用汉字，如壹、贰、叁、肆、伍、陆、柒、捌、玖、拾、佰、仟、万、亿、元、角、分、零、整（正）等。</w:t>
      </w:r>
    </w:p>
    <w:p>
      <w:pPr>
        <w:pStyle w:val="5"/>
        <w:numPr>
          <w:ilvl w:val="0"/>
          <w:numId w:val="99"/>
        </w:numPr>
        <w:tabs>
          <w:tab w:val="left" w:pos="945"/>
        </w:tabs>
        <w:spacing w:before="0" w:after="0" w:line="360" w:lineRule="auto"/>
        <w:ind w:left="0" w:firstLine="0"/>
        <w:rPr>
          <w:color w:val="auto"/>
          <w:sz w:val="28"/>
          <w:szCs w:val="28"/>
        </w:rPr>
      </w:pPr>
      <w:bookmarkStart w:id="468" w:name="_Toc54335496"/>
      <w:bookmarkStart w:id="469" w:name="_Toc22806244"/>
      <w:r>
        <w:rPr>
          <w:rFonts w:hint="eastAsia"/>
          <w:color w:val="auto"/>
          <w:sz w:val="28"/>
          <w:szCs w:val="28"/>
        </w:rPr>
        <w:br w:type="page"/>
      </w:r>
      <w:bookmarkStart w:id="470" w:name="_Toc26798"/>
      <w:r>
        <w:rPr>
          <w:rFonts w:hint="eastAsia"/>
          <w:color w:val="auto"/>
          <w:sz w:val="28"/>
          <w:szCs w:val="28"/>
        </w:rPr>
        <w:t>分项报价明细表</w:t>
      </w:r>
      <w:bookmarkEnd w:id="468"/>
      <w:bookmarkEnd w:id="469"/>
      <w:bookmarkEnd w:id="470"/>
    </w:p>
    <w:p>
      <w:pPr>
        <w:spacing w:line="360" w:lineRule="auto"/>
        <w:ind w:left="1083" w:hanging="1078" w:hangingChars="337"/>
        <w:jc w:val="center"/>
        <w:rPr>
          <w:rFonts w:ascii="宋体" w:hAnsi="宋体"/>
          <w:b/>
          <w:color w:val="auto"/>
          <w:sz w:val="32"/>
          <w:szCs w:val="32"/>
        </w:rPr>
      </w:pPr>
      <w:r>
        <w:rPr>
          <w:rFonts w:hint="eastAsia" w:ascii="宋体" w:hAnsi="宋体"/>
          <w:b/>
          <w:color w:val="auto"/>
          <w:sz w:val="32"/>
          <w:szCs w:val="32"/>
        </w:rPr>
        <w:t>分项报价明细表</w:t>
      </w:r>
    </w:p>
    <w:p>
      <w:pPr>
        <w:spacing w:line="360" w:lineRule="auto"/>
        <w:ind w:left="809" w:hanging="808" w:hangingChars="337"/>
        <w:rPr>
          <w:rFonts w:hint="eastAsia" w:ascii="宋体" w:hAnsi="宋体" w:eastAsia="宋体"/>
          <w:color w:val="auto"/>
          <w:sz w:val="24"/>
          <w:szCs w:val="24"/>
          <w:lang w:eastAsia="zh-CN"/>
        </w:rPr>
      </w:pPr>
      <w:r>
        <w:rPr>
          <w:rFonts w:hint="eastAsia" w:ascii="宋体" w:hAnsi="宋体"/>
          <w:color w:val="auto"/>
          <w:sz w:val="24"/>
          <w:szCs w:val="24"/>
        </w:rPr>
        <w:t>采购项目名称：</w:t>
      </w:r>
      <w:r>
        <w:rPr>
          <w:rFonts w:hint="eastAsia" w:ascii="宋体" w:hAnsi="宋体"/>
          <w:color w:val="auto"/>
          <w:sz w:val="24"/>
          <w:szCs w:val="24"/>
          <w:lang w:eastAsia="zh-CN"/>
        </w:rPr>
        <w:t>工业和信息化部电子第五研究所动力电池配套使用环境试验箱采购项目</w:t>
      </w:r>
    </w:p>
    <w:p>
      <w:pPr>
        <w:spacing w:line="360" w:lineRule="auto"/>
        <w:ind w:left="809" w:hanging="808" w:hangingChars="337"/>
        <w:rPr>
          <w:rFonts w:ascii="宋体" w:hAnsi="宋体"/>
          <w:color w:val="auto"/>
          <w:sz w:val="24"/>
          <w:szCs w:val="24"/>
        </w:rPr>
      </w:pPr>
      <w:r>
        <w:rPr>
          <w:rFonts w:hint="eastAsia" w:ascii="宋体" w:hAnsi="宋体"/>
          <w:color w:val="auto"/>
          <w:sz w:val="24"/>
          <w:szCs w:val="24"/>
        </w:rPr>
        <w:t>采购包号：</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255"/>
        <w:gridCol w:w="1200"/>
        <w:gridCol w:w="1068"/>
        <w:gridCol w:w="923"/>
        <w:gridCol w:w="1365"/>
        <w:gridCol w:w="728"/>
        <w:gridCol w:w="709"/>
        <w:gridCol w:w="1262"/>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710" w:type="dxa"/>
            <w:tcBorders>
              <w:left w:val="single" w:color="auto" w:sz="4" w:space="0"/>
            </w:tcBorders>
            <w:vAlign w:val="center"/>
          </w:tcPr>
          <w:p>
            <w:pPr>
              <w:spacing w:line="360" w:lineRule="auto"/>
              <w:jc w:val="center"/>
              <w:rPr>
                <w:rFonts w:ascii="宋体" w:hAnsi="宋体"/>
                <w:color w:val="auto"/>
                <w:szCs w:val="21"/>
              </w:rPr>
            </w:pPr>
            <w:r>
              <w:rPr>
                <w:rFonts w:hint="eastAsia" w:ascii="宋体" w:hAnsi="宋体"/>
                <w:color w:val="auto"/>
                <w:szCs w:val="21"/>
              </w:rPr>
              <w:t>序号</w:t>
            </w:r>
          </w:p>
        </w:tc>
        <w:tc>
          <w:tcPr>
            <w:tcW w:w="1255" w:type="dxa"/>
            <w:vAlign w:val="center"/>
          </w:tcPr>
          <w:p>
            <w:pPr>
              <w:spacing w:line="360" w:lineRule="auto"/>
              <w:jc w:val="center"/>
              <w:rPr>
                <w:rFonts w:ascii="宋体" w:hAnsi="宋体"/>
                <w:color w:val="auto"/>
                <w:szCs w:val="21"/>
              </w:rPr>
            </w:pPr>
            <w:r>
              <w:rPr>
                <w:rFonts w:hint="eastAsia" w:ascii="宋体" w:hAnsi="宋体"/>
                <w:color w:val="auto"/>
                <w:szCs w:val="21"/>
              </w:rPr>
              <w:t>货物名称</w:t>
            </w:r>
          </w:p>
        </w:tc>
        <w:tc>
          <w:tcPr>
            <w:tcW w:w="1200" w:type="dxa"/>
            <w:vAlign w:val="center"/>
          </w:tcPr>
          <w:p>
            <w:pPr>
              <w:spacing w:line="360" w:lineRule="auto"/>
              <w:jc w:val="center"/>
              <w:rPr>
                <w:rFonts w:ascii="宋体" w:hAnsi="宋体"/>
                <w:color w:val="auto"/>
                <w:szCs w:val="21"/>
              </w:rPr>
            </w:pPr>
            <w:r>
              <w:rPr>
                <w:rFonts w:hint="eastAsia" w:ascii="宋体" w:hAnsi="宋体"/>
                <w:color w:val="auto"/>
                <w:szCs w:val="21"/>
              </w:rPr>
              <w:t>型号规格</w:t>
            </w:r>
          </w:p>
        </w:tc>
        <w:tc>
          <w:tcPr>
            <w:tcW w:w="1068" w:type="dxa"/>
            <w:vAlign w:val="center"/>
          </w:tcPr>
          <w:p>
            <w:pPr>
              <w:spacing w:line="360" w:lineRule="auto"/>
              <w:jc w:val="center"/>
              <w:rPr>
                <w:rFonts w:ascii="宋体" w:hAnsi="宋体"/>
                <w:color w:val="auto"/>
                <w:szCs w:val="21"/>
              </w:rPr>
            </w:pPr>
            <w:r>
              <w:rPr>
                <w:rFonts w:hint="eastAsia" w:ascii="宋体" w:hAnsi="宋体"/>
                <w:color w:val="auto"/>
                <w:szCs w:val="21"/>
              </w:rPr>
              <w:t>品牌</w:t>
            </w:r>
          </w:p>
        </w:tc>
        <w:tc>
          <w:tcPr>
            <w:tcW w:w="923" w:type="dxa"/>
            <w:vAlign w:val="center"/>
          </w:tcPr>
          <w:p>
            <w:pPr>
              <w:spacing w:line="360" w:lineRule="auto"/>
              <w:rPr>
                <w:rFonts w:ascii="宋体" w:hAnsi="宋体"/>
                <w:color w:val="auto"/>
                <w:szCs w:val="21"/>
              </w:rPr>
            </w:pPr>
            <w:r>
              <w:rPr>
                <w:rFonts w:hint="eastAsia" w:ascii="宋体" w:hAnsi="宋体"/>
                <w:color w:val="auto"/>
                <w:szCs w:val="21"/>
              </w:rPr>
              <w:t>产地</w:t>
            </w:r>
          </w:p>
        </w:tc>
        <w:tc>
          <w:tcPr>
            <w:tcW w:w="1365" w:type="dxa"/>
            <w:vAlign w:val="center"/>
          </w:tcPr>
          <w:p>
            <w:pPr>
              <w:spacing w:line="360" w:lineRule="auto"/>
              <w:jc w:val="center"/>
              <w:rPr>
                <w:rFonts w:ascii="宋体" w:hAnsi="宋体"/>
                <w:color w:val="auto"/>
                <w:szCs w:val="21"/>
              </w:rPr>
            </w:pPr>
            <w:r>
              <w:rPr>
                <w:rFonts w:hint="eastAsia" w:ascii="宋体" w:hAnsi="宋体"/>
                <w:color w:val="auto"/>
                <w:szCs w:val="21"/>
              </w:rPr>
              <w:t>制造商名称</w:t>
            </w:r>
          </w:p>
        </w:tc>
        <w:tc>
          <w:tcPr>
            <w:tcW w:w="728" w:type="dxa"/>
            <w:vAlign w:val="center"/>
          </w:tcPr>
          <w:p>
            <w:pPr>
              <w:spacing w:line="360" w:lineRule="auto"/>
              <w:jc w:val="center"/>
              <w:rPr>
                <w:rFonts w:ascii="宋体" w:hAnsi="宋体"/>
                <w:color w:val="auto"/>
                <w:szCs w:val="21"/>
              </w:rPr>
            </w:pPr>
            <w:r>
              <w:rPr>
                <w:rFonts w:hint="eastAsia" w:ascii="宋体" w:hAnsi="宋体"/>
                <w:color w:val="auto"/>
                <w:szCs w:val="21"/>
              </w:rPr>
              <w:t>单位</w:t>
            </w:r>
          </w:p>
        </w:tc>
        <w:tc>
          <w:tcPr>
            <w:tcW w:w="709" w:type="dxa"/>
            <w:vAlign w:val="center"/>
          </w:tcPr>
          <w:p>
            <w:pPr>
              <w:spacing w:line="360" w:lineRule="auto"/>
              <w:jc w:val="center"/>
              <w:rPr>
                <w:rFonts w:ascii="宋体" w:hAnsi="宋体"/>
                <w:color w:val="auto"/>
                <w:szCs w:val="21"/>
              </w:rPr>
            </w:pPr>
            <w:r>
              <w:rPr>
                <w:rFonts w:hint="eastAsia" w:ascii="宋体" w:hAnsi="宋体"/>
                <w:color w:val="auto"/>
                <w:szCs w:val="21"/>
              </w:rPr>
              <w:t>数量</w:t>
            </w:r>
          </w:p>
        </w:tc>
        <w:tc>
          <w:tcPr>
            <w:tcW w:w="1262" w:type="dxa"/>
            <w:tcBorders>
              <w:right w:val="single" w:color="auto" w:sz="4" w:space="0"/>
            </w:tcBorders>
            <w:vAlign w:val="center"/>
          </w:tcPr>
          <w:p>
            <w:pPr>
              <w:spacing w:line="360" w:lineRule="auto"/>
              <w:jc w:val="center"/>
              <w:rPr>
                <w:rFonts w:ascii="宋体" w:hAnsi="宋体"/>
                <w:color w:val="auto"/>
                <w:szCs w:val="21"/>
              </w:rPr>
            </w:pPr>
            <w:r>
              <w:rPr>
                <w:rFonts w:hint="eastAsia" w:ascii="宋体" w:hAnsi="宋体"/>
                <w:color w:val="auto"/>
                <w:szCs w:val="21"/>
              </w:rPr>
              <w:t>单价（元）</w:t>
            </w:r>
          </w:p>
        </w:tc>
        <w:tc>
          <w:tcPr>
            <w:tcW w:w="1219" w:type="dxa"/>
            <w:tcBorders>
              <w:left w:val="single" w:color="auto" w:sz="4" w:space="0"/>
              <w:right w:val="single" w:color="auto" w:sz="4" w:space="0"/>
            </w:tcBorders>
            <w:vAlign w:val="center"/>
          </w:tcPr>
          <w:p>
            <w:pPr>
              <w:spacing w:line="360" w:lineRule="auto"/>
              <w:jc w:val="center"/>
              <w:rPr>
                <w:rFonts w:ascii="宋体" w:hAnsi="宋体"/>
                <w:color w:val="auto"/>
                <w:szCs w:val="21"/>
              </w:rPr>
            </w:pPr>
            <w:r>
              <w:rPr>
                <w:rFonts w:hint="eastAsia" w:ascii="宋体" w:hAnsi="宋体"/>
                <w:color w:val="auto"/>
                <w:szCs w:val="21"/>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710" w:type="dxa"/>
            <w:tcBorders>
              <w:left w:val="single" w:color="auto" w:sz="4" w:space="0"/>
            </w:tcBorders>
            <w:vAlign w:val="center"/>
          </w:tcPr>
          <w:p>
            <w:pPr>
              <w:spacing w:line="360" w:lineRule="auto"/>
              <w:jc w:val="center"/>
              <w:rPr>
                <w:rFonts w:ascii="宋体" w:hAnsi="宋体"/>
                <w:color w:val="auto"/>
                <w:szCs w:val="21"/>
              </w:rPr>
            </w:pPr>
            <w:r>
              <w:rPr>
                <w:rFonts w:ascii="宋体" w:hAnsi="宋体"/>
                <w:color w:val="auto"/>
                <w:szCs w:val="21"/>
              </w:rPr>
              <w:t>……</w:t>
            </w:r>
          </w:p>
        </w:tc>
        <w:tc>
          <w:tcPr>
            <w:tcW w:w="1255" w:type="dxa"/>
            <w:vAlign w:val="center"/>
          </w:tcPr>
          <w:p>
            <w:pPr>
              <w:spacing w:line="360" w:lineRule="auto"/>
              <w:jc w:val="center"/>
              <w:rPr>
                <w:rFonts w:ascii="宋体" w:hAnsi="宋体"/>
                <w:color w:val="auto"/>
                <w:szCs w:val="21"/>
              </w:rPr>
            </w:pPr>
          </w:p>
        </w:tc>
        <w:tc>
          <w:tcPr>
            <w:tcW w:w="1200" w:type="dxa"/>
            <w:vAlign w:val="center"/>
          </w:tcPr>
          <w:p>
            <w:pPr>
              <w:spacing w:line="360" w:lineRule="auto"/>
              <w:jc w:val="center"/>
              <w:rPr>
                <w:rFonts w:ascii="宋体" w:hAnsi="宋体"/>
                <w:color w:val="auto"/>
                <w:szCs w:val="21"/>
              </w:rPr>
            </w:pPr>
          </w:p>
        </w:tc>
        <w:tc>
          <w:tcPr>
            <w:tcW w:w="1068" w:type="dxa"/>
            <w:vAlign w:val="center"/>
          </w:tcPr>
          <w:p>
            <w:pPr>
              <w:spacing w:line="360" w:lineRule="auto"/>
              <w:jc w:val="center"/>
              <w:rPr>
                <w:rFonts w:ascii="宋体" w:hAnsi="宋体"/>
                <w:color w:val="auto"/>
                <w:szCs w:val="21"/>
              </w:rPr>
            </w:pPr>
          </w:p>
        </w:tc>
        <w:tc>
          <w:tcPr>
            <w:tcW w:w="923" w:type="dxa"/>
            <w:vAlign w:val="center"/>
          </w:tcPr>
          <w:p>
            <w:pPr>
              <w:spacing w:line="360" w:lineRule="auto"/>
              <w:jc w:val="center"/>
              <w:rPr>
                <w:rFonts w:ascii="宋体" w:hAnsi="宋体"/>
                <w:color w:val="auto"/>
                <w:szCs w:val="21"/>
              </w:rPr>
            </w:pPr>
          </w:p>
        </w:tc>
        <w:tc>
          <w:tcPr>
            <w:tcW w:w="1365" w:type="dxa"/>
            <w:vAlign w:val="center"/>
          </w:tcPr>
          <w:p>
            <w:pPr>
              <w:spacing w:line="360" w:lineRule="auto"/>
              <w:jc w:val="center"/>
              <w:rPr>
                <w:rFonts w:ascii="宋体" w:hAnsi="宋体"/>
                <w:color w:val="auto"/>
                <w:szCs w:val="21"/>
              </w:rPr>
            </w:pPr>
          </w:p>
        </w:tc>
        <w:tc>
          <w:tcPr>
            <w:tcW w:w="728" w:type="dxa"/>
            <w:vAlign w:val="center"/>
          </w:tcPr>
          <w:p>
            <w:pPr>
              <w:spacing w:line="360" w:lineRule="auto"/>
              <w:jc w:val="center"/>
              <w:rPr>
                <w:rFonts w:ascii="宋体" w:hAnsi="宋体"/>
                <w:color w:val="auto"/>
                <w:szCs w:val="21"/>
              </w:rPr>
            </w:pPr>
          </w:p>
        </w:tc>
        <w:tc>
          <w:tcPr>
            <w:tcW w:w="709" w:type="dxa"/>
            <w:vAlign w:val="center"/>
          </w:tcPr>
          <w:p>
            <w:pPr>
              <w:spacing w:line="360" w:lineRule="auto"/>
              <w:jc w:val="center"/>
              <w:rPr>
                <w:rFonts w:ascii="宋体" w:hAnsi="宋体"/>
                <w:color w:val="auto"/>
                <w:szCs w:val="21"/>
              </w:rPr>
            </w:pPr>
          </w:p>
        </w:tc>
        <w:tc>
          <w:tcPr>
            <w:tcW w:w="1262" w:type="dxa"/>
            <w:tcBorders>
              <w:right w:val="single" w:color="auto" w:sz="4" w:space="0"/>
            </w:tcBorders>
            <w:vAlign w:val="center"/>
          </w:tcPr>
          <w:p>
            <w:pPr>
              <w:spacing w:line="360" w:lineRule="auto"/>
              <w:jc w:val="center"/>
              <w:rPr>
                <w:rFonts w:ascii="宋体" w:hAnsi="宋体"/>
                <w:color w:val="auto"/>
                <w:szCs w:val="21"/>
              </w:rPr>
            </w:pPr>
          </w:p>
        </w:tc>
        <w:tc>
          <w:tcPr>
            <w:tcW w:w="1219" w:type="dxa"/>
            <w:tcBorders>
              <w:left w:val="single" w:color="auto" w:sz="4" w:space="0"/>
              <w:right w:val="single" w:color="auto" w:sz="4" w:space="0"/>
            </w:tcBorders>
            <w:vAlign w:val="center"/>
          </w:tcPr>
          <w:p>
            <w:pPr>
              <w:spacing w:line="360" w:lineRule="auto"/>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710" w:type="dxa"/>
            <w:tcBorders>
              <w:left w:val="single" w:color="auto" w:sz="4" w:space="0"/>
            </w:tcBorders>
            <w:vAlign w:val="center"/>
          </w:tcPr>
          <w:p>
            <w:pPr>
              <w:spacing w:line="360" w:lineRule="auto"/>
              <w:jc w:val="center"/>
              <w:rPr>
                <w:rFonts w:ascii="宋体" w:hAnsi="宋体"/>
                <w:color w:val="auto"/>
                <w:szCs w:val="21"/>
              </w:rPr>
            </w:pPr>
          </w:p>
        </w:tc>
        <w:tc>
          <w:tcPr>
            <w:tcW w:w="1255" w:type="dxa"/>
            <w:vAlign w:val="center"/>
          </w:tcPr>
          <w:p>
            <w:pPr>
              <w:spacing w:line="360" w:lineRule="auto"/>
              <w:jc w:val="center"/>
              <w:rPr>
                <w:rFonts w:ascii="宋体" w:hAnsi="宋体"/>
                <w:color w:val="auto"/>
                <w:szCs w:val="21"/>
              </w:rPr>
            </w:pPr>
          </w:p>
        </w:tc>
        <w:tc>
          <w:tcPr>
            <w:tcW w:w="1200" w:type="dxa"/>
            <w:vAlign w:val="center"/>
          </w:tcPr>
          <w:p>
            <w:pPr>
              <w:spacing w:line="360" w:lineRule="auto"/>
              <w:jc w:val="center"/>
              <w:rPr>
                <w:rFonts w:ascii="宋体" w:hAnsi="宋体"/>
                <w:color w:val="auto"/>
                <w:szCs w:val="21"/>
              </w:rPr>
            </w:pPr>
          </w:p>
        </w:tc>
        <w:tc>
          <w:tcPr>
            <w:tcW w:w="1068" w:type="dxa"/>
            <w:vAlign w:val="center"/>
          </w:tcPr>
          <w:p>
            <w:pPr>
              <w:spacing w:line="360" w:lineRule="auto"/>
              <w:jc w:val="center"/>
              <w:rPr>
                <w:rFonts w:ascii="宋体" w:hAnsi="宋体"/>
                <w:color w:val="auto"/>
                <w:szCs w:val="21"/>
              </w:rPr>
            </w:pPr>
          </w:p>
        </w:tc>
        <w:tc>
          <w:tcPr>
            <w:tcW w:w="923" w:type="dxa"/>
            <w:vAlign w:val="center"/>
          </w:tcPr>
          <w:p>
            <w:pPr>
              <w:spacing w:line="360" w:lineRule="auto"/>
              <w:jc w:val="center"/>
              <w:rPr>
                <w:rFonts w:ascii="宋体" w:hAnsi="宋体"/>
                <w:color w:val="auto"/>
                <w:szCs w:val="21"/>
              </w:rPr>
            </w:pPr>
          </w:p>
        </w:tc>
        <w:tc>
          <w:tcPr>
            <w:tcW w:w="1365" w:type="dxa"/>
            <w:vAlign w:val="center"/>
          </w:tcPr>
          <w:p>
            <w:pPr>
              <w:spacing w:line="360" w:lineRule="auto"/>
              <w:jc w:val="center"/>
              <w:rPr>
                <w:rFonts w:ascii="宋体" w:hAnsi="宋体"/>
                <w:color w:val="auto"/>
                <w:szCs w:val="21"/>
              </w:rPr>
            </w:pPr>
          </w:p>
        </w:tc>
        <w:tc>
          <w:tcPr>
            <w:tcW w:w="728" w:type="dxa"/>
            <w:vAlign w:val="center"/>
          </w:tcPr>
          <w:p>
            <w:pPr>
              <w:spacing w:line="360" w:lineRule="auto"/>
              <w:jc w:val="center"/>
              <w:rPr>
                <w:rFonts w:ascii="宋体" w:hAnsi="宋体"/>
                <w:color w:val="auto"/>
                <w:szCs w:val="21"/>
              </w:rPr>
            </w:pPr>
          </w:p>
        </w:tc>
        <w:tc>
          <w:tcPr>
            <w:tcW w:w="709" w:type="dxa"/>
            <w:vAlign w:val="center"/>
          </w:tcPr>
          <w:p>
            <w:pPr>
              <w:spacing w:line="360" w:lineRule="auto"/>
              <w:jc w:val="center"/>
              <w:rPr>
                <w:rFonts w:ascii="宋体" w:hAnsi="宋体"/>
                <w:color w:val="auto"/>
                <w:szCs w:val="21"/>
              </w:rPr>
            </w:pPr>
          </w:p>
        </w:tc>
        <w:tc>
          <w:tcPr>
            <w:tcW w:w="1262" w:type="dxa"/>
            <w:tcBorders>
              <w:right w:val="single" w:color="auto" w:sz="4" w:space="0"/>
            </w:tcBorders>
            <w:vAlign w:val="center"/>
          </w:tcPr>
          <w:p>
            <w:pPr>
              <w:spacing w:line="360" w:lineRule="auto"/>
              <w:jc w:val="center"/>
              <w:rPr>
                <w:rFonts w:ascii="宋体" w:hAnsi="宋体"/>
                <w:color w:val="auto"/>
                <w:szCs w:val="21"/>
              </w:rPr>
            </w:pPr>
          </w:p>
        </w:tc>
        <w:tc>
          <w:tcPr>
            <w:tcW w:w="1219" w:type="dxa"/>
            <w:tcBorders>
              <w:left w:val="single" w:color="auto" w:sz="4" w:space="0"/>
              <w:right w:val="single" w:color="auto" w:sz="4" w:space="0"/>
            </w:tcBorders>
            <w:vAlign w:val="center"/>
          </w:tcPr>
          <w:p>
            <w:pPr>
              <w:spacing w:line="360" w:lineRule="auto"/>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710" w:type="dxa"/>
            <w:tcBorders>
              <w:left w:val="single" w:color="auto" w:sz="4" w:space="0"/>
            </w:tcBorders>
            <w:vAlign w:val="center"/>
          </w:tcPr>
          <w:p>
            <w:pPr>
              <w:spacing w:line="360" w:lineRule="auto"/>
              <w:jc w:val="center"/>
              <w:rPr>
                <w:rFonts w:ascii="宋体" w:hAnsi="宋体"/>
                <w:color w:val="auto"/>
                <w:szCs w:val="21"/>
              </w:rPr>
            </w:pPr>
            <w:r>
              <w:rPr>
                <w:rFonts w:ascii="宋体" w:hAnsi="宋体"/>
                <w:color w:val="auto"/>
                <w:szCs w:val="21"/>
              </w:rPr>
              <w:t>……</w:t>
            </w:r>
          </w:p>
        </w:tc>
        <w:tc>
          <w:tcPr>
            <w:tcW w:w="1255" w:type="dxa"/>
            <w:vAlign w:val="center"/>
          </w:tcPr>
          <w:p>
            <w:pPr>
              <w:spacing w:line="360" w:lineRule="auto"/>
              <w:jc w:val="center"/>
              <w:rPr>
                <w:rFonts w:ascii="宋体" w:hAnsi="宋体"/>
                <w:color w:val="auto"/>
                <w:szCs w:val="21"/>
              </w:rPr>
            </w:pPr>
          </w:p>
        </w:tc>
        <w:tc>
          <w:tcPr>
            <w:tcW w:w="1200" w:type="dxa"/>
            <w:vAlign w:val="center"/>
          </w:tcPr>
          <w:p>
            <w:pPr>
              <w:spacing w:line="360" w:lineRule="auto"/>
              <w:jc w:val="center"/>
              <w:rPr>
                <w:rFonts w:ascii="宋体" w:hAnsi="宋体"/>
                <w:color w:val="auto"/>
                <w:szCs w:val="21"/>
              </w:rPr>
            </w:pPr>
          </w:p>
        </w:tc>
        <w:tc>
          <w:tcPr>
            <w:tcW w:w="1068" w:type="dxa"/>
            <w:vAlign w:val="center"/>
          </w:tcPr>
          <w:p>
            <w:pPr>
              <w:spacing w:line="360" w:lineRule="auto"/>
              <w:jc w:val="center"/>
              <w:rPr>
                <w:rFonts w:ascii="宋体" w:hAnsi="宋体"/>
                <w:color w:val="auto"/>
                <w:szCs w:val="21"/>
              </w:rPr>
            </w:pPr>
          </w:p>
        </w:tc>
        <w:tc>
          <w:tcPr>
            <w:tcW w:w="923" w:type="dxa"/>
            <w:vAlign w:val="center"/>
          </w:tcPr>
          <w:p>
            <w:pPr>
              <w:spacing w:line="360" w:lineRule="auto"/>
              <w:jc w:val="center"/>
              <w:rPr>
                <w:rFonts w:ascii="宋体" w:hAnsi="宋体"/>
                <w:color w:val="auto"/>
                <w:szCs w:val="21"/>
              </w:rPr>
            </w:pPr>
          </w:p>
        </w:tc>
        <w:tc>
          <w:tcPr>
            <w:tcW w:w="1365" w:type="dxa"/>
            <w:vAlign w:val="center"/>
          </w:tcPr>
          <w:p>
            <w:pPr>
              <w:spacing w:line="360" w:lineRule="auto"/>
              <w:jc w:val="center"/>
              <w:rPr>
                <w:rFonts w:ascii="宋体" w:hAnsi="宋体"/>
                <w:color w:val="auto"/>
                <w:szCs w:val="21"/>
              </w:rPr>
            </w:pPr>
          </w:p>
        </w:tc>
        <w:tc>
          <w:tcPr>
            <w:tcW w:w="728" w:type="dxa"/>
            <w:vAlign w:val="center"/>
          </w:tcPr>
          <w:p>
            <w:pPr>
              <w:spacing w:line="360" w:lineRule="auto"/>
              <w:jc w:val="center"/>
              <w:rPr>
                <w:rFonts w:ascii="宋体" w:hAnsi="宋体"/>
                <w:color w:val="auto"/>
                <w:szCs w:val="21"/>
              </w:rPr>
            </w:pPr>
          </w:p>
        </w:tc>
        <w:tc>
          <w:tcPr>
            <w:tcW w:w="709" w:type="dxa"/>
            <w:vAlign w:val="center"/>
          </w:tcPr>
          <w:p>
            <w:pPr>
              <w:spacing w:line="360" w:lineRule="auto"/>
              <w:jc w:val="center"/>
              <w:rPr>
                <w:rFonts w:ascii="宋体" w:hAnsi="宋体"/>
                <w:color w:val="auto"/>
                <w:szCs w:val="21"/>
              </w:rPr>
            </w:pPr>
          </w:p>
        </w:tc>
        <w:tc>
          <w:tcPr>
            <w:tcW w:w="1262" w:type="dxa"/>
            <w:tcBorders>
              <w:right w:val="single" w:color="auto" w:sz="4" w:space="0"/>
            </w:tcBorders>
            <w:vAlign w:val="center"/>
          </w:tcPr>
          <w:p>
            <w:pPr>
              <w:spacing w:line="360" w:lineRule="auto"/>
              <w:jc w:val="center"/>
              <w:rPr>
                <w:rFonts w:ascii="宋体" w:hAnsi="宋体"/>
                <w:color w:val="auto"/>
                <w:szCs w:val="21"/>
              </w:rPr>
            </w:pPr>
          </w:p>
        </w:tc>
        <w:tc>
          <w:tcPr>
            <w:tcW w:w="1219" w:type="dxa"/>
            <w:tcBorders>
              <w:left w:val="single" w:color="auto" w:sz="4" w:space="0"/>
              <w:right w:val="single" w:color="auto" w:sz="4" w:space="0"/>
            </w:tcBorders>
            <w:vAlign w:val="center"/>
          </w:tcPr>
          <w:p>
            <w:pPr>
              <w:spacing w:line="360" w:lineRule="auto"/>
              <w:jc w:val="cente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965" w:type="dxa"/>
            <w:gridSpan w:val="2"/>
            <w:tcBorders>
              <w:left w:val="single" w:color="auto" w:sz="4" w:space="0"/>
            </w:tcBorders>
            <w:vAlign w:val="center"/>
          </w:tcPr>
          <w:p>
            <w:pPr>
              <w:spacing w:line="360" w:lineRule="auto"/>
              <w:jc w:val="center"/>
              <w:rPr>
                <w:rFonts w:ascii="宋体" w:hAnsi="宋体"/>
                <w:color w:val="auto"/>
                <w:szCs w:val="21"/>
              </w:rPr>
            </w:pPr>
            <w:r>
              <w:rPr>
                <w:rFonts w:hint="eastAsia" w:ascii="宋体" w:hAnsi="宋体"/>
                <w:bCs/>
                <w:color w:val="auto"/>
                <w:szCs w:val="21"/>
              </w:rPr>
              <w:t>总计（投标总价）</w:t>
            </w:r>
          </w:p>
        </w:tc>
        <w:tc>
          <w:tcPr>
            <w:tcW w:w="8474" w:type="dxa"/>
            <w:gridSpan w:val="8"/>
            <w:tcBorders>
              <w:right w:val="single" w:color="auto" w:sz="4" w:space="0"/>
            </w:tcBorders>
            <w:vAlign w:val="center"/>
          </w:tcPr>
          <w:p>
            <w:pPr>
              <w:spacing w:line="360" w:lineRule="auto"/>
              <w:jc w:val="center"/>
              <w:rPr>
                <w:rFonts w:ascii="宋体" w:hAnsi="宋体"/>
                <w:color w:val="auto"/>
                <w:szCs w:val="21"/>
              </w:rPr>
            </w:pPr>
            <w:r>
              <w:rPr>
                <w:rFonts w:hint="eastAsia" w:ascii="宋体" w:hAnsi="宋体"/>
                <w:bCs/>
                <w:color w:val="auto"/>
                <w:szCs w:val="21"/>
                <w:u w:val="single"/>
              </w:rPr>
              <w:t xml:space="preserve">                   </w:t>
            </w:r>
            <w:r>
              <w:rPr>
                <w:rFonts w:hint="eastAsia" w:ascii="宋体" w:hAnsi="宋体"/>
                <w:bCs/>
                <w:color w:val="auto"/>
                <w:szCs w:val="21"/>
              </w:rPr>
              <w:t>元</w:t>
            </w:r>
          </w:p>
        </w:tc>
      </w:tr>
    </w:tbl>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投标人名称（加盖公章）：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投标人法定代表人或授权代表（签字或盖章）：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日期：</w:t>
      </w:r>
      <w:r>
        <w:rPr>
          <w:rFonts w:hint="eastAsia" w:ascii="宋体" w:hAnsi="宋体"/>
          <w:color w:val="auto"/>
          <w:sz w:val="24"/>
          <w:szCs w:val="24"/>
          <w:u w:val="single"/>
        </w:rPr>
        <w:t xml:space="preserve">        </w:t>
      </w:r>
      <w:r>
        <w:rPr>
          <w:rFonts w:hint="eastAsia" w:ascii="宋体" w:hAnsi="宋体"/>
          <w:color w:val="auto"/>
          <w:sz w:val="24"/>
          <w:szCs w:val="24"/>
        </w:rPr>
        <w:t>年</w:t>
      </w:r>
      <w:r>
        <w:rPr>
          <w:rFonts w:hint="eastAsia" w:ascii="宋体" w:hAnsi="宋体"/>
          <w:color w:val="auto"/>
          <w:sz w:val="24"/>
          <w:szCs w:val="24"/>
          <w:u w:val="single"/>
        </w:rPr>
        <w:t xml:space="preserve">    </w:t>
      </w:r>
      <w:r>
        <w:rPr>
          <w:rFonts w:hint="eastAsia" w:ascii="宋体" w:hAnsi="宋体"/>
          <w:color w:val="auto"/>
          <w:sz w:val="24"/>
          <w:szCs w:val="24"/>
        </w:rPr>
        <w:t>月</w:t>
      </w:r>
      <w:r>
        <w:rPr>
          <w:rFonts w:hint="eastAsia" w:ascii="宋体" w:hAnsi="宋体"/>
          <w:color w:val="auto"/>
          <w:sz w:val="24"/>
          <w:szCs w:val="24"/>
          <w:u w:val="single"/>
        </w:rPr>
        <w:t xml:space="preserve">    </w:t>
      </w:r>
      <w:r>
        <w:rPr>
          <w:rFonts w:hint="eastAsia" w:ascii="宋体" w:hAnsi="宋体"/>
          <w:color w:val="auto"/>
          <w:sz w:val="24"/>
          <w:szCs w:val="24"/>
        </w:rPr>
        <w:t>日</w:t>
      </w:r>
    </w:p>
    <w:p>
      <w:pPr>
        <w:autoSpaceDE w:val="0"/>
        <w:autoSpaceDN w:val="0"/>
        <w:rPr>
          <w:rFonts w:ascii="宋体" w:hAnsi="宋体"/>
          <w:b/>
          <w:color w:val="auto"/>
          <w:sz w:val="24"/>
          <w:szCs w:val="24"/>
        </w:rPr>
      </w:pPr>
    </w:p>
    <w:p>
      <w:pPr>
        <w:autoSpaceDE w:val="0"/>
        <w:autoSpaceDN w:val="0"/>
        <w:rPr>
          <w:rFonts w:ascii="宋体" w:hAnsi="宋体"/>
          <w:b/>
          <w:color w:val="auto"/>
          <w:sz w:val="24"/>
          <w:szCs w:val="24"/>
        </w:rPr>
      </w:pPr>
      <w:r>
        <w:rPr>
          <w:rFonts w:hint="eastAsia" w:ascii="宋体" w:hAnsi="宋体"/>
          <w:b/>
          <w:color w:val="auto"/>
          <w:sz w:val="24"/>
          <w:szCs w:val="24"/>
        </w:rPr>
        <w:t>备注：</w:t>
      </w:r>
    </w:p>
    <w:p>
      <w:pPr>
        <w:ind w:firstLine="480" w:firstLineChars="200"/>
        <w:rPr>
          <w:rFonts w:ascii="宋体" w:hAnsi="宋体"/>
          <w:color w:val="auto"/>
          <w:sz w:val="24"/>
          <w:szCs w:val="24"/>
        </w:rPr>
      </w:pPr>
      <w:r>
        <w:rPr>
          <w:rFonts w:hint="eastAsia" w:ascii="宋体" w:hAnsi="宋体"/>
          <w:color w:val="auto"/>
          <w:sz w:val="24"/>
          <w:szCs w:val="24"/>
        </w:rPr>
        <w:t>1.此表为《开标一览表》的分项报价明细表，以上各部分合计（总价）应与开标一览表中的投标总价保持一致。</w:t>
      </w:r>
    </w:p>
    <w:p>
      <w:pPr>
        <w:ind w:firstLine="480" w:firstLineChars="200"/>
        <w:rPr>
          <w:rFonts w:ascii="宋体" w:hAnsi="宋体"/>
          <w:color w:val="auto"/>
          <w:sz w:val="24"/>
          <w:szCs w:val="24"/>
        </w:rPr>
      </w:pPr>
      <w:r>
        <w:rPr>
          <w:rFonts w:hint="eastAsia" w:ascii="宋体" w:hAnsi="宋体"/>
          <w:color w:val="auto"/>
          <w:sz w:val="24"/>
          <w:szCs w:val="24"/>
        </w:rPr>
        <w:t>2.如《采购需求》提供了货物清单，投标人须按照《采购需求》的货物清单逐项提供各分项货物及相关服务报价；如《采购需求》没有提供货物清单，投标人可参照本表格式提供各分项货物及相关服务报价，也可以自定格式提供各分项货物及相关服务报价。</w:t>
      </w:r>
    </w:p>
    <w:p>
      <w:pPr>
        <w:autoSpaceDE w:val="0"/>
        <w:autoSpaceDN w:val="0"/>
        <w:ind w:firstLine="480" w:firstLineChars="200"/>
        <w:rPr>
          <w:rFonts w:ascii="宋体" w:hAnsi="宋体"/>
          <w:color w:val="auto"/>
          <w:sz w:val="24"/>
          <w:szCs w:val="24"/>
        </w:rPr>
      </w:pPr>
      <w:r>
        <w:rPr>
          <w:rFonts w:hint="eastAsia" w:ascii="宋体" w:hAnsi="宋体"/>
          <w:color w:val="auto"/>
          <w:sz w:val="24"/>
          <w:szCs w:val="24"/>
        </w:rPr>
        <w:t>3.投标人提供各分项货物及相关服务报价，应明确列明各分项货物名称、数量及关键（主要）内容（如品牌</w:t>
      </w:r>
      <w:r>
        <w:rPr>
          <w:rFonts w:hint="eastAsia" w:ascii="宋体" w:hAnsi="宋体"/>
          <w:color w:val="auto"/>
          <w:sz w:val="24"/>
          <w:szCs w:val="24"/>
        </w:rPr>
        <w:tab/>
      </w:r>
      <w:r>
        <w:rPr>
          <w:rFonts w:hint="eastAsia" w:ascii="宋体" w:hAnsi="宋体"/>
          <w:color w:val="auto"/>
          <w:sz w:val="24"/>
          <w:szCs w:val="24"/>
        </w:rPr>
        <w:t>型号、规格、</w:t>
      </w:r>
      <w:r>
        <w:rPr>
          <w:rFonts w:hint="eastAsia" w:ascii="宋体" w:hAnsi="宋体"/>
          <w:color w:val="auto"/>
          <w:sz w:val="24"/>
          <w:szCs w:val="24"/>
        </w:rPr>
        <w:tab/>
      </w:r>
      <w:r>
        <w:rPr>
          <w:rFonts w:hint="eastAsia" w:ascii="宋体" w:hAnsi="宋体"/>
          <w:color w:val="auto"/>
          <w:sz w:val="24"/>
          <w:szCs w:val="24"/>
        </w:rPr>
        <w:t>制造商、产地等），投标人未按《采购需求》的货物清单（如有）逐项列明分项货物的，如中标，招标人有权按照对项目最有利原则要求中标供应商完善，招标人无需另外支付任何费用。</w:t>
      </w:r>
      <w:r>
        <w:rPr>
          <w:rFonts w:hint="eastAsia" w:ascii="宋体" w:hAnsi="宋体"/>
          <w:b/>
          <w:color w:val="auto"/>
          <w:sz w:val="24"/>
          <w:szCs w:val="24"/>
        </w:rPr>
        <w:t>投标人需在电子文档里放入《分项报价明细表》（如有）的 excel 格式文件。</w:t>
      </w:r>
    </w:p>
    <w:p>
      <w:pPr>
        <w:pStyle w:val="5"/>
        <w:numPr>
          <w:ilvl w:val="0"/>
          <w:numId w:val="99"/>
        </w:numPr>
        <w:tabs>
          <w:tab w:val="left" w:pos="945"/>
        </w:tabs>
        <w:spacing w:before="0" w:after="0" w:line="360" w:lineRule="auto"/>
        <w:ind w:left="0" w:firstLine="0"/>
        <w:rPr>
          <w:color w:val="auto"/>
          <w:sz w:val="28"/>
          <w:szCs w:val="28"/>
        </w:rPr>
      </w:pPr>
      <w:bookmarkStart w:id="471" w:name="_Toc22806245"/>
      <w:bookmarkStart w:id="472" w:name="_Toc54335497"/>
      <w:r>
        <w:rPr>
          <w:rFonts w:hint="eastAsia"/>
          <w:color w:val="auto"/>
          <w:sz w:val="28"/>
          <w:szCs w:val="28"/>
        </w:rPr>
        <w:br w:type="page"/>
      </w:r>
      <w:bookmarkStart w:id="473" w:name="_Toc9927"/>
      <w:r>
        <w:rPr>
          <w:rFonts w:hint="eastAsia"/>
          <w:color w:val="auto"/>
          <w:sz w:val="28"/>
          <w:szCs w:val="28"/>
        </w:rPr>
        <w:t>政策适用性说明</w:t>
      </w:r>
      <w:bookmarkEnd w:id="471"/>
      <w:r>
        <w:rPr>
          <w:rFonts w:hint="eastAsia"/>
          <w:color w:val="auto"/>
          <w:sz w:val="28"/>
          <w:szCs w:val="28"/>
        </w:rPr>
        <w:t>（如适用）</w:t>
      </w:r>
      <w:bookmarkEnd w:id="472"/>
      <w:bookmarkEnd w:id="473"/>
    </w:p>
    <w:p>
      <w:pPr>
        <w:spacing w:line="360" w:lineRule="auto"/>
        <w:ind w:left="1083" w:hanging="1078" w:hangingChars="337"/>
        <w:jc w:val="center"/>
        <w:rPr>
          <w:rFonts w:ascii="宋体" w:hAnsi="宋体"/>
          <w:b/>
          <w:color w:val="auto"/>
          <w:sz w:val="32"/>
          <w:szCs w:val="32"/>
        </w:rPr>
      </w:pPr>
      <w:r>
        <w:rPr>
          <w:rFonts w:hint="eastAsia" w:ascii="宋体" w:hAnsi="宋体"/>
          <w:b/>
          <w:color w:val="auto"/>
          <w:sz w:val="32"/>
          <w:szCs w:val="32"/>
        </w:rPr>
        <w:t>政策适用性说明（如适用）</w:t>
      </w:r>
    </w:p>
    <w:p>
      <w:pPr>
        <w:spacing w:line="360" w:lineRule="auto"/>
        <w:ind w:left="809" w:hanging="808" w:hangingChars="337"/>
        <w:rPr>
          <w:rFonts w:hint="eastAsia" w:ascii="宋体" w:hAnsi="宋体" w:eastAsia="宋体"/>
          <w:color w:val="auto"/>
          <w:sz w:val="24"/>
          <w:szCs w:val="24"/>
          <w:lang w:eastAsia="zh-CN"/>
        </w:rPr>
      </w:pPr>
      <w:r>
        <w:rPr>
          <w:rFonts w:hint="eastAsia" w:ascii="宋体" w:hAnsi="宋体"/>
          <w:color w:val="auto"/>
          <w:sz w:val="24"/>
          <w:szCs w:val="24"/>
        </w:rPr>
        <w:t>采购项目名称：</w:t>
      </w:r>
      <w:r>
        <w:rPr>
          <w:rFonts w:hint="eastAsia" w:ascii="宋体" w:hAnsi="宋体"/>
          <w:color w:val="auto"/>
          <w:sz w:val="24"/>
          <w:szCs w:val="24"/>
          <w:lang w:eastAsia="zh-CN"/>
        </w:rPr>
        <w:t>工业和信息化部电子第五研究所动力电池配套使用环境试验箱采购项目</w:t>
      </w:r>
    </w:p>
    <w:p>
      <w:pPr>
        <w:spacing w:line="360" w:lineRule="auto"/>
        <w:ind w:left="809" w:hanging="808" w:hangingChars="337"/>
        <w:rPr>
          <w:rFonts w:ascii="宋体" w:hAnsi="宋体"/>
          <w:color w:val="auto"/>
          <w:sz w:val="24"/>
          <w:szCs w:val="24"/>
        </w:rPr>
      </w:pPr>
      <w:r>
        <w:rPr>
          <w:rFonts w:hint="eastAsia" w:ascii="宋体" w:hAnsi="宋体"/>
          <w:color w:val="auto"/>
          <w:sz w:val="24"/>
          <w:szCs w:val="24"/>
        </w:rPr>
        <w:t>采购包号：</w:t>
      </w:r>
    </w:p>
    <w:p>
      <w:pPr>
        <w:spacing w:line="360" w:lineRule="auto"/>
        <w:ind w:left="812" w:hanging="808" w:hangingChars="337"/>
        <w:jc w:val="center"/>
        <w:rPr>
          <w:rFonts w:ascii="宋体" w:hAnsi="宋体"/>
          <w:b/>
          <w:color w:val="auto"/>
          <w:sz w:val="24"/>
          <w:szCs w:val="24"/>
        </w:rPr>
      </w:pPr>
      <w:r>
        <w:rPr>
          <w:rFonts w:hint="eastAsia" w:ascii="宋体" w:hAnsi="宋体"/>
          <w:b/>
          <w:color w:val="auto"/>
          <w:sz w:val="24"/>
          <w:szCs w:val="24"/>
        </w:rPr>
        <w:t>（一）中小企业政策扶持、节能产品、环境标志产品（如适用）</w:t>
      </w:r>
    </w:p>
    <w:tbl>
      <w:tblPr>
        <w:tblStyle w:val="29"/>
        <w:tblpPr w:leftFromText="180" w:rightFromText="180" w:vertAnchor="text" w:horzAnchor="page" w:tblpX="1842" w:tblpY="14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
        <w:gridCol w:w="592"/>
        <w:gridCol w:w="1187"/>
        <w:gridCol w:w="1001"/>
        <w:gridCol w:w="1334"/>
        <w:gridCol w:w="1203"/>
        <w:gridCol w:w="1188"/>
        <w:gridCol w:w="1210"/>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613" w:type="dxa"/>
            <w:vAlign w:val="center"/>
          </w:tcPr>
          <w:p>
            <w:pPr>
              <w:pStyle w:val="70"/>
              <w:tabs>
                <w:tab w:val="left" w:pos="1260"/>
              </w:tabs>
              <w:jc w:val="center"/>
              <w:rPr>
                <w:rFonts w:ascii="宋体" w:hAnsi="宋体" w:cs="宋体"/>
                <w:color w:val="auto"/>
                <w:sz w:val="24"/>
                <w:lang w:val="en-GB"/>
              </w:rPr>
            </w:pPr>
            <w:r>
              <w:rPr>
                <w:rFonts w:hint="eastAsia" w:ascii="宋体" w:hAnsi="宋体" w:cs="宋体"/>
                <w:color w:val="auto"/>
                <w:sz w:val="24"/>
                <w:lang w:val="en-GB"/>
              </w:rPr>
              <w:t>中小企业政策扶持</w:t>
            </w:r>
          </w:p>
        </w:tc>
        <w:tc>
          <w:tcPr>
            <w:tcW w:w="8501" w:type="dxa"/>
            <w:gridSpan w:val="8"/>
            <w:vAlign w:val="center"/>
          </w:tcPr>
          <w:p>
            <w:pPr>
              <w:ind w:left="809" w:hanging="808" w:hangingChars="337"/>
              <w:rPr>
                <w:rFonts w:ascii="宋体" w:hAnsi="宋体"/>
                <w:color w:val="auto"/>
                <w:sz w:val="24"/>
                <w:szCs w:val="24"/>
              </w:rPr>
            </w:pPr>
            <w:r>
              <w:rPr>
                <w:rFonts w:hint="eastAsia" w:ascii="宋体" w:hAnsi="宋体"/>
                <w:color w:val="auto"/>
                <w:sz w:val="24"/>
                <w:szCs w:val="24"/>
              </w:rPr>
              <w:t>是否出具如下文件材料，在如下“□”标记黑“■”或打勾“</w:t>
            </w:r>
            <w:r>
              <w:rPr>
                <w:rFonts w:hint="eastAsia" w:ascii="宋体" w:hAnsi="宋体"/>
                <w:b/>
                <w:color w:val="auto"/>
                <w:sz w:val="24"/>
                <w:szCs w:val="24"/>
                <w:bdr w:val="single" w:color="auto" w:sz="4" w:space="0"/>
              </w:rPr>
              <w:t>√</w:t>
            </w:r>
            <w:r>
              <w:rPr>
                <w:rFonts w:hint="eastAsia" w:ascii="宋体" w:hAnsi="宋体"/>
                <w:color w:val="auto"/>
                <w:sz w:val="24"/>
                <w:szCs w:val="24"/>
              </w:rPr>
              <w:t>”：</w:t>
            </w:r>
          </w:p>
          <w:p>
            <w:pPr>
              <w:pStyle w:val="70"/>
              <w:tabs>
                <w:tab w:val="left" w:pos="1260"/>
              </w:tabs>
              <w:ind w:left="240" w:hanging="240" w:hangingChars="100"/>
              <w:jc w:val="left"/>
              <w:rPr>
                <w:rFonts w:ascii="宋体" w:hAnsi="宋体"/>
                <w:color w:val="auto"/>
                <w:sz w:val="24"/>
                <w:lang w:val="en-GB"/>
              </w:rPr>
            </w:pPr>
            <w:r>
              <w:rPr>
                <w:rFonts w:hint="eastAsia" w:ascii="宋体" w:hAnsi="宋体"/>
                <w:color w:val="auto"/>
                <w:sz w:val="24"/>
              </w:rPr>
              <w:t>□《</w:t>
            </w:r>
            <w:r>
              <w:rPr>
                <w:rFonts w:hint="eastAsia" w:ascii="宋体" w:hAnsi="宋体" w:cs="宋体"/>
                <w:color w:val="auto"/>
                <w:sz w:val="24"/>
                <w:shd w:val="clear" w:color="auto" w:fill="FFFFFF"/>
              </w:rPr>
              <w:t>中小企业声明函</w:t>
            </w:r>
            <w:r>
              <w:rPr>
                <w:rFonts w:hint="eastAsia" w:ascii="宋体" w:hAnsi="宋体"/>
                <w:color w:val="auto"/>
                <w:sz w:val="24"/>
              </w:rPr>
              <w:t>》</w:t>
            </w:r>
          </w:p>
          <w:p>
            <w:pPr>
              <w:pStyle w:val="70"/>
              <w:tabs>
                <w:tab w:val="left" w:pos="1260"/>
              </w:tabs>
              <w:ind w:left="240" w:hanging="240" w:hangingChars="100"/>
              <w:jc w:val="left"/>
              <w:rPr>
                <w:rFonts w:ascii="宋体" w:hAnsi="宋体"/>
                <w:color w:val="auto"/>
                <w:sz w:val="24"/>
              </w:rPr>
            </w:pPr>
            <w:r>
              <w:rPr>
                <w:rFonts w:hint="eastAsia" w:ascii="宋体" w:hAnsi="宋体"/>
                <w:color w:val="auto"/>
                <w:sz w:val="24"/>
              </w:rPr>
              <w:t>□监狱企业证明文件</w:t>
            </w:r>
          </w:p>
          <w:p>
            <w:pPr>
              <w:pStyle w:val="70"/>
              <w:tabs>
                <w:tab w:val="left" w:pos="1260"/>
              </w:tabs>
              <w:ind w:left="240" w:hanging="240" w:hangingChars="100"/>
              <w:jc w:val="left"/>
              <w:rPr>
                <w:rFonts w:ascii="宋体" w:hAnsi="宋体"/>
                <w:color w:val="auto"/>
                <w:sz w:val="24"/>
              </w:rPr>
            </w:pPr>
            <w:r>
              <w:rPr>
                <w:rFonts w:hint="eastAsia" w:ascii="宋体" w:hAnsi="宋体"/>
                <w:color w:val="auto"/>
                <w:sz w:val="24"/>
              </w:rPr>
              <w:t>□《残疾人福利性单位声明函》</w:t>
            </w:r>
          </w:p>
          <w:p>
            <w:pPr>
              <w:pStyle w:val="70"/>
              <w:tabs>
                <w:tab w:val="left" w:pos="1260"/>
              </w:tabs>
              <w:ind w:left="240" w:hanging="240" w:hangingChars="100"/>
              <w:jc w:val="left"/>
              <w:rPr>
                <w:rFonts w:ascii="宋体" w:hAnsi="宋体"/>
                <w:color w:val="auto"/>
                <w:sz w:val="24"/>
              </w:rPr>
            </w:pPr>
            <w:r>
              <w:rPr>
                <w:rFonts w:hint="eastAsia" w:ascii="宋体" w:hAnsi="宋体"/>
                <w:color w:val="auto"/>
                <w:sz w:val="24"/>
              </w:rPr>
              <w:t>□《联合协议》</w:t>
            </w:r>
          </w:p>
          <w:p>
            <w:pPr>
              <w:ind w:left="240" w:hanging="240" w:hangingChars="100"/>
              <w:rPr>
                <w:rFonts w:ascii="宋体" w:hAnsi="宋体"/>
                <w:color w:val="auto"/>
                <w:sz w:val="24"/>
                <w:lang w:val="en-GB"/>
              </w:rPr>
            </w:pPr>
            <w:r>
              <w:rPr>
                <w:rFonts w:hint="eastAsia" w:ascii="宋体" w:hAnsi="宋体"/>
                <w:color w:val="auto"/>
                <w:sz w:val="24"/>
              </w:rPr>
              <w:t>□《分包意向协议》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13" w:type="dxa"/>
            <w:vMerge w:val="restart"/>
            <w:vAlign w:val="center"/>
          </w:tcPr>
          <w:p>
            <w:pPr>
              <w:pStyle w:val="70"/>
              <w:tabs>
                <w:tab w:val="left" w:pos="1260"/>
              </w:tabs>
              <w:jc w:val="center"/>
              <w:rPr>
                <w:rFonts w:ascii="宋体" w:hAnsi="宋体" w:cs="宋体"/>
                <w:color w:val="auto"/>
                <w:sz w:val="24"/>
                <w:lang w:val="en-GB"/>
              </w:rPr>
            </w:pPr>
            <w:r>
              <w:rPr>
                <w:rFonts w:hint="eastAsia" w:ascii="宋体" w:hAnsi="宋体" w:cs="宋体"/>
                <w:color w:val="auto"/>
                <w:sz w:val="24"/>
                <w:lang w:val="en-GB"/>
              </w:rPr>
              <w:t>节能</w:t>
            </w:r>
          </w:p>
          <w:p>
            <w:pPr>
              <w:pStyle w:val="70"/>
              <w:tabs>
                <w:tab w:val="left" w:pos="1260"/>
              </w:tabs>
              <w:jc w:val="center"/>
              <w:rPr>
                <w:rFonts w:ascii="宋体" w:hAnsi="宋体" w:cs="宋体"/>
                <w:color w:val="auto"/>
                <w:sz w:val="24"/>
                <w:lang w:val="en-GB"/>
              </w:rPr>
            </w:pPr>
            <w:r>
              <w:rPr>
                <w:rFonts w:hint="eastAsia" w:ascii="宋体" w:hAnsi="宋体" w:cs="宋体"/>
                <w:color w:val="auto"/>
                <w:sz w:val="24"/>
                <w:lang w:val="en-GB"/>
              </w:rPr>
              <w:t>产品</w:t>
            </w:r>
          </w:p>
        </w:tc>
        <w:tc>
          <w:tcPr>
            <w:tcW w:w="592" w:type="dxa"/>
            <w:vMerge w:val="restart"/>
            <w:vAlign w:val="center"/>
          </w:tcPr>
          <w:p>
            <w:pPr>
              <w:pStyle w:val="70"/>
              <w:tabs>
                <w:tab w:val="left" w:pos="1260"/>
              </w:tabs>
              <w:jc w:val="center"/>
              <w:rPr>
                <w:rFonts w:ascii="宋体" w:hAnsi="宋体" w:cs="宋体"/>
                <w:color w:val="auto"/>
                <w:sz w:val="24"/>
                <w:lang w:val="en-GB"/>
              </w:rPr>
            </w:pPr>
            <w:r>
              <w:rPr>
                <w:rFonts w:hint="eastAsia" w:ascii="宋体" w:hAnsi="宋体" w:cs="宋体"/>
                <w:color w:val="auto"/>
                <w:sz w:val="24"/>
                <w:lang w:val="en-GB"/>
              </w:rPr>
              <w:t>序号</w:t>
            </w:r>
          </w:p>
        </w:tc>
        <w:tc>
          <w:tcPr>
            <w:tcW w:w="1187" w:type="dxa"/>
            <w:vMerge w:val="restart"/>
            <w:vAlign w:val="center"/>
          </w:tcPr>
          <w:p>
            <w:pPr>
              <w:pStyle w:val="70"/>
              <w:tabs>
                <w:tab w:val="left" w:pos="1260"/>
              </w:tabs>
              <w:jc w:val="center"/>
              <w:rPr>
                <w:rFonts w:ascii="宋体" w:hAnsi="宋体" w:cs="宋体"/>
                <w:color w:val="auto"/>
                <w:sz w:val="24"/>
                <w:lang w:val="en-GB"/>
              </w:rPr>
            </w:pPr>
            <w:r>
              <w:rPr>
                <w:rFonts w:hint="eastAsia" w:ascii="宋体" w:hAnsi="宋体" w:cs="宋体"/>
                <w:color w:val="auto"/>
                <w:sz w:val="24"/>
                <w:lang w:val="en-GB"/>
              </w:rPr>
              <w:t>产品名称（品牌、型号）</w:t>
            </w:r>
          </w:p>
        </w:tc>
        <w:tc>
          <w:tcPr>
            <w:tcW w:w="1001" w:type="dxa"/>
            <w:vMerge w:val="restart"/>
            <w:vAlign w:val="center"/>
          </w:tcPr>
          <w:p>
            <w:pPr>
              <w:pStyle w:val="70"/>
              <w:tabs>
                <w:tab w:val="left" w:pos="1260"/>
              </w:tabs>
              <w:jc w:val="center"/>
              <w:rPr>
                <w:rFonts w:ascii="宋体" w:hAnsi="宋体" w:cs="宋体"/>
                <w:color w:val="auto"/>
                <w:sz w:val="24"/>
                <w:lang w:val="en-GB"/>
              </w:rPr>
            </w:pPr>
            <w:r>
              <w:rPr>
                <w:rFonts w:hint="eastAsia" w:ascii="宋体" w:hAnsi="宋体" w:cs="宋体"/>
                <w:color w:val="auto"/>
                <w:sz w:val="24"/>
                <w:lang w:val="en-GB"/>
              </w:rPr>
              <w:t>制造商</w:t>
            </w:r>
          </w:p>
        </w:tc>
        <w:tc>
          <w:tcPr>
            <w:tcW w:w="1334" w:type="dxa"/>
            <w:vMerge w:val="restart"/>
            <w:vAlign w:val="center"/>
          </w:tcPr>
          <w:p>
            <w:pPr>
              <w:pStyle w:val="70"/>
              <w:tabs>
                <w:tab w:val="left" w:pos="1260"/>
              </w:tabs>
              <w:jc w:val="center"/>
              <w:rPr>
                <w:rFonts w:ascii="宋体" w:hAnsi="宋体" w:cs="宋体"/>
                <w:color w:val="auto"/>
                <w:sz w:val="24"/>
                <w:lang w:val="en-GB"/>
              </w:rPr>
            </w:pPr>
            <w:r>
              <w:rPr>
                <w:rFonts w:hint="eastAsia" w:ascii="宋体" w:hAnsi="宋体" w:cs="宋体"/>
                <w:color w:val="auto"/>
                <w:sz w:val="24"/>
              </w:rPr>
              <w:t>对应品目清单中的名称</w:t>
            </w:r>
          </w:p>
        </w:tc>
        <w:tc>
          <w:tcPr>
            <w:tcW w:w="3601" w:type="dxa"/>
            <w:gridSpan w:val="3"/>
            <w:vAlign w:val="center"/>
          </w:tcPr>
          <w:p>
            <w:pPr>
              <w:pStyle w:val="70"/>
              <w:tabs>
                <w:tab w:val="left" w:pos="1260"/>
              </w:tabs>
              <w:jc w:val="center"/>
              <w:rPr>
                <w:rFonts w:ascii="宋体" w:hAnsi="宋体" w:cs="宋体"/>
                <w:color w:val="auto"/>
                <w:sz w:val="24"/>
                <w:lang w:val="en-GB"/>
              </w:rPr>
            </w:pPr>
            <w:r>
              <w:rPr>
                <w:rFonts w:hint="eastAsia" w:ascii="宋体" w:hAnsi="宋体" w:cs="宋体"/>
                <w:color w:val="auto"/>
                <w:kern w:val="0"/>
                <w:sz w:val="24"/>
              </w:rPr>
              <w:t>节能产品认证证书</w:t>
            </w:r>
          </w:p>
        </w:tc>
        <w:tc>
          <w:tcPr>
            <w:tcW w:w="786" w:type="dxa"/>
            <w:vMerge w:val="restart"/>
            <w:vAlign w:val="center"/>
          </w:tcPr>
          <w:p>
            <w:pPr>
              <w:pStyle w:val="70"/>
              <w:tabs>
                <w:tab w:val="left" w:pos="1260"/>
              </w:tabs>
              <w:jc w:val="center"/>
              <w:rPr>
                <w:rFonts w:ascii="宋体" w:hAnsi="宋体" w:cs="宋体"/>
                <w:color w:val="auto"/>
                <w:sz w:val="24"/>
                <w:lang w:val="en-GB"/>
              </w:rPr>
            </w:pPr>
            <w:r>
              <w:rPr>
                <w:rFonts w:hint="eastAsia" w:ascii="宋体" w:hAnsi="宋体" w:cs="宋体"/>
                <w:color w:val="auto"/>
                <w:sz w:val="24"/>
                <w:lang w:val="en-GB"/>
              </w:rPr>
              <w:t>金额</w:t>
            </w:r>
            <w:r>
              <w:rPr>
                <w:rFonts w:hint="eastAsia" w:ascii="宋体" w:hAnsi="宋体" w:cs="宋体"/>
                <w:color w:val="auto"/>
                <w:szCs w:val="21"/>
                <w:lang w:val="en-GB"/>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613" w:type="dxa"/>
            <w:vMerge w:val="continue"/>
            <w:vAlign w:val="center"/>
          </w:tcPr>
          <w:p>
            <w:pPr>
              <w:pStyle w:val="70"/>
              <w:tabs>
                <w:tab w:val="left" w:pos="1260"/>
              </w:tabs>
              <w:jc w:val="center"/>
              <w:rPr>
                <w:rFonts w:ascii="宋体" w:hAnsi="宋体" w:cs="宋体"/>
                <w:color w:val="auto"/>
                <w:sz w:val="24"/>
                <w:lang w:val="en-GB"/>
              </w:rPr>
            </w:pPr>
          </w:p>
        </w:tc>
        <w:tc>
          <w:tcPr>
            <w:tcW w:w="592" w:type="dxa"/>
            <w:vMerge w:val="continue"/>
            <w:vAlign w:val="center"/>
          </w:tcPr>
          <w:p>
            <w:pPr>
              <w:pStyle w:val="70"/>
              <w:tabs>
                <w:tab w:val="left" w:pos="1260"/>
              </w:tabs>
              <w:jc w:val="center"/>
              <w:rPr>
                <w:rFonts w:ascii="宋体" w:hAnsi="宋体" w:cs="宋体"/>
                <w:color w:val="auto"/>
                <w:sz w:val="24"/>
                <w:lang w:val="en-GB"/>
              </w:rPr>
            </w:pPr>
          </w:p>
        </w:tc>
        <w:tc>
          <w:tcPr>
            <w:tcW w:w="1187" w:type="dxa"/>
            <w:vMerge w:val="continue"/>
            <w:vAlign w:val="center"/>
          </w:tcPr>
          <w:p>
            <w:pPr>
              <w:pStyle w:val="70"/>
              <w:tabs>
                <w:tab w:val="left" w:pos="1260"/>
              </w:tabs>
              <w:jc w:val="center"/>
              <w:rPr>
                <w:rFonts w:ascii="宋体" w:hAnsi="宋体" w:cs="宋体"/>
                <w:color w:val="auto"/>
                <w:sz w:val="24"/>
                <w:lang w:val="en-GB"/>
              </w:rPr>
            </w:pPr>
          </w:p>
        </w:tc>
        <w:tc>
          <w:tcPr>
            <w:tcW w:w="1001" w:type="dxa"/>
            <w:vMerge w:val="continue"/>
            <w:vAlign w:val="center"/>
          </w:tcPr>
          <w:p>
            <w:pPr>
              <w:pStyle w:val="70"/>
              <w:tabs>
                <w:tab w:val="left" w:pos="1260"/>
              </w:tabs>
              <w:jc w:val="center"/>
              <w:rPr>
                <w:rFonts w:ascii="宋体" w:hAnsi="宋体" w:cs="宋体"/>
                <w:color w:val="auto"/>
                <w:sz w:val="24"/>
                <w:lang w:val="en-GB"/>
              </w:rPr>
            </w:pPr>
          </w:p>
        </w:tc>
        <w:tc>
          <w:tcPr>
            <w:tcW w:w="1334" w:type="dxa"/>
            <w:vMerge w:val="continue"/>
            <w:vAlign w:val="center"/>
          </w:tcPr>
          <w:p>
            <w:pPr>
              <w:pStyle w:val="70"/>
              <w:tabs>
                <w:tab w:val="left" w:pos="1260"/>
              </w:tabs>
              <w:jc w:val="center"/>
              <w:rPr>
                <w:rFonts w:ascii="宋体" w:hAnsi="宋体" w:cs="宋体"/>
                <w:color w:val="auto"/>
                <w:sz w:val="24"/>
              </w:rPr>
            </w:pPr>
          </w:p>
        </w:tc>
        <w:tc>
          <w:tcPr>
            <w:tcW w:w="1203" w:type="dxa"/>
            <w:vAlign w:val="center"/>
          </w:tcPr>
          <w:p>
            <w:pPr>
              <w:pStyle w:val="70"/>
              <w:tabs>
                <w:tab w:val="left" w:pos="1260"/>
              </w:tabs>
              <w:jc w:val="center"/>
              <w:rPr>
                <w:rFonts w:ascii="宋体" w:hAnsi="宋体" w:cs="宋体"/>
                <w:color w:val="auto"/>
                <w:kern w:val="0"/>
                <w:sz w:val="24"/>
              </w:rPr>
            </w:pPr>
            <w:r>
              <w:rPr>
                <w:rFonts w:hint="eastAsia" w:ascii="宋体" w:hAnsi="宋体" w:cs="宋体"/>
                <w:color w:val="auto"/>
                <w:kern w:val="0"/>
                <w:sz w:val="24"/>
              </w:rPr>
              <w:t>认证机构</w:t>
            </w:r>
          </w:p>
        </w:tc>
        <w:tc>
          <w:tcPr>
            <w:tcW w:w="1188" w:type="dxa"/>
            <w:vAlign w:val="center"/>
          </w:tcPr>
          <w:p>
            <w:pPr>
              <w:pStyle w:val="70"/>
              <w:tabs>
                <w:tab w:val="left" w:pos="1260"/>
              </w:tabs>
              <w:jc w:val="center"/>
              <w:rPr>
                <w:rFonts w:ascii="宋体" w:hAnsi="宋体" w:cs="宋体"/>
                <w:color w:val="auto"/>
                <w:kern w:val="0"/>
                <w:sz w:val="24"/>
              </w:rPr>
            </w:pPr>
            <w:r>
              <w:rPr>
                <w:rFonts w:hint="eastAsia" w:ascii="宋体" w:hAnsi="宋体" w:cs="宋体"/>
                <w:color w:val="auto"/>
                <w:kern w:val="0"/>
                <w:sz w:val="24"/>
              </w:rPr>
              <w:t>认证证书编号</w:t>
            </w:r>
          </w:p>
        </w:tc>
        <w:tc>
          <w:tcPr>
            <w:tcW w:w="1210" w:type="dxa"/>
            <w:vAlign w:val="center"/>
          </w:tcPr>
          <w:p>
            <w:pPr>
              <w:pStyle w:val="70"/>
              <w:tabs>
                <w:tab w:val="left" w:pos="1260"/>
              </w:tabs>
              <w:jc w:val="center"/>
              <w:rPr>
                <w:rFonts w:ascii="宋体" w:hAnsi="宋体" w:cs="宋体"/>
                <w:color w:val="auto"/>
                <w:kern w:val="0"/>
                <w:sz w:val="24"/>
              </w:rPr>
            </w:pPr>
            <w:r>
              <w:rPr>
                <w:rFonts w:hint="eastAsia" w:ascii="宋体" w:hAnsi="宋体" w:cs="宋体"/>
                <w:color w:val="auto"/>
                <w:kern w:val="0"/>
                <w:sz w:val="24"/>
              </w:rPr>
              <w:t>证书有效期</w:t>
            </w:r>
          </w:p>
        </w:tc>
        <w:tc>
          <w:tcPr>
            <w:tcW w:w="786" w:type="dxa"/>
            <w:vMerge w:val="continue"/>
            <w:vAlign w:val="center"/>
          </w:tcPr>
          <w:p>
            <w:pPr>
              <w:pStyle w:val="70"/>
              <w:tabs>
                <w:tab w:val="left" w:pos="1260"/>
              </w:tabs>
              <w:jc w:val="center"/>
              <w:rPr>
                <w:rFonts w:ascii="宋体" w:hAnsi="宋体" w:cs="宋体"/>
                <w:color w:val="auto"/>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613" w:type="dxa"/>
            <w:vMerge w:val="continue"/>
            <w:vAlign w:val="center"/>
          </w:tcPr>
          <w:p>
            <w:pPr>
              <w:pStyle w:val="70"/>
              <w:widowControl/>
              <w:jc w:val="left"/>
              <w:rPr>
                <w:rFonts w:ascii="宋体" w:hAnsi="宋体" w:cs="宋体"/>
                <w:color w:val="auto"/>
                <w:sz w:val="24"/>
                <w:lang w:val="en-GB"/>
              </w:rPr>
            </w:pPr>
          </w:p>
        </w:tc>
        <w:tc>
          <w:tcPr>
            <w:tcW w:w="592" w:type="dxa"/>
            <w:vAlign w:val="center"/>
          </w:tcPr>
          <w:p>
            <w:pPr>
              <w:pStyle w:val="70"/>
              <w:tabs>
                <w:tab w:val="left" w:pos="1260"/>
              </w:tabs>
              <w:jc w:val="center"/>
              <w:rPr>
                <w:rFonts w:ascii="宋体" w:hAnsi="宋体" w:cs="宋体"/>
                <w:color w:val="auto"/>
                <w:sz w:val="24"/>
                <w:lang w:val="en-GB"/>
              </w:rPr>
            </w:pPr>
            <w:r>
              <w:rPr>
                <w:rFonts w:hint="eastAsia" w:ascii="宋体" w:hAnsi="宋体" w:cs="宋体"/>
                <w:color w:val="auto"/>
                <w:sz w:val="24"/>
                <w:lang w:val="en-GB"/>
              </w:rPr>
              <w:t>1</w:t>
            </w:r>
          </w:p>
        </w:tc>
        <w:tc>
          <w:tcPr>
            <w:tcW w:w="1187" w:type="dxa"/>
            <w:vAlign w:val="center"/>
          </w:tcPr>
          <w:p>
            <w:pPr>
              <w:pStyle w:val="70"/>
              <w:tabs>
                <w:tab w:val="left" w:pos="1260"/>
              </w:tabs>
              <w:jc w:val="center"/>
              <w:rPr>
                <w:rFonts w:ascii="宋体" w:hAnsi="宋体" w:cs="宋体"/>
                <w:color w:val="auto"/>
                <w:sz w:val="24"/>
                <w:lang w:val="en-GB"/>
              </w:rPr>
            </w:pPr>
          </w:p>
        </w:tc>
        <w:tc>
          <w:tcPr>
            <w:tcW w:w="1001" w:type="dxa"/>
            <w:vAlign w:val="center"/>
          </w:tcPr>
          <w:p>
            <w:pPr>
              <w:pStyle w:val="70"/>
              <w:tabs>
                <w:tab w:val="left" w:pos="1260"/>
              </w:tabs>
              <w:jc w:val="center"/>
              <w:rPr>
                <w:rFonts w:ascii="宋体" w:hAnsi="宋体" w:cs="宋体"/>
                <w:color w:val="auto"/>
                <w:sz w:val="24"/>
                <w:lang w:val="en-GB"/>
              </w:rPr>
            </w:pPr>
          </w:p>
        </w:tc>
        <w:tc>
          <w:tcPr>
            <w:tcW w:w="1334" w:type="dxa"/>
            <w:vAlign w:val="center"/>
          </w:tcPr>
          <w:p>
            <w:pPr>
              <w:pStyle w:val="70"/>
              <w:tabs>
                <w:tab w:val="left" w:pos="1260"/>
              </w:tabs>
              <w:jc w:val="center"/>
              <w:rPr>
                <w:rFonts w:ascii="宋体" w:hAnsi="宋体" w:cs="宋体"/>
                <w:color w:val="auto"/>
                <w:sz w:val="24"/>
                <w:lang w:val="en-GB"/>
              </w:rPr>
            </w:pPr>
          </w:p>
        </w:tc>
        <w:tc>
          <w:tcPr>
            <w:tcW w:w="1203" w:type="dxa"/>
            <w:vAlign w:val="center"/>
          </w:tcPr>
          <w:p>
            <w:pPr>
              <w:pStyle w:val="70"/>
              <w:tabs>
                <w:tab w:val="left" w:pos="1260"/>
              </w:tabs>
              <w:jc w:val="center"/>
              <w:rPr>
                <w:rFonts w:ascii="宋体" w:hAnsi="宋体" w:cs="宋体"/>
                <w:color w:val="auto"/>
                <w:sz w:val="24"/>
                <w:lang w:val="en-GB"/>
              </w:rPr>
            </w:pPr>
          </w:p>
        </w:tc>
        <w:tc>
          <w:tcPr>
            <w:tcW w:w="1188" w:type="dxa"/>
            <w:vAlign w:val="center"/>
          </w:tcPr>
          <w:p>
            <w:pPr>
              <w:pStyle w:val="70"/>
              <w:tabs>
                <w:tab w:val="left" w:pos="1260"/>
              </w:tabs>
              <w:jc w:val="center"/>
              <w:rPr>
                <w:rFonts w:ascii="宋体" w:hAnsi="宋体" w:cs="宋体"/>
                <w:color w:val="auto"/>
                <w:sz w:val="24"/>
                <w:lang w:val="en-GB"/>
              </w:rPr>
            </w:pPr>
          </w:p>
        </w:tc>
        <w:tc>
          <w:tcPr>
            <w:tcW w:w="1210" w:type="dxa"/>
            <w:vAlign w:val="center"/>
          </w:tcPr>
          <w:p>
            <w:pPr>
              <w:pStyle w:val="70"/>
              <w:tabs>
                <w:tab w:val="left" w:pos="1260"/>
              </w:tabs>
              <w:jc w:val="center"/>
              <w:rPr>
                <w:rFonts w:ascii="宋体" w:hAnsi="宋体" w:cs="宋体"/>
                <w:color w:val="auto"/>
                <w:sz w:val="24"/>
                <w:lang w:val="en-GB"/>
              </w:rPr>
            </w:pPr>
          </w:p>
        </w:tc>
        <w:tc>
          <w:tcPr>
            <w:tcW w:w="786" w:type="dxa"/>
            <w:vAlign w:val="center"/>
          </w:tcPr>
          <w:p>
            <w:pPr>
              <w:pStyle w:val="70"/>
              <w:tabs>
                <w:tab w:val="left" w:pos="1260"/>
              </w:tabs>
              <w:jc w:val="center"/>
              <w:rPr>
                <w:rFonts w:ascii="宋体" w:hAnsi="宋体" w:cs="宋体"/>
                <w:color w:val="auto"/>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613" w:type="dxa"/>
            <w:vMerge w:val="continue"/>
            <w:vAlign w:val="center"/>
          </w:tcPr>
          <w:p>
            <w:pPr>
              <w:pStyle w:val="70"/>
              <w:widowControl/>
              <w:jc w:val="left"/>
              <w:rPr>
                <w:rFonts w:ascii="宋体" w:hAnsi="宋体" w:cs="宋体"/>
                <w:color w:val="auto"/>
                <w:sz w:val="24"/>
                <w:lang w:val="en-GB"/>
              </w:rPr>
            </w:pPr>
          </w:p>
        </w:tc>
        <w:tc>
          <w:tcPr>
            <w:tcW w:w="592" w:type="dxa"/>
            <w:vAlign w:val="center"/>
          </w:tcPr>
          <w:p>
            <w:pPr>
              <w:pStyle w:val="70"/>
              <w:tabs>
                <w:tab w:val="left" w:pos="1260"/>
              </w:tabs>
              <w:jc w:val="center"/>
              <w:rPr>
                <w:rFonts w:ascii="宋体" w:hAnsi="宋体" w:cs="宋体"/>
                <w:color w:val="auto"/>
                <w:sz w:val="24"/>
                <w:lang w:val="en-GB"/>
              </w:rPr>
            </w:pPr>
            <w:r>
              <w:rPr>
                <w:rFonts w:hint="eastAsia" w:ascii="宋体" w:hAnsi="宋体" w:cs="宋体"/>
                <w:color w:val="auto"/>
                <w:sz w:val="24"/>
                <w:lang w:val="en-GB"/>
              </w:rPr>
              <w:t>2</w:t>
            </w:r>
          </w:p>
        </w:tc>
        <w:tc>
          <w:tcPr>
            <w:tcW w:w="1187" w:type="dxa"/>
            <w:vAlign w:val="center"/>
          </w:tcPr>
          <w:p>
            <w:pPr>
              <w:pStyle w:val="70"/>
              <w:tabs>
                <w:tab w:val="left" w:pos="1260"/>
              </w:tabs>
              <w:jc w:val="center"/>
              <w:rPr>
                <w:rFonts w:ascii="宋体" w:hAnsi="宋体" w:cs="宋体"/>
                <w:color w:val="auto"/>
                <w:sz w:val="24"/>
                <w:lang w:val="en-GB"/>
              </w:rPr>
            </w:pPr>
          </w:p>
        </w:tc>
        <w:tc>
          <w:tcPr>
            <w:tcW w:w="1001" w:type="dxa"/>
            <w:vAlign w:val="center"/>
          </w:tcPr>
          <w:p>
            <w:pPr>
              <w:pStyle w:val="70"/>
              <w:tabs>
                <w:tab w:val="left" w:pos="1260"/>
              </w:tabs>
              <w:jc w:val="center"/>
              <w:rPr>
                <w:rFonts w:ascii="宋体" w:hAnsi="宋体" w:cs="宋体"/>
                <w:color w:val="auto"/>
                <w:sz w:val="24"/>
                <w:lang w:val="en-GB"/>
              </w:rPr>
            </w:pPr>
          </w:p>
        </w:tc>
        <w:tc>
          <w:tcPr>
            <w:tcW w:w="1334" w:type="dxa"/>
            <w:vAlign w:val="center"/>
          </w:tcPr>
          <w:p>
            <w:pPr>
              <w:pStyle w:val="70"/>
              <w:tabs>
                <w:tab w:val="left" w:pos="1260"/>
              </w:tabs>
              <w:jc w:val="center"/>
              <w:rPr>
                <w:rFonts w:ascii="宋体" w:hAnsi="宋体" w:cs="宋体"/>
                <w:color w:val="auto"/>
                <w:sz w:val="24"/>
                <w:lang w:val="en-GB"/>
              </w:rPr>
            </w:pPr>
          </w:p>
        </w:tc>
        <w:tc>
          <w:tcPr>
            <w:tcW w:w="1203" w:type="dxa"/>
            <w:vAlign w:val="center"/>
          </w:tcPr>
          <w:p>
            <w:pPr>
              <w:pStyle w:val="70"/>
              <w:tabs>
                <w:tab w:val="left" w:pos="1260"/>
              </w:tabs>
              <w:jc w:val="center"/>
              <w:rPr>
                <w:rFonts w:ascii="宋体" w:hAnsi="宋体" w:cs="宋体"/>
                <w:color w:val="auto"/>
                <w:sz w:val="24"/>
                <w:lang w:val="en-GB"/>
              </w:rPr>
            </w:pPr>
          </w:p>
        </w:tc>
        <w:tc>
          <w:tcPr>
            <w:tcW w:w="1188" w:type="dxa"/>
            <w:vAlign w:val="center"/>
          </w:tcPr>
          <w:p>
            <w:pPr>
              <w:pStyle w:val="70"/>
              <w:tabs>
                <w:tab w:val="left" w:pos="1260"/>
              </w:tabs>
              <w:jc w:val="center"/>
              <w:rPr>
                <w:rFonts w:ascii="宋体" w:hAnsi="宋体" w:cs="宋体"/>
                <w:color w:val="auto"/>
                <w:sz w:val="24"/>
                <w:lang w:val="en-GB"/>
              </w:rPr>
            </w:pPr>
          </w:p>
        </w:tc>
        <w:tc>
          <w:tcPr>
            <w:tcW w:w="1210" w:type="dxa"/>
            <w:vAlign w:val="center"/>
          </w:tcPr>
          <w:p>
            <w:pPr>
              <w:pStyle w:val="70"/>
              <w:tabs>
                <w:tab w:val="left" w:pos="1260"/>
              </w:tabs>
              <w:jc w:val="center"/>
              <w:rPr>
                <w:rFonts w:ascii="宋体" w:hAnsi="宋体" w:cs="宋体"/>
                <w:color w:val="auto"/>
                <w:sz w:val="24"/>
                <w:lang w:val="en-GB"/>
              </w:rPr>
            </w:pPr>
          </w:p>
        </w:tc>
        <w:tc>
          <w:tcPr>
            <w:tcW w:w="786" w:type="dxa"/>
            <w:vAlign w:val="center"/>
          </w:tcPr>
          <w:p>
            <w:pPr>
              <w:pStyle w:val="70"/>
              <w:tabs>
                <w:tab w:val="left" w:pos="1260"/>
              </w:tabs>
              <w:jc w:val="center"/>
              <w:rPr>
                <w:rFonts w:ascii="宋体" w:hAnsi="宋体" w:cs="宋体"/>
                <w:color w:val="auto"/>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613" w:type="dxa"/>
            <w:vMerge w:val="continue"/>
            <w:vAlign w:val="center"/>
          </w:tcPr>
          <w:p>
            <w:pPr>
              <w:pStyle w:val="70"/>
              <w:widowControl/>
              <w:jc w:val="left"/>
              <w:rPr>
                <w:rFonts w:ascii="宋体" w:hAnsi="宋体" w:cs="宋体"/>
                <w:color w:val="auto"/>
                <w:sz w:val="24"/>
                <w:lang w:val="en-GB"/>
              </w:rPr>
            </w:pPr>
          </w:p>
        </w:tc>
        <w:tc>
          <w:tcPr>
            <w:tcW w:w="592" w:type="dxa"/>
            <w:vAlign w:val="center"/>
          </w:tcPr>
          <w:p>
            <w:pPr>
              <w:pStyle w:val="70"/>
              <w:tabs>
                <w:tab w:val="left" w:pos="1260"/>
              </w:tabs>
              <w:jc w:val="center"/>
              <w:rPr>
                <w:rFonts w:ascii="宋体" w:hAnsi="宋体" w:cs="宋体"/>
                <w:color w:val="auto"/>
                <w:sz w:val="24"/>
                <w:lang w:val="en-GB"/>
              </w:rPr>
            </w:pPr>
            <w:r>
              <w:rPr>
                <w:rFonts w:hint="eastAsia" w:ascii="宋体" w:hAnsi="宋体" w:cs="宋体"/>
                <w:color w:val="auto"/>
                <w:sz w:val="24"/>
                <w:lang w:val="en-GB"/>
              </w:rPr>
              <w:t>……</w:t>
            </w:r>
          </w:p>
        </w:tc>
        <w:tc>
          <w:tcPr>
            <w:tcW w:w="1187" w:type="dxa"/>
            <w:vAlign w:val="center"/>
          </w:tcPr>
          <w:p>
            <w:pPr>
              <w:pStyle w:val="70"/>
              <w:tabs>
                <w:tab w:val="left" w:pos="1260"/>
              </w:tabs>
              <w:jc w:val="center"/>
              <w:rPr>
                <w:rFonts w:ascii="宋体" w:hAnsi="宋体" w:cs="宋体"/>
                <w:color w:val="auto"/>
                <w:sz w:val="24"/>
                <w:lang w:val="en-GB"/>
              </w:rPr>
            </w:pPr>
          </w:p>
        </w:tc>
        <w:tc>
          <w:tcPr>
            <w:tcW w:w="1001" w:type="dxa"/>
            <w:vAlign w:val="center"/>
          </w:tcPr>
          <w:p>
            <w:pPr>
              <w:pStyle w:val="70"/>
              <w:tabs>
                <w:tab w:val="left" w:pos="1260"/>
              </w:tabs>
              <w:jc w:val="center"/>
              <w:rPr>
                <w:rFonts w:ascii="宋体" w:hAnsi="宋体" w:cs="宋体"/>
                <w:color w:val="auto"/>
                <w:sz w:val="24"/>
                <w:lang w:val="en-GB"/>
              </w:rPr>
            </w:pPr>
          </w:p>
        </w:tc>
        <w:tc>
          <w:tcPr>
            <w:tcW w:w="1334" w:type="dxa"/>
            <w:vAlign w:val="center"/>
          </w:tcPr>
          <w:p>
            <w:pPr>
              <w:pStyle w:val="70"/>
              <w:tabs>
                <w:tab w:val="left" w:pos="1260"/>
              </w:tabs>
              <w:jc w:val="center"/>
              <w:rPr>
                <w:rFonts w:ascii="宋体" w:hAnsi="宋体" w:cs="宋体"/>
                <w:color w:val="auto"/>
                <w:sz w:val="24"/>
                <w:lang w:val="en-GB"/>
              </w:rPr>
            </w:pPr>
          </w:p>
        </w:tc>
        <w:tc>
          <w:tcPr>
            <w:tcW w:w="1203" w:type="dxa"/>
            <w:vAlign w:val="center"/>
          </w:tcPr>
          <w:p>
            <w:pPr>
              <w:pStyle w:val="70"/>
              <w:tabs>
                <w:tab w:val="left" w:pos="1260"/>
              </w:tabs>
              <w:jc w:val="center"/>
              <w:rPr>
                <w:rFonts w:ascii="宋体" w:hAnsi="宋体" w:cs="宋体"/>
                <w:color w:val="auto"/>
                <w:sz w:val="24"/>
                <w:lang w:val="en-GB"/>
              </w:rPr>
            </w:pPr>
          </w:p>
        </w:tc>
        <w:tc>
          <w:tcPr>
            <w:tcW w:w="1188" w:type="dxa"/>
            <w:vAlign w:val="center"/>
          </w:tcPr>
          <w:p>
            <w:pPr>
              <w:pStyle w:val="70"/>
              <w:tabs>
                <w:tab w:val="left" w:pos="1260"/>
              </w:tabs>
              <w:jc w:val="center"/>
              <w:rPr>
                <w:rFonts w:ascii="宋体" w:hAnsi="宋体" w:cs="宋体"/>
                <w:color w:val="auto"/>
                <w:sz w:val="24"/>
                <w:lang w:val="en-GB"/>
              </w:rPr>
            </w:pPr>
          </w:p>
        </w:tc>
        <w:tc>
          <w:tcPr>
            <w:tcW w:w="1210" w:type="dxa"/>
            <w:vAlign w:val="center"/>
          </w:tcPr>
          <w:p>
            <w:pPr>
              <w:pStyle w:val="70"/>
              <w:tabs>
                <w:tab w:val="left" w:pos="1260"/>
              </w:tabs>
              <w:jc w:val="center"/>
              <w:rPr>
                <w:rFonts w:ascii="宋体" w:hAnsi="宋体" w:cs="宋体"/>
                <w:color w:val="auto"/>
                <w:sz w:val="24"/>
                <w:lang w:val="en-GB"/>
              </w:rPr>
            </w:pPr>
          </w:p>
        </w:tc>
        <w:tc>
          <w:tcPr>
            <w:tcW w:w="786" w:type="dxa"/>
            <w:vAlign w:val="center"/>
          </w:tcPr>
          <w:p>
            <w:pPr>
              <w:pStyle w:val="70"/>
              <w:tabs>
                <w:tab w:val="left" w:pos="1260"/>
              </w:tabs>
              <w:jc w:val="center"/>
              <w:rPr>
                <w:rFonts w:ascii="宋体" w:hAnsi="宋体" w:cs="宋体"/>
                <w:color w:val="auto"/>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613" w:type="dxa"/>
            <w:vMerge w:val="continue"/>
            <w:vAlign w:val="center"/>
          </w:tcPr>
          <w:p>
            <w:pPr>
              <w:pStyle w:val="70"/>
              <w:widowControl/>
              <w:jc w:val="left"/>
              <w:rPr>
                <w:rFonts w:ascii="宋体" w:hAnsi="宋体" w:cs="宋体"/>
                <w:color w:val="auto"/>
                <w:sz w:val="24"/>
                <w:lang w:val="en-GB"/>
              </w:rPr>
            </w:pPr>
          </w:p>
        </w:tc>
        <w:tc>
          <w:tcPr>
            <w:tcW w:w="7715" w:type="dxa"/>
            <w:gridSpan w:val="7"/>
            <w:vAlign w:val="center"/>
          </w:tcPr>
          <w:p>
            <w:pPr>
              <w:pStyle w:val="70"/>
              <w:tabs>
                <w:tab w:val="left" w:pos="1260"/>
              </w:tabs>
              <w:jc w:val="left"/>
              <w:rPr>
                <w:rFonts w:ascii="宋体" w:hAnsi="宋体" w:cs="宋体"/>
                <w:color w:val="auto"/>
                <w:sz w:val="24"/>
                <w:lang w:val="en-GB"/>
              </w:rPr>
            </w:pPr>
            <w:r>
              <w:rPr>
                <w:rFonts w:hint="eastAsia" w:ascii="宋体" w:hAnsi="宋体" w:cs="宋体"/>
                <w:color w:val="auto"/>
                <w:sz w:val="24"/>
                <w:lang w:val="en-GB"/>
              </w:rPr>
              <w:t>节能产品金额合计</w:t>
            </w:r>
          </w:p>
        </w:tc>
        <w:tc>
          <w:tcPr>
            <w:tcW w:w="786" w:type="dxa"/>
            <w:vAlign w:val="center"/>
          </w:tcPr>
          <w:p>
            <w:pPr>
              <w:pStyle w:val="70"/>
              <w:tabs>
                <w:tab w:val="left" w:pos="1260"/>
              </w:tabs>
              <w:jc w:val="center"/>
              <w:rPr>
                <w:rFonts w:ascii="宋体" w:hAnsi="宋体" w:cs="宋体"/>
                <w:color w:val="auto"/>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613" w:type="dxa"/>
            <w:vMerge w:val="continue"/>
            <w:vAlign w:val="center"/>
          </w:tcPr>
          <w:p>
            <w:pPr>
              <w:pStyle w:val="70"/>
              <w:widowControl/>
              <w:jc w:val="left"/>
              <w:rPr>
                <w:rFonts w:ascii="宋体" w:hAnsi="宋体" w:cs="宋体"/>
                <w:color w:val="auto"/>
                <w:sz w:val="24"/>
                <w:lang w:val="en-GB"/>
              </w:rPr>
            </w:pPr>
          </w:p>
        </w:tc>
        <w:tc>
          <w:tcPr>
            <w:tcW w:w="7715" w:type="dxa"/>
            <w:gridSpan w:val="7"/>
            <w:vAlign w:val="center"/>
          </w:tcPr>
          <w:p>
            <w:pPr>
              <w:pStyle w:val="70"/>
              <w:tabs>
                <w:tab w:val="left" w:pos="1260"/>
              </w:tabs>
              <w:jc w:val="left"/>
              <w:rPr>
                <w:rFonts w:ascii="宋体" w:hAnsi="宋体" w:cs="宋体"/>
                <w:color w:val="auto"/>
                <w:sz w:val="24"/>
                <w:lang w:val="en-GB"/>
              </w:rPr>
            </w:pPr>
            <w:r>
              <w:rPr>
                <w:rFonts w:hint="eastAsia" w:ascii="宋体" w:hAnsi="宋体" w:cs="宋体"/>
                <w:color w:val="auto"/>
                <w:sz w:val="24"/>
                <w:lang w:val="en-GB"/>
              </w:rPr>
              <w:t>节能产品证明材料见投标文件第（    ）页。</w:t>
            </w:r>
          </w:p>
        </w:tc>
        <w:tc>
          <w:tcPr>
            <w:tcW w:w="786" w:type="dxa"/>
            <w:vAlign w:val="center"/>
          </w:tcPr>
          <w:p>
            <w:pPr>
              <w:pStyle w:val="70"/>
              <w:tabs>
                <w:tab w:val="left" w:pos="1260"/>
              </w:tabs>
              <w:jc w:val="center"/>
              <w:rPr>
                <w:rFonts w:ascii="宋体" w:hAnsi="宋体" w:cs="宋体"/>
                <w:color w:val="auto"/>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13" w:type="dxa"/>
            <w:vMerge w:val="restart"/>
            <w:vAlign w:val="center"/>
          </w:tcPr>
          <w:p>
            <w:pPr>
              <w:pStyle w:val="70"/>
              <w:tabs>
                <w:tab w:val="left" w:pos="1260"/>
              </w:tabs>
              <w:jc w:val="center"/>
              <w:rPr>
                <w:rFonts w:ascii="宋体" w:hAnsi="宋体" w:cs="宋体"/>
                <w:color w:val="auto"/>
                <w:sz w:val="24"/>
                <w:lang w:val="en-GB"/>
              </w:rPr>
            </w:pPr>
            <w:r>
              <w:rPr>
                <w:rFonts w:hint="eastAsia" w:ascii="宋体" w:hAnsi="宋体" w:cs="宋体"/>
                <w:color w:val="auto"/>
                <w:sz w:val="24"/>
                <w:lang w:val="en-GB"/>
              </w:rPr>
              <w:t>环境标志产品</w:t>
            </w:r>
          </w:p>
        </w:tc>
        <w:tc>
          <w:tcPr>
            <w:tcW w:w="592" w:type="dxa"/>
            <w:vMerge w:val="restart"/>
            <w:vAlign w:val="center"/>
          </w:tcPr>
          <w:p>
            <w:pPr>
              <w:pStyle w:val="70"/>
              <w:tabs>
                <w:tab w:val="left" w:pos="1260"/>
              </w:tabs>
              <w:jc w:val="center"/>
              <w:rPr>
                <w:rFonts w:ascii="宋体" w:hAnsi="宋体" w:cs="宋体"/>
                <w:color w:val="auto"/>
                <w:sz w:val="24"/>
                <w:lang w:val="en-GB"/>
              </w:rPr>
            </w:pPr>
            <w:r>
              <w:rPr>
                <w:rFonts w:hint="eastAsia" w:ascii="宋体" w:hAnsi="宋体" w:cs="宋体"/>
                <w:color w:val="auto"/>
                <w:sz w:val="24"/>
                <w:lang w:val="en-GB"/>
              </w:rPr>
              <w:t>序号</w:t>
            </w:r>
          </w:p>
        </w:tc>
        <w:tc>
          <w:tcPr>
            <w:tcW w:w="1187" w:type="dxa"/>
            <w:vMerge w:val="restart"/>
            <w:vAlign w:val="center"/>
          </w:tcPr>
          <w:p>
            <w:pPr>
              <w:pStyle w:val="70"/>
              <w:tabs>
                <w:tab w:val="left" w:pos="1260"/>
              </w:tabs>
              <w:jc w:val="center"/>
              <w:rPr>
                <w:rFonts w:ascii="宋体" w:hAnsi="宋体" w:cs="宋体"/>
                <w:color w:val="auto"/>
                <w:sz w:val="24"/>
                <w:lang w:val="en-GB"/>
              </w:rPr>
            </w:pPr>
            <w:r>
              <w:rPr>
                <w:rFonts w:hint="eastAsia" w:ascii="宋体" w:hAnsi="宋体" w:cs="宋体"/>
                <w:color w:val="auto"/>
                <w:sz w:val="24"/>
                <w:lang w:val="en-GB"/>
              </w:rPr>
              <w:t>产品名称（品牌、型号）</w:t>
            </w:r>
          </w:p>
        </w:tc>
        <w:tc>
          <w:tcPr>
            <w:tcW w:w="1001" w:type="dxa"/>
            <w:vMerge w:val="restart"/>
            <w:vAlign w:val="center"/>
          </w:tcPr>
          <w:p>
            <w:pPr>
              <w:pStyle w:val="70"/>
              <w:tabs>
                <w:tab w:val="left" w:pos="1260"/>
              </w:tabs>
              <w:jc w:val="center"/>
              <w:rPr>
                <w:rFonts w:ascii="宋体" w:hAnsi="宋体" w:cs="宋体"/>
                <w:color w:val="auto"/>
                <w:sz w:val="24"/>
                <w:lang w:val="en-GB"/>
              </w:rPr>
            </w:pPr>
            <w:r>
              <w:rPr>
                <w:rFonts w:hint="eastAsia" w:ascii="宋体" w:hAnsi="宋体" w:cs="宋体"/>
                <w:color w:val="auto"/>
                <w:sz w:val="24"/>
                <w:lang w:val="en-GB"/>
              </w:rPr>
              <w:t>制造商</w:t>
            </w:r>
          </w:p>
        </w:tc>
        <w:tc>
          <w:tcPr>
            <w:tcW w:w="1334" w:type="dxa"/>
            <w:vMerge w:val="restart"/>
            <w:vAlign w:val="center"/>
          </w:tcPr>
          <w:p>
            <w:pPr>
              <w:pStyle w:val="70"/>
              <w:tabs>
                <w:tab w:val="left" w:pos="1260"/>
              </w:tabs>
              <w:jc w:val="center"/>
              <w:rPr>
                <w:rFonts w:ascii="宋体" w:hAnsi="宋体" w:cs="宋体"/>
                <w:color w:val="auto"/>
                <w:sz w:val="24"/>
                <w:lang w:val="en-GB"/>
              </w:rPr>
            </w:pPr>
            <w:r>
              <w:rPr>
                <w:rFonts w:hint="eastAsia" w:ascii="宋体" w:hAnsi="宋体" w:cs="宋体"/>
                <w:color w:val="auto"/>
                <w:sz w:val="24"/>
              </w:rPr>
              <w:t>对应品目清单中的名称</w:t>
            </w:r>
          </w:p>
        </w:tc>
        <w:tc>
          <w:tcPr>
            <w:tcW w:w="3601" w:type="dxa"/>
            <w:gridSpan w:val="3"/>
            <w:vAlign w:val="center"/>
          </w:tcPr>
          <w:p>
            <w:pPr>
              <w:pStyle w:val="70"/>
              <w:tabs>
                <w:tab w:val="left" w:pos="1260"/>
              </w:tabs>
              <w:jc w:val="center"/>
              <w:rPr>
                <w:rFonts w:ascii="宋体" w:hAnsi="宋体" w:cs="宋体"/>
                <w:color w:val="auto"/>
                <w:sz w:val="24"/>
                <w:lang w:val="en-GB"/>
              </w:rPr>
            </w:pPr>
            <w:r>
              <w:rPr>
                <w:rFonts w:hint="eastAsia" w:ascii="宋体" w:hAnsi="宋体" w:cs="宋体"/>
                <w:color w:val="auto"/>
                <w:sz w:val="24"/>
              </w:rPr>
              <w:t>环境标志产品认证证书</w:t>
            </w:r>
          </w:p>
        </w:tc>
        <w:tc>
          <w:tcPr>
            <w:tcW w:w="786" w:type="dxa"/>
            <w:vMerge w:val="restart"/>
            <w:vAlign w:val="center"/>
          </w:tcPr>
          <w:p>
            <w:pPr>
              <w:pStyle w:val="70"/>
              <w:tabs>
                <w:tab w:val="left" w:pos="1260"/>
              </w:tabs>
              <w:jc w:val="center"/>
              <w:rPr>
                <w:rFonts w:ascii="宋体" w:hAnsi="宋体" w:cs="宋体"/>
                <w:color w:val="auto"/>
                <w:sz w:val="24"/>
                <w:lang w:val="en-GB"/>
              </w:rPr>
            </w:pPr>
            <w:r>
              <w:rPr>
                <w:rFonts w:hint="eastAsia" w:ascii="宋体" w:hAnsi="宋体" w:cs="宋体"/>
                <w:color w:val="auto"/>
                <w:sz w:val="24"/>
                <w:lang w:val="en-GB"/>
              </w:rPr>
              <w:t>金额</w:t>
            </w:r>
            <w:r>
              <w:rPr>
                <w:rFonts w:hint="eastAsia" w:ascii="宋体" w:hAnsi="宋体" w:cs="宋体"/>
                <w:color w:val="auto"/>
                <w:szCs w:val="21"/>
                <w:lang w:val="en-GB"/>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613" w:type="dxa"/>
            <w:vMerge w:val="continue"/>
            <w:vAlign w:val="center"/>
          </w:tcPr>
          <w:p>
            <w:pPr>
              <w:pStyle w:val="70"/>
              <w:tabs>
                <w:tab w:val="left" w:pos="1260"/>
              </w:tabs>
              <w:jc w:val="center"/>
              <w:rPr>
                <w:rFonts w:ascii="宋体" w:hAnsi="宋体" w:cs="宋体"/>
                <w:color w:val="auto"/>
                <w:sz w:val="24"/>
                <w:lang w:val="en-GB"/>
              </w:rPr>
            </w:pPr>
          </w:p>
        </w:tc>
        <w:tc>
          <w:tcPr>
            <w:tcW w:w="592" w:type="dxa"/>
            <w:vMerge w:val="continue"/>
            <w:vAlign w:val="center"/>
          </w:tcPr>
          <w:p>
            <w:pPr>
              <w:pStyle w:val="70"/>
              <w:tabs>
                <w:tab w:val="left" w:pos="1260"/>
              </w:tabs>
              <w:jc w:val="center"/>
              <w:rPr>
                <w:rFonts w:ascii="宋体" w:hAnsi="宋体" w:cs="宋体"/>
                <w:color w:val="auto"/>
                <w:sz w:val="24"/>
                <w:lang w:val="en-GB"/>
              </w:rPr>
            </w:pPr>
          </w:p>
        </w:tc>
        <w:tc>
          <w:tcPr>
            <w:tcW w:w="1187" w:type="dxa"/>
            <w:vMerge w:val="continue"/>
            <w:vAlign w:val="center"/>
          </w:tcPr>
          <w:p>
            <w:pPr>
              <w:pStyle w:val="70"/>
              <w:tabs>
                <w:tab w:val="left" w:pos="1260"/>
              </w:tabs>
              <w:jc w:val="center"/>
              <w:rPr>
                <w:rFonts w:ascii="宋体" w:hAnsi="宋体" w:cs="宋体"/>
                <w:color w:val="auto"/>
                <w:sz w:val="24"/>
                <w:lang w:val="en-GB"/>
              </w:rPr>
            </w:pPr>
          </w:p>
        </w:tc>
        <w:tc>
          <w:tcPr>
            <w:tcW w:w="1001" w:type="dxa"/>
            <w:vMerge w:val="continue"/>
            <w:vAlign w:val="center"/>
          </w:tcPr>
          <w:p>
            <w:pPr>
              <w:pStyle w:val="70"/>
              <w:tabs>
                <w:tab w:val="left" w:pos="1260"/>
              </w:tabs>
              <w:jc w:val="center"/>
              <w:rPr>
                <w:rFonts w:ascii="宋体" w:hAnsi="宋体" w:cs="宋体"/>
                <w:color w:val="auto"/>
                <w:sz w:val="24"/>
                <w:lang w:val="en-GB"/>
              </w:rPr>
            </w:pPr>
          </w:p>
        </w:tc>
        <w:tc>
          <w:tcPr>
            <w:tcW w:w="1334" w:type="dxa"/>
            <w:vMerge w:val="continue"/>
            <w:vAlign w:val="center"/>
          </w:tcPr>
          <w:p>
            <w:pPr>
              <w:pStyle w:val="70"/>
              <w:tabs>
                <w:tab w:val="left" w:pos="1260"/>
              </w:tabs>
              <w:jc w:val="center"/>
              <w:rPr>
                <w:rFonts w:ascii="宋体" w:hAnsi="宋体" w:cs="宋体"/>
                <w:color w:val="auto"/>
                <w:sz w:val="24"/>
              </w:rPr>
            </w:pPr>
          </w:p>
        </w:tc>
        <w:tc>
          <w:tcPr>
            <w:tcW w:w="1203" w:type="dxa"/>
            <w:vAlign w:val="center"/>
          </w:tcPr>
          <w:p>
            <w:pPr>
              <w:pStyle w:val="70"/>
              <w:tabs>
                <w:tab w:val="left" w:pos="1260"/>
              </w:tabs>
              <w:jc w:val="center"/>
              <w:rPr>
                <w:rFonts w:ascii="宋体" w:hAnsi="宋体" w:cs="宋体"/>
                <w:color w:val="auto"/>
                <w:sz w:val="24"/>
                <w:lang w:val="en-GB"/>
              </w:rPr>
            </w:pPr>
            <w:r>
              <w:rPr>
                <w:rFonts w:hint="eastAsia" w:ascii="宋体" w:hAnsi="宋体" w:cs="宋体"/>
                <w:color w:val="auto"/>
                <w:kern w:val="0"/>
                <w:sz w:val="24"/>
              </w:rPr>
              <w:t>认证机构</w:t>
            </w:r>
          </w:p>
        </w:tc>
        <w:tc>
          <w:tcPr>
            <w:tcW w:w="1188" w:type="dxa"/>
            <w:vAlign w:val="center"/>
          </w:tcPr>
          <w:p>
            <w:pPr>
              <w:pStyle w:val="70"/>
              <w:tabs>
                <w:tab w:val="left" w:pos="1260"/>
              </w:tabs>
              <w:jc w:val="center"/>
              <w:rPr>
                <w:rFonts w:ascii="宋体" w:hAnsi="宋体" w:cs="宋体"/>
                <w:color w:val="auto"/>
                <w:kern w:val="0"/>
                <w:sz w:val="24"/>
              </w:rPr>
            </w:pPr>
            <w:r>
              <w:rPr>
                <w:rFonts w:hint="eastAsia" w:ascii="宋体" w:hAnsi="宋体" w:cs="宋体"/>
                <w:color w:val="auto"/>
                <w:kern w:val="0"/>
                <w:sz w:val="24"/>
              </w:rPr>
              <w:t>认证证书编号</w:t>
            </w:r>
          </w:p>
        </w:tc>
        <w:tc>
          <w:tcPr>
            <w:tcW w:w="1210" w:type="dxa"/>
            <w:vAlign w:val="center"/>
          </w:tcPr>
          <w:p>
            <w:pPr>
              <w:pStyle w:val="70"/>
              <w:tabs>
                <w:tab w:val="left" w:pos="1260"/>
              </w:tabs>
              <w:jc w:val="center"/>
              <w:rPr>
                <w:rFonts w:ascii="宋体" w:hAnsi="宋体" w:cs="宋体"/>
                <w:color w:val="auto"/>
                <w:sz w:val="24"/>
                <w:lang w:val="en-GB"/>
              </w:rPr>
            </w:pPr>
            <w:r>
              <w:rPr>
                <w:rFonts w:hint="eastAsia" w:ascii="宋体" w:hAnsi="宋体" w:cs="宋体"/>
                <w:color w:val="auto"/>
                <w:kern w:val="0"/>
                <w:sz w:val="24"/>
              </w:rPr>
              <w:t>证书有效期</w:t>
            </w:r>
          </w:p>
        </w:tc>
        <w:tc>
          <w:tcPr>
            <w:tcW w:w="786" w:type="dxa"/>
            <w:vMerge w:val="continue"/>
            <w:vAlign w:val="center"/>
          </w:tcPr>
          <w:p>
            <w:pPr>
              <w:pStyle w:val="70"/>
              <w:tabs>
                <w:tab w:val="left" w:pos="1260"/>
              </w:tabs>
              <w:jc w:val="center"/>
              <w:rPr>
                <w:rFonts w:ascii="宋体" w:hAnsi="宋体" w:cs="宋体"/>
                <w:color w:val="auto"/>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613" w:type="dxa"/>
            <w:vMerge w:val="continue"/>
            <w:vAlign w:val="center"/>
          </w:tcPr>
          <w:p>
            <w:pPr>
              <w:pStyle w:val="70"/>
              <w:widowControl/>
              <w:jc w:val="left"/>
              <w:rPr>
                <w:rFonts w:ascii="宋体" w:hAnsi="宋体" w:cs="宋体"/>
                <w:color w:val="auto"/>
                <w:sz w:val="24"/>
                <w:lang w:val="en-GB"/>
              </w:rPr>
            </w:pPr>
          </w:p>
        </w:tc>
        <w:tc>
          <w:tcPr>
            <w:tcW w:w="592" w:type="dxa"/>
            <w:vAlign w:val="center"/>
          </w:tcPr>
          <w:p>
            <w:pPr>
              <w:pStyle w:val="70"/>
              <w:tabs>
                <w:tab w:val="left" w:pos="1260"/>
              </w:tabs>
              <w:jc w:val="center"/>
              <w:rPr>
                <w:rFonts w:ascii="宋体" w:hAnsi="宋体" w:cs="宋体"/>
                <w:color w:val="auto"/>
                <w:sz w:val="24"/>
                <w:lang w:val="en-GB"/>
              </w:rPr>
            </w:pPr>
            <w:r>
              <w:rPr>
                <w:rFonts w:hint="eastAsia" w:ascii="宋体" w:hAnsi="宋体" w:cs="宋体"/>
                <w:color w:val="auto"/>
                <w:sz w:val="24"/>
                <w:lang w:val="en-GB"/>
              </w:rPr>
              <w:t>1</w:t>
            </w:r>
          </w:p>
        </w:tc>
        <w:tc>
          <w:tcPr>
            <w:tcW w:w="1187" w:type="dxa"/>
            <w:vAlign w:val="center"/>
          </w:tcPr>
          <w:p>
            <w:pPr>
              <w:pStyle w:val="70"/>
              <w:tabs>
                <w:tab w:val="left" w:pos="1260"/>
              </w:tabs>
              <w:jc w:val="center"/>
              <w:rPr>
                <w:rFonts w:ascii="宋体" w:hAnsi="宋体" w:cs="宋体"/>
                <w:color w:val="auto"/>
                <w:sz w:val="24"/>
                <w:lang w:val="en-GB"/>
              </w:rPr>
            </w:pPr>
          </w:p>
        </w:tc>
        <w:tc>
          <w:tcPr>
            <w:tcW w:w="1001" w:type="dxa"/>
            <w:vAlign w:val="center"/>
          </w:tcPr>
          <w:p>
            <w:pPr>
              <w:pStyle w:val="70"/>
              <w:tabs>
                <w:tab w:val="left" w:pos="1260"/>
              </w:tabs>
              <w:jc w:val="center"/>
              <w:rPr>
                <w:rFonts w:ascii="宋体" w:hAnsi="宋体" w:cs="宋体"/>
                <w:color w:val="auto"/>
                <w:sz w:val="24"/>
                <w:lang w:val="en-GB"/>
              </w:rPr>
            </w:pPr>
          </w:p>
        </w:tc>
        <w:tc>
          <w:tcPr>
            <w:tcW w:w="1334" w:type="dxa"/>
            <w:vAlign w:val="center"/>
          </w:tcPr>
          <w:p>
            <w:pPr>
              <w:pStyle w:val="70"/>
              <w:tabs>
                <w:tab w:val="left" w:pos="1260"/>
              </w:tabs>
              <w:jc w:val="center"/>
              <w:rPr>
                <w:rFonts w:ascii="宋体" w:hAnsi="宋体" w:cs="宋体"/>
                <w:color w:val="auto"/>
                <w:sz w:val="24"/>
                <w:lang w:val="en-GB"/>
              </w:rPr>
            </w:pPr>
          </w:p>
        </w:tc>
        <w:tc>
          <w:tcPr>
            <w:tcW w:w="1203" w:type="dxa"/>
            <w:vAlign w:val="center"/>
          </w:tcPr>
          <w:p>
            <w:pPr>
              <w:pStyle w:val="70"/>
              <w:tabs>
                <w:tab w:val="left" w:pos="1260"/>
              </w:tabs>
              <w:jc w:val="center"/>
              <w:rPr>
                <w:rFonts w:ascii="宋体" w:hAnsi="宋体" w:cs="宋体"/>
                <w:color w:val="auto"/>
                <w:sz w:val="24"/>
                <w:lang w:val="en-GB"/>
              </w:rPr>
            </w:pPr>
          </w:p>
        </w:tc>
        <w:tc>
          <w:tcPr>
            <w:tcW w:w="1188" w:type="dxa"/>
            <w:vAlign w:val="center"/>
          </w:tcPr>
          <w:p>
            <w:pPr>
              <w:pStyle w:val="70"/>
              <w:tabs>
                <w:tab w:val="left" w:pos="1260"/>
              </w:tabs>
              <w:jc w:val="center"/>
              <w:rPr>
                <w:rFonts w:ascii="宋体" w:hAnsi="宋体" w:cs="宋体"/>
                <w:color w:val="auto"/>
                <w:sz w:val="24"/>
                <w:lang w:val="en-GB"/>
              </w:rPr>
            </w:pPr>
          </w:p>
        </w:tc>
        <w:tc>
          <w:tcPr>
            <w:tcW w:w="1210" w:type="dxa"/>
            <w:vAlign w:val="center"/>
          </w:tcPr>
          <w:p>
            <w:pPr>
              <w:pStyle w:val="70"/>
              <w:tabs>
                <w:tab w:val="left" w:pos="1260"/>
              </w:tabs>
              <w:jc w:val="center"/>
              <w:rPr>
                <w:rFonts w:ascii="宋体" w:hAnsi="宋体" w:cs="宋体"/>
                <w:color w:val="auto"/>
                <w:sz w:val="24"/>
                <w:lang w:val="en-GB"/>
              </w:rPr>
            </w:pPr>
          </w:p>
        </w:tc>
        <w:tc>
          <w:tcPr>
            <w:tcW w:w="786" w:type="dxa"/>
            <w:vAlign w:val="center"/>
          </w:tcPr>
          <w:p>
            <w:pPr>
              <w:pStyle w:val="70"/>
              <w:tabs>
                <w:tab w:val="left" w:pos="1260"/>
              </w:tabs>
              <w:jc w:val="center"/>
              <w:rPr>
                <w:rFonts w:ascii="宋体" w:hAnsi="宋体" w:cs="宋体"/>
                <w:color w:val="auto"/>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613" w:type="dxa"/>
            <w:vMerge w:val="continue"/>
            <w:vAlign w:val="center"/>
          </w:tcPr>
          <w:p>
            <w:pPr>
              <w:pStyle w:val="70"/>
              <w:widowControl/>
              <w:jc w:val="left"/>
              <w:rPr>
                <w:rFonts w:ascii="宋体" w:hAnsi="宋体" w:cs="宋体"/>
                <w:color w:val="auto"/>
                <w:sz w:val="24"/>
                <w:lang w:val="en-GB"/>
              </w:rPr>
            </w:pPr>
          </w:p>
        </w:tc>
        <w:tc>
          <w:tcPr>
            <w:tcW w:w="592" w:type="dxa"/>
            <w:vAlign w:val="center"/>
          </w:tcPr>
          <w:p>
            <w:pPr>
              <w:pStyle w:val="70"/>
              <w:tabs>
                <w:tab w:val="left" w:pos="1260"/>
              </w:tabs>
              <w:jc w:val="center"/>
              <w:rPr>
                <w:rFonts w:ascii="宋体" w:hAnsi="宋体" w:cs="宋体"/>
                <w:color w:val="auto"/>
                <w:sz w:val="24"/>
                <w:lang w:val="en-GB"/>
              </w:rPr>
            </w:pPr>
            <w:r>
              <w:rPr>
                <w:rFonts w:hint="eastAsia" w:ascii="宋体" w:hAnsi="宋体" w:cs="宋体"/>
                <w:color w:val="auto"/>
                <w:sz w:val="24"/>
                <w:lang w:val="en-GB"/>
              </w:rPr>
              <w:t>2</w:t>
            </w:r>
          </w:p>
        </w:tc>
        <w:tc>
          <w:tcPr>
            <w:tcW w:w="1187" w:type="dxa"/>
            <w:vAlign w:val="center"/>
          </w:tcPr>
          <w:p>
            <w:pPr>
              <w:pStyle w:val="70"/>
              <w:tabs>
                <w:tab w:val="left" w:pos="1260"/>
              </w:tabs>
              <w:jc w:val="center"/>
              <w:rPr>
                <w:rFonts w:ascii="宋体" w:hAnsi="宋体" w:cs="宋体"/>
                <w:color w:val="auto"/>
                <w:sz w:val="24"/>
                <w:lang w:val="en-GB"/>
              </w:rPr>
            </w:pPr>
          </w:p>
        </w:tc>
        <w:tc>
          <w:tcPr>
            <w:tcW w:w="1001" w:type="dxa"/>
            <w:vAlign w:val="center"/>
          </w:tcPr>
          <w:p>
            <w:pPr>
              <w:pStyle w:val="70"/>
              <w:tabs>
                <w:tab w:val="left" w:pos="1260"/>
              </w:tabs>
              <w:jc w:val="center"/>
              <w:rPr>
                <w:rFonts w:ascii="宋体" w:hAnsi="宋体" w:cs="宋体"/>
                <w:color w:val="auto"/>
                <w:sz w:val="24"/>
                <w:lang w:val="en-GB"/>
              </w:rPr>
            </w:pPr>
          </w:p>
        </w:tc>
        <w:tc>
          <w:tcPr>
            <w:tcW w:w="1334" w:type="dxa"/>
            <w:vAlign w:val="center"/>
          </w:tcPr>
          <w:p>
            <w:pPr>
              <w:pStyle w:val="70"/>
              <w:tabs>
                <w:tab w:val="left" w:pos="1260"/>
              </w:tabs>
              <w:jc w:val="center"/>
              <w:rPr>
                <w:rFonts w:ascii="宋体" w:hAnsi="宋体" w:cs="宋体"/>
                <w:color w:val="auto"/>
                <w:sz w:val="24"/>
                <w:lang w:val="en-GB"/>
              </w:rPr>
            </w:pPr>
          </w:p>
        </w:tc>
        <w:tc>
          <w:tcPr>
            <w:tcW w:w="1203" w:type="dxa"/>
            <w:vAlign w:val="center"/>
          </w:tcPr>
          <w:p>
            <w:pPr>
              <w:pStyle w:val="70"/>
              <w:tabs>
                <w:tab w:val="left" w:pos="1260"/>
              </w:tabs>
              <w:jc w:val="center"/>
              <w:rPr>
                <w:rFonts w:ascii="宋体" w:hAnsi="宋体" w:cs="宋体"/>
                <w:color w:val="auto"/>
                <w:sz w:val="24"/>
                <w:lang w:val="en-GB"/>
              </w:rPr>
            </w:pPr>
          </w:p>
        </w:tc>
        <w:tc>
          <w:tcPr>
            <w:tcW w:w="1188" w:type="dxa"/>
            <w:vAlign w:val="center"/>
          </w:tcPr>
          <w:p>
            <w:pPr>
              <w:pStyle w:val="70"/>
              <w:tabs>
                <w:tab w:val="left" w:pos="1260"/>
              </w:tabs>
              <w:jc w:val="center"/>
              <w:rPr>
                <w:rFonts w:ascii="宋体" w:hAnsi="宋体" w:cs="宋体"/>
                <w:color w:val="auto"/>
                <w:sz w:val="24"/>
                <w:lang w:val="en-GB"/>
              </w:rPr>
            </w:pPr>
          </w:p>
        </w:tc>
        <w:tc>
          <w:tcPr>
            <w:tcW w:w="1210" w:type="dxa"/>
            <w:vAlign w:val="center"/>
          </w:tcPr>
          <w:p>
            <w:pPr>
              <w:pStyle w:val="70"/>
              <w:tabs>
                <w:tab w:val="left" w:pos="1260"/>
              </w:tabs>
              <w:jc w:val="center"/>
              <w:rPr>
                <w:rFonts w:ascii="宋体" w:hAnsi="宋体" w:cs="宋体"/>
                <w:color w:val="auto"/>
                <w:sz w:val="24"/>
                <w:lang w:val="en-GB"/>
              </w:rPr>
            </w:pPr>
          </w:p>
        </w:tc>
        <w:tc>
          <w:tcPr>
            <w:tcW w:w="786" w:type="dxa"/>
            <w:vAlign w:val="center"/>
          </w:tcPr>
          <w:p>
            <w:pPr>
              <w:pStyle w:val="70"/>
              <w:tabs>
                <w:tab w:val="left" w:pos="1260"/>
              </w:tabs>
              <w:jc w:val="center"/>
              <w:rPr>
                <w:rFonts w:ascii="宋体" w:hAnsi="宋体" w:cs="宋体"/>
                <w:color w:val="auto"/>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613" w:type="dxa"/>
            <w:vMerge w:val="continue"/>
            <w:vAlign w:val="center"/>
          </w:tcPr>
          <w:p>
            <w:pPr>
              <w:pStyle w:val="70"/>
              <w:widowControl/>
              <w:jc w:val="left"/>
              <w:rPr>
                <w:rFonts w:ascii="宋体" w:hAnsi="宋体" w:cs="宋体"/>
                <w:color w:val="auto"/>
                <w:sz w:val="24"/>
                <w:lang w:val="en-GB"/>
              </w:rPr>
            </w:pPr>
          </w:p>
        </w:tc>
        <w:tc>
          <w:tcPr>
            <w:tcW w:w="592" w:type="dxa"/>
            <w:vAlign w:val="center"/>
          </w:tcPr>
          <w:p>
            <w:pPr>
              <w:pStyle w:val="70"/>
              <w:tabs>
                <w:tab w:val="left" w:pos="1260"/>
              </w:tabs>
              <w:jc w:val="center"/>
              <w:rPr>
                <w:rFonts w:ascii="宋体" w:hAnsi="宋体" w:cs="宋体"/>
                <w:color w:val="auto"/>
                <w:sz w:val="24"/>
                <w:lang w:val="en-GB"/>
              </w:rPr>
            </w:pPr>
            <w:r>
              <w:rPr>
                <w:rFonts w:hint="eastAsia" w:ascii="宋体" w:hAnsi="宋体" w:cs="宋体"/>
                <w:color w:val="auto"/>
                <w:sz w:val="24"/>
                <w:lang w:val="en-GB"/>
              </w:rPr>
              <w:t>……</w:t>
            </w:r>
          </w:p>
        </w:tc>
        <w:tc>
          <w:tcPr>
            <w:tcW w:w="1187" w:type="dxa"/>
            <w:vAlign w:val="center"/>
          </w:tcPr>
          <w:p>
            <w:pPr>
              <w:pStyle w:val="70"/>
              <w:tabs>
                <w:tab w:val="left" w:pos="1260"/>
              </w:tabs>
              <w:jc w:val="center"/>
              <w:rPr>
                <w:rFonts w:ascii="宋体" w:hAnsi="宋体" w:cs="宋体"/>
                <w:color w:val="auto"/>
                <w:sz w:val="24"/>
                <w:lang w:val="en-GB"/>
              </w:rPr>
            </w:pPr>
          </w:p>
        </w:tc>
        <w:tc>
          <w:tcPr>
            <w:tcW w:w="1001" w:type="dxa"/>
            <w:vAlign w:val="center"/>
          </w:tcPr>
          <w:p>
            <w:pPr>
              <w:pStyle w:val="70"/>
              <w:tabs>
                <w:tab w:val="left" w:pos="1260"/>
              </w:tabs>
              <w:jc w:val="center"/>
              <w:rPr>
                <w:rFonts w:ascii="宋体" w:hAnsi="宋体" w:cs="宋体"/>
                <w:color w:val="auto"/>
                <w:sz w:val="24"/>
                <w:lang w:val="en-GB"/>
              </w:rPr>
            </w:pPr>
          </w:p>
        </w:tc>
        <w:tc>
          <w:tcPr>
            <w:tcW w:w="1334" w:type="dxa"/>
            <w:vAlign w:val="center"/>
          </w:tcPr>
          <w:p>
            <w:pPr>
              <w:pStyle w:val="70"/>
              <w:tabs>
                <w:tab w:val="left" w:pos="1260"/>
              </w:tabs>
              <w:jc w:val="center"/>
              <w:rPr>
                <w:rFonts w:ascii="宋体" w:hAnsi="宋体" w:cs="宋体"/>
                <w:color w:val="auto"/>
                <w:sz w:val="24"/>
                <w:lang w:val="en-GB"/>
              </w:rPr>
            </w:pPr>
          </w:p>
        </w:tc>
        <w:tc>
          <w:tcPr>
            <w:tcW w:w="1203" w:type="dxa"/>
            <w:vAlign w:val="center"/>
          </w:tcPr>
          <w:p>
            <w:pPr>
              <w:pStyle w:val="70"/>
              <w:tabs>
                <w:tab w:val="left" w:pos="1260"/>
              </w:tabs>
              <w:jc w:val="center"/>
              <w:rPr>
                <w:rFonts w:ascii="宋体" w:hAnsi="宋体" w:cs="宋体"/>
                <w:color w:val="auto"/>
                <w:sz w:val="24"/>
                <w:lang w:val="en-GB"/>
              </w:rPr>
            </w:pPr>
          </w:p>
        </w:tc>
        <w:tc>
          <w:tcPr>
            <w:tcW w:w="1188" w:type="dxa"/>
            <w:vAlign w:val="center"/>
          </w:tcPr>
          <w:p>
            <w:pPr>
              <w:pStyle w:val="70"/>
              <w:tabs>
                <w:tab w:val="left" w:pos="1260"/>
              </w:tabs>
              <w:jc w:val="center"/>
              <w:rPr>
                <w:rFonts w:ascii="宋体" w:hAnsi="宋体" w:cs="宋体"/>
                <w:color w:val="auto"/>
                <w:sz w:val="24"/>
                <w:lang w:val="en-GB"/>
              </w:rPr>
            </w:pPr>
          </w:p>
        </w:tc>
        <w:tc>
          <w:tcPr>
            <w:tcW w:w="1210" w:type="dxa"/>
            <w:vAlign w:val="center"/>
          </w:tcPr>
          <w:p>
            <w:pPr>
              <w:pStyle w:val="70"/>
              <w:tabs>
                <w:tab w:val="left" w:pos="1260"/>
              </w:tabs>
              <w:jc w:val="center"/>
              <w:rPr>
                <w:rFonts w:ascii="宋体" w:hAnsi="宋体" w:cs="宋体"/>
                <w:color w:val="auto"/>
                <w:sz w:val="24"/>
                <w:lang w:val="en-GB"/>
              </w:rPr>
            </w:pPr>
          </w:p>
        </w:tc>
        <w:tc>
          <w:tcPr>
            <w:tcW w:w="786" w:type="dxa"/>
            <w:vAlign w:val="center"/>
          </w:tcPr>
          <w:p>
            <w:pPr>
              <w:pStyle w:val="70"/>
              <w:tabs>
                <w:tab w:val="left" w:pos="1260"/>
              </w:tabs>
              <w:jc w:val="center"/>
              <w:rPr>
                <w:rFonts w:ascii="宋体" w:hAnsi="宋体" w:cs="宋体"/>
                <w:color w:val="auto"/>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613" w:type="dxa"/>
            <w:vMerge w:val="continue"/>
            <w:vAlign w:val="center"/>
          </w:tcPr>
          <w:p>
            <w:pPr>
              <w:pStyle w:val="70"/>
              <w:widowControl/>
              <w:jc w:val="left"/>
              <w:rPr>
                <w:rFonts w:ascii="宋体" w:hAnsi="宋体" w:cs="宋体"/>
                <w:color w:val="auto"/>
                <w:sz w:val="24"/>
                <w:lang w:val="en-GB"/>
              </w:rPr>
            </w:pPr>
          </w:p>
        </w:tc>
        <w:tc>
          <w:tcPr>
            <w:tcW w:w="7715" w:type="dxa"/>
            <w:gridSpan w:val="7"/>
            <w:vAlign w:val="center"/>
          </w:tcPr>
          <w:p>
            <w:pPr>
              <w:pStyle w:val="70"/>
              <w:tabs>
                <w:tab w:val="left" w:pos="1260"/>
              </w:tabs>
              <w:jc w:val="left"/>
              <w:rPr>
                <w:rFonts w:ascii="宋体" w:hAnsi="宋体" w:cs="宋体"/>
                <w:color w:val="auto"/>
                <w:sz w:val="24"/>
                <w:lang w:val="en-GB"/>
              </w:rPr>
            </w:pPr>
            <w:r>
              <w:rPr>
                <w:rFonts w:hint="eastAsia" w:ascii="宋体" w:hAnsi="宋体" w:cs="宋体"/>
                <w:color w:val="auto"/>
                <w:sz w:val="24"/>
                <w:lang w:val="en-GB"/>
              </w:rPr>
              <w:t>环境标志产品金额合计</w:t>
            </w:r>
          </w:p>
        </w:tc>
        <w:tc>
          <w:tcPr>
            <w:tcW w:w="786" w:type="dxa"/>
            <w:vAlign w:val="center"/>
          </w:tcPr>
          <w:p>
            <w:pPr>
              <w:pStyle w:val="70"/>
              <w:tabs>
                <w:tab w:val="left" w:pos="1260"/>
              </w:tabs>
              <w:jc w:val="center"/>
              <w:rPr>
                <w:rFonts w:ascii="宋体" w:hAnsi="宋体" w:cs="宋体"/>
                <w:color w:val="auto"/>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613" w:type="dxa"/>
            <w:vMerge w:val="continue"/>
            <w:vAlign w:val="center"/>
          </w:tcPr>
          <w:p>
            <w:pPr>
              <w:pStyle w:val="70"/>
              <w:widowControl/>
              <w:jc w:val="left"/>
              <w:rPr>
                <w:rFonts w:ascii="宋体" w:hAnsi="宋体" w:cs="宋体"/>
                <w:color w:val="auto"/>
                <w:sz w:val="24"/>
                <w:lang w:val="en-GB"/>
              </w:rPr>
            </w:pPr>
          </w:p>
        </w:tc>
        <w:tc>
          <w:tcPr>
            <w:tcW w:w="7715" w:type="dxa"/>
            <w:gridSpan w:val="7"/>
            <w:vAlign w:val="center"/>
          </w:tcPr>
          <w:p>
            <w:pPr>
              <w:pStyle w:val="70"/>
              <w:tabs>
                <w:tab w:val="left" w:pos="1260"/>
              </w:tabs>
              <w:jc w:val="left"/>
              <w:rPr>
                <w:rFonts w:ascii="宋体" w:hAnsi="宋体" w:cs="宋体"/>
                <w:color w:val="auto"/>
                <w:sz w:val="24"/>
                <w:lang w:val="en-GB"/>
              </w:rPr>
            </w:pPr>
            <w:r>
              <w:rPr>
                <w:rFonts w:hint="eastAsia" w:ascii="宋体" w:hAnsi="宋体" w:cs="宋体"/>
                <w:color w:val="auto"/>
                <w:sz w:val="24"/>
                <w:lang w:val="en-GB"/>
              </w:rPr>
              <w:t>环境标志产品证明材料见投标文件第（    ）页。</w:t>
            </w:r>
          </w:p>
        </w:tc>
        <w:tc>
          <w:tcPr>
            <w:tcW w:w="786" w:type="dxa"/>
            <w:vAlign w:val="center"/>
          </w:tcPr>
          <w:p>
            <w:pPr>
              <w:pStyle w:val="70"/>
              <w:tabs>
                <w:tab w:val="left" w:pos="1260"/>
              </w:tabs>
              <w:jc w:val="center"/>
              <w:rPr>
                <w:rFonts w:ascii="宋体" w:hAnsi="宋体" w:cs="宋体"/>
                <w:color w:val="auto"/>
                <w:sz w:val="24"/>
                <w:lang w:val="en-GB"/>
              </w:rPr>
            </w:pPr>
          </w:p>
        </w:tc>
      </w:tr>
    </w:tbl>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投标人名称（加盖公章）：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投标人法定代表人或授权代表（签字或盖章）：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日期：</w:t>
      </w:r>
      <w:r>
        <w:rPr>
          <w:rFonts w:hint="eastAsia" w:ascii="宋体" w:hAnsi="宋体"/>
          <w:color w:val="auto"/>
          <w:sz w:val="24"/>
          <w:szCs w:val="24"/>
          <w:u w:val="single"/>
        </w:rPr>
        <w:t xml:space="preserve">        </w:t>
      </w:r>
      <w:r>
        <w:rPr>
          <w:rFonts w:hint="eastAsia" w:ascii="宋体" w:hAnsi="宋体"/>
          <w:color w:val="auto"/>
          <w:sz w:val="24"/>
          <w:szCs w:val="24"/>
        </w:rPr>
        <w:t>年</w:t>
      </w:r>
      <w:r>
        <w:rPr>
          <w:rFonts w:hint="eastAsia" w:ascii="宋体" w:hAnsi="宋体"/>
          <w:color w:val="auto"/>
          <w:sz w:val="24"/>
          <w:szCs w:val="24"/>
          <w:u w:val="single"/>
        </w:rPr>
        <w:t xml:space="preserve">    </w:t>
      </w:r>
      <w:r>
        <w:rPr>
          <w:rFonts w:hint="eastAsia" w:ascii="宋体" w:hAnsi="宋体"/>
          <w:color w:val="auto"/>
          <w:sz w:val="24"/>
          <w:szCs w:val="24"/>
        </w:rPr>
        <w:t>月</w:t>
      </w:r>
      <w:r>
        <w:rPr>
          <w:rFonts w:hint="eastAsia" w:ascii="宋体" w:hAnsi="宋体"/>
          <w:color w:val="auto"/>
          <w:sz w:val="24"/>
          <w:szCs w:val="24"/>
          <w:u w:val="single"/>
        </w:rPr>
        <w:t xml:space="preserve">    </w:t>
      </w:r>
      <w:r>
        <w:rPr>
          <w:rFonts w:hint="eastAsia" w:ascii="宋体" w:hAnsi="宋体"/>
          <w:color w:val="auto"/>
          <w:sz w:val="24"/>
          <w:szCs w:val="24"/>
        </w:rPr>
        <w:t>日</w:t>
      </w:r>
    </w:p>
    <w:p>
      <w:pPr>
        <w:spacing w:line="312" w:lineRule="auto"/>
        <w:ind w:left="240" w:hanging="240" w:hangingChars="100"/>
        <w:rPr>
          <w:rFonts w:ascii="宋体" w:hAnsi="宋体"/>
          <w:color w:val="auto"/>
          <w:sz w:val="24"/>
          <w:szCs w:val="24"/>
        </w:rPr>
      </w:pPr>
    </w:p>
    <w:p>
      <w:pPr>
        <w:ind w:left="723" w:hanging="720" w:hangingChars="300"/>
        <w:rPr>
          <w:rFonts w:ascii="宋体" w:hAnsi="宋体"/>
          <w:b/>
          <w:color w:val="auto"/>
          <w:sz w:val="24"/>
          <w:szCs w:val="24"/>
        </w:rPr>
      </w:pPr>
      <w:r>
        <w:rPr>
          <w:rFonts w:hint="eastAsia" w:ascii="宋体" w:hAnsi="宋体"/>
          <w:b/>
          <w:color w:val="auto"/>
          <w:sz w:val="24"/>
          <w:szCs w:val="24"/>
        </w:rPr>
        <w:t>备注：</w:t>
      </w:r>
    </w:p>
    <w:p>
      <w:pPr>
        <w:ind w:firstLine="480" w:firstLineChars="200"/>
        <w:rPr>
          <w:rFonts w:ascii="宋体" w:hAnsi="宋体"/>
          <w:color w:val="auto"/>
          <w:sz w:val="24"/>
          <w:szCs w:val="24"/>
        </w:rPr>
      </w:pPr>
      <w:r>
        <w:rPr>
          <w:rFonts w:hint="eastAsia" w:ascii="宋体" w:hAnsi="宋体"/>
          <w:color w:val="auto"/>
          <w:sz w:val="24"/>
          <w:szCs w:val="24"/>
        </w:rPr>
        <w:t>1.如适用，请供应商正确填写本表，所填内容将作为评标的依据。其内容或数据应与对应的证明资料相符。</w:t>
      </w:r>
    </w:p>
    <w:p>
      <w:pPr>
        <w:ind w:firstLine="480" w:firstLineChars="200"/>
        <w:rPr>
          <w:rFonts w:ascii="宋体" w:hAnsi="宋体"/>
          <w:color w:val="auto"/>
          <w:sz w:val="24"/>
          <w:szCs w:val="24"/>
        </w:rPr>
      </w:pPr>
      <w:r>
        <w:rPr>
          <w:rFonts w:hint="eastAsia" w:ascii="宋体" w:hAnsi="宋体"/>
          <w:color w:val="auto"/>
          <w:sz w:val="24"/>
          <w:szCs w:val="24"/>
        </w:rPr>
        <w:t>2.本表的产品名称、品牌、型号和金额应与《分项报价明细表》（如有）对应的货物一致。</w:t>
      </w:r>
    </w:p>
    <w:p>
      <w:pPr>
        <w:ind w:firstLine="480" w:firstLineChars="200"/>
        <w:rPr>
          <w:rFonts w:ascii="宋体" w:hAnsi="宋体" w:cs="宋体"/>
          <w:color w:val="auto"/>
          <w:sz w:val="24"/>
          <w:lang w:val="en-GB"/>
        </w:rPr>
      </w:pPr>
      <w:r>
        <w:rPr>
          <w:rFonts w:hint="eastAsia" w:ascii="宋体" w:hAnsi="宋体"/>
          <w:color w:val="auto"/>
          <w:sz w:val="24"/>
          <w:szCs w:val="24"/>
        </w:rPr>
        <w:t>3.</w:t>
      </w:r>
      <w:r>
        <w:rPr>
          <w:rFonts w:hint="eastAsia" w:ascii="宋体" w:hAnsi="宋体" w:cs="宋体"/>
          <w:color w:val="auto"/>
          <w:sz w:val="24"/>
          <w:lang w:val="en-GB"/>
        </w:rPr>
        <w:t>中小企业政策扶持</w:t>
      </w:r>
    </w:p>
    <w:p>
      <w:pPr>
        <w:ind w:firstLine="480" w:firstLineChars="200"/>
        <w:rPr>
          <w:rFonts w:ascii="宋体" w:hAnsi="宋体"/>
          <w:color w:val="auto"/>
          <w:sz w:val="24"/>
          <w:szCs w:val="24"/>
        </w:rPr>
      </w:pPr>
      <w:r>
        <w:rPr>
          <w:rFonts w:hint="eastAsia" w:ascii="宋体" w:hAnsi="宋体"/>
          <w:color w:val="auto"/>
          <w:sz w:val="24"/>
          <w:szCs w:val="24"/>
        </w:rPr>
        <w:t>（1）投标供应商</w:t>
      </w:r>
      <w:r>
        <w:rPr>
          <w:rFonts w:hint="eastAsia" w:ascii="宋体" w:hAnsi="宋体"/>
          <w:color w:val="auto"/>
          <w:sz w:val="24"/>
        </w:rPr>
        <w:t>希望获得</w:t>
      </w:r>
      <w:r>
        <w:rPr>
          <w:rFonts w:hint="eastAsia" w:ascii="宋体" w:hAnsi="宋体"/>
          <w:color w:val="auto"/>
          <w:sz w:val="24"/>
          <w:szCs w:val="24"/>
        </w:rPr>
        <w:t>《办法》规定政策扶持</w:t>
      </w:r>
      <w:r>
        <w:rPr>
          <w:rFonts w:hint="eastAsia" w:ascii="宋体" w:hAnsi="宋体" w:cs="宋体"/>
          <w:color w:val="auto"/>
          <w:sz w:val="24"/>
          <w:szCs w:val="24"/>
        </w:rPr>
        <w:t>的，须提供相关中小企业声明函（</w:t>
      </w:r>
      <w:r>
        <w:rPr>
          <w:rFonts w:hint="eastAsia" w:ascii="宋体" w:hAnsi="宋体"/>
          <w:color w:val="auto"/>
          <w:sz w:val="24"/>
        </w:rPr>
        <w:t>监狱企业、残疾人福利性单位视同为小型、微型企业）</w:t>
      </w:r>
      <w:r>
        <w:rPr>
          <w:rFonts w:hint="eastAsia" w:ascii="宋体" w:hAnsi="宋体" w:cs="宋体"/>
          <w:color w:val="auto"/>
          <w:sz w:val="24"/>
          <w:szCs w:val="24"/>
        </w:rPr>
        <w:t>和证明材料（详见投标文件格式第8.条）。</w:t>
      </w:r>
    </w:p>
    <w:p>
      <w:pPr>
        <w:ind w:firstLine="480" w:firstLineChars="200"/>
        <w:rPr>
          <w:rFonts w:ascii="宋体" w:hAnsi="宋体"/>
          <w:color w:val="auto"/>
          <w:sz w:val="24"/>
          <w:szCs w:val="24"/>
        </w:rPr>
      </w:pPr>
      <w:r>
        <w:rPr>
          <w:rFonts w:hint="eastAsia" w:ascii="宋体" w:hAnsi="宋体"/>
          <w:color w:val="auto"/>
          <w:sz w:val="24"/>
          <w:szCs w:val="24"/>
        </w:rPr>
        <w:t>（2）非专门面向中小企业采购的项目（采购包），如投标供应商为大中型企业（其他自然人、法人或者其他组织）与小型、微型企业组成联合体或以合同分包形式参加政府采购活动，《联合协议》或《分包意向协议》中约定，小微企业的协议合同金额占到协议合同总金额30%以上，享受政府采购政策评审优惠，</w:t>
      </w:r>
      <w:r>
        <w:rPr>
          <w:rFonts w:hint="eastAsia" w:ascii="宋体" w:hAnsi="宋体"/>
          <w:color w:val="auto"/>
          <w:kern w:val="0"/>
          <w:sz w:val="24"/>
          <w:szCs w:val="24"/>
        </w:rPr>
        <w:t>组成联合体或者接受分包合同的小微企业与联合体内其他企业、分包企业之间不得存在直接控股、管理关系，</w:t>
      </w:r>
      <w:r>
        <w:rPr>
          <w:rFonts w:hint="eastAsia" w:ascii="宋体" w:hAnsi="宋体"/>
          <w:color w:val="auto"/>
          <w:sz w:val="24"/>
          <w:szCs w:val="24"/>
        </w:rPr>
        <w:t>否则不能进行价格扣除</w:t>
      </w:r>
      <w:r>
        <w:rPr>
          <w:rFonts w:hint="eastAsia" w:ascii="宋体" w:hAnsi="宋体"/>
          <w:b/>
          <w:color w:val="auto"/>
          <w:kern w:val="0"/>
          <w:sz w:val="24"/>
          <w:szCs w:val="24"/>
        </w:rPr>
        <w:t>。</w:t>
      </w:r>
    </w:p>
    <w:p>
      <w:pPr>
        <w:ind w:firstLine="480" w:firstLineChars="200"/>
        <w:rPr>
          <w:rFonts w:ascii="宋体" w:hAnsi="宋体"/>
          <w:color w:val="auto"/>
          <w:sz w:val="24"/>
          <w:szCs w:val="24"/>
        </w:rPr>
      </w:pPr>
      <w:r>
        <w:rPr>
          <w:rFonts w:hint="eastAsia" w:ascii="宋体" w:hAnsi="宋体"/>
          <w:color w:val="auto"/>
          <w:sz w:val="24"/>
          <w:szCs w:val="24"/>
        </w:rPr>
        <w:t>4.节能、环境标志产品</w:t>
      </w:r>
    </w:p>
    <w:p>
      <w:pPr>
        <w:ind w:firstLine="480" w:firstLineChars="200"/>
        <w:rPr>
          <w:rFonts w:ascii="宋体" w:hAnsi="宋体"/>
          <w:color w:val="auto"/>
          <w:sz w:val="24"/>
          <w:szCs w:val="24"/>
        </w:rPr>
      </w:pPr>
      <w:r>
        <w:rPr>
          <w:rFonts w:hint="eastAsia" w:ascii="宋体" w:hAnsi="宋体"/>
          <w:color w:val="auto"/>
          <w:sz w:val="24"/>
          <w:szCs w:val="24"/>
        </w:rPr>
        <w:t>（1）供应商所投节能产品属于《节能产品政府采购品目清单》范围中政府优先采购产品类别的，须在上表中明确列明具体的产品名称及认证证书编号，并提供由国家确定的认证机构出具的处于有效期之内的节能产品认证证书复印件</w:t>
      </w:r>
      <w:r>
        <w:rPr>
          <w:rFonts w:hint="eastAsia" w:ascii="宋体" w:hAnsi="宋体"/>
          <w:b/>
          <w:color w:val="auto"/>
          <w:sz w:val="24"/>
          <w:szCs w:val="24"/>
        </w:rPr>
        <w:t>（注：属于《节能产品政府采购品目清单》范围中政府强制采购产品类别的，在价格评审中不作价格扣除，投标人无需将该产品填写在此表中）。</w:t>
      </w:r>
    </w:p>
    <w:p>
      <w:pPr>
        <w:ind w:firstLine="480" w:firstLineChars="200"/>
        <w:rPr>
          <w:rFonts w:ascii="宋体" w:hAnsi="宋体"/>
          <w:color w:val="auto"/>
          <w:sz w:val="24"/>
          <w:szCs w:val="24"/>
        </w:rPr>
      </w:pPr>
      <w:r>
        <w:rPr>
          <w:rFonts w:hint="eastAsia" w:ascii="宋体" w:hAnsi="宋体"/>
          <w:color w:val="auto"/>
          <w:sz w:val="24"/>
          <w:szCs w:val="24"/>
        </w:rPr>
        <w:t>（2）供应商所投环境标志产品属于《环境标志产品政府采购品目清单》范围的，须在上表中明确列明具体的产品名称及认证证书编号，并提供国家确定的认证机构出具的处于有效期之内的环境标志产品认证证书复印件。</w:t>
      </w:r>
    </w:p>
    <w:p>
      <w:pPr>
        <w:spacing w:line="312" w:lineRule="auto"/>
        <w:ind w:left="240" w:hanging="240" w:hangingChars="100"/>
        <w:rPr>
          <w:rFonts w:ascii="宋体" w:hAnsi="宋体"/>
          <w:color w:val="auto"/>
          <w:sz w:val="24"/>
          <w:szCs w:val="24"/>
        </w:rPr>
      </w:pPr>
    </w:p>
    <w:p>
      <w:pPr>
        <w:spacing w:line="312" w:lineRule="auto"/>
        <w:ind w:left="240" w:hanging="240" w:hangingChars="100"/>
        <w:rPr>
          <w:rFonts w:ascii="宋体" w:hAnsi="宋体"/>
          <w:color w:val="auto"/>
          <w:sz w:val="24"/>
          <w:szCs w:val="24"/>
        </w:rPr>
      </w:pPr>
    </w:p>
    <w:p>
      <w:pPr>
        <w:spacing w:line="360" w:lineRule="auto"/>
        <w:ind w:left="812" w:hanging="808" w:hangingChars="337"/>
        <w:jc w:val="center"/>
        <w:rPr>
          <w:rFonts w:ascii="宋体" w:hAnsi="宋体"/>
          <w:b/>
          <w:color w:val="auto"/>
          <w:sz w:val="24"/>
          <w:szCs w:val="24"/>
        </w:rPr>
      </w:pPr>
      <w:r>
        <w:rPr>
          <w:rFonts w:hint="eastAsia" w:ascii="宋体" w:hAnsi="宋体"/>
          <w:b/>
          <w:color w:val="auto"/>
          <w:sz w:val="24"/>
          <w:szCs w:val="24"/>
        </w:rPr>
        <w:t>（二）脱贫地区农副产品情况（如适用）</w:t>
      </w: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9"/>
        <w:gridCol w:w="739"/>
        <w:gridCol w:w="708"/>
        <w:gridCol w:w="845"/>
        <w:gridCol w:w="2132"/>
        <w:gridCol w:w="1276"/>
        <w:gridCol w:w="1188"/>
        <w:gridCol w:w="15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929" w:type="dxa"/>
            <w:vMerge w:val="restart"/>
            <w:vAlign w:val="center"/>
          </w:tcPr>
          <w:p>
            <w:pPr>
              <w:tabs>
                <w:tab w:val="left" w:pos="1260"/>
              </w:tabs>
              <w:ind w:left="-86" w:leftChars="-41" w:right="-71" w:rightChars="-34"/>
              <w:jc w:val="center"/>
              <w:rPr>
                <w:rFonts w:ascii="宋体" w:hAnsi="宋体"/>
                <w:b/>
                <w:color w:val="auto"/>
                <w:sz w:val="24"/>
                <w:lang w:val="en-GB"/>
              </w:rPr>
            </w:pPr>
            <w:bookmarkStart w:id="474" w:name="_Hlk25074279"/>
            <w:r>
              <w:rPr>
                <w:rFonts w:hint="eastAsia" w:ascii="宋体" w:hAnsi="宋体"/>
                <w:b/>
                <w:color w:val="auto"/>
                <w:sz w:val="24"/>
                <w:lang w:val="en-GB"/>
              </w:rPr>
              <w:t>序号</w:t>
            </w:r>
          </w:p>
        </w:tc>
        <w:tc>
          <w:tcPr>
            <w:tcW w:w="4424" w:type="dxa"/>
            <w:gridSpan w:val="4"/>
            <w:vAlign w:val="center"/>
          </w:tcPr>
          <w:p>
            <w:pPr>
              <w:tabs>
                <w:tab w:val="left" w:pos="1260"/>
              </w:tabs>
              <w:ind w:left="-86" w:leftChars="-41" w:right="-71" w:rightChars="-34"/>
              <w:jc w:val="center"/>
              <w:rPr>
                <w:rFonts w:ascii="宋体" w:hAnsi="宋体"/>
                <w:b/>
                <w:color w:val="auto"/>
                <w:szCs w:val="21"/>
                <w:lang w:val="en-GB"/>
              </w:rPr>
            </w:pPr>
            <w:r>
              <w:rPr>
                <w:rFonts w:hint="eastAsia" w:ascii="宋体" w:hAnsi="宋体"/>
                <w:b/>
                <w:color w:val="auto"/>
                <w:spacing w:val="-12"/>
                <w:szCs w:val="21"/>
              </w:rPr>
              <w:t>提供农副产品的</w:t>
            </w:r>
            <w:r>
              <w:rPr>
                <w:rFonts w:ascii="宋体" w:hAnsi="宋体"/>
                <w:b/>
                <w:color w:val="auto"/>
                <w:spacing w:val="-12"/>
                <w:szCs w:val="21"/>
              </w:rPr>
              <w:t>企业</w:t>
            </w:r>
            <w:r>
              <w:rPr>
                <w:rFonts w:hint="eastAsia" w:ascii="宋体" w:hAnsi="宋体"/>
                <w:b/>
                <w:color w:val="auto"/>
                <w:spacing w:val="-12"/>
                <w:szCs w:val="21"/>
              </w:rPr>
              <w:t>/</w:t>
            </w:r>
            <w:r>
              <w:rPr>
                <w:rFonts w:ascii="宋体" w:hAnsi="宋体"/>
                <w:b/>
                <w:color w:val="auto"/>
                <w:spacing w:val="-12"/>
                <w:szCs w:val="21"/>
              </w:rPr>
              <w:t>农民专业合作社</w:t>
            </w:r>
            <w:r>
              <w:rPr>
                <w:rFonts w:hint="eastAsia" w:ascii="宋体" w:hAnsi="宋体"/>
                <w:b/>
                <w:color w:val="auto"/>
                <w:spacing w:val="-12"/>
                <w:szCs w:val="21"/>
              </w:rPr>
              <w:t>/</w:t>
            </w:r>
            <w:r>
              <w:rPr>
                <w:rFonts w:ascii="宋体" w:hAnsi="宋体"/>
                <w:b/>
                <w:color w:val="auto"/>
                <w:spacing w:val="-12"/>
                <w:szCs w:val="21"/>
              </w:rPr>
              <w:t>家庭农场</w:t>
            </w:r>
          </w:p>
        </w:tc>
        <w:tc>
          <w:tcPr>
            <w:tcW w:w="1276" w:type="dxa"/>
            <w:vMerge w:val="restart"/>
            <w:vAlign w:val="center"/>
          </w:tcPr>
          <w:p>
            <w:pPr>
              <w:tabs>
                <w:tab w:val="left" w:pos="1260"/>
              </w:tabs>
              <w:ind w:left="-86" w:leftChars="-41" w:right="-71" w:rightChars="-34"/>
              <w:jc w:val="center"/>
              <w:rPr>
                <w:rFonts w:ascii="宋体" w:hAnsi="宋体"/>
                <w:b/>
                <w:color w:val="auto"/>
                <w:sz w:val="24"/>
                <w:lang w:val="en-GB"/>
              </w:rPr>
            </w:pPr>
            <w:r>
              <w:rPr>
                <w:rFonts w:hint="eastAsia" w:ascii="宋体" w:hAnsi="宋体"/>
                <w:b/>
                <w:color w:val="auto"/>
                <w:sz w:val="24"/>
                <w:lang w:val="en-GB"/>
              </w:rPr>
              <w:t>产品品类</w:t>
            </w:r>
          </w:p>
        </w:tc>
        <w:tc>
          <w:tcPr>
            <w:tcW w:w="1188" w:type="dxa"/>
            <w:vMerge w:val="restart"/>
            <w:vAlign w:val="center"/>
          </w:tcPr>
          <w:p>
            <w:pPr>
              <w:tabs>
                <w:tab w:val="left" w:pos="1260"/>
              </w:tabs>
              <w:ind w:left="-86" w:leftChars="-41" w:right="-71" w:rightChars="-34"/>
              <w:jc w:val="center"/>
              <w:rPr>
                <w:rFonts w:ascii="宋体" w:hAnsi="宋体"/>
                <w:b/>
                <w:color w:val="auto"/>
                <w:sz w:val="24"/>
                <w:lang w:val="en-GB"/>
              </w:rPr>
            </w:pPr>
            <w:r>
              <w:rPr>
                <w:rFonts w:hint="eastAsia" w:ascii="宋体" w:hAnsi="宋体"/>
                <w:b/>
                <w:color w:val="auto"/>
                <w:sz w:val="24"/>
                <w:lang w:val="en-GB"/>
              </w:rPr>
              <w:t>产品名称</w:t>
            </w:r>
          </w:p>
        </w:tc>
        <w:tc>
          <w:tcPr>
            <w:tcW w:w="1583" w:type="dxa"/>
            <w:vMerge w:val="restart"/>
            <w:vAlign w:val="center"/>
          </w:tcPr>
          <w:p>
            <w:pPr>
              <w:tabs>
                <w:tab w:val="left" w:pos="1260"/>
              </w:tabs>
              <w:ind w:left="-86" w:leftChars="-41" w:right="-71" w:rightChars="-34"/>
              <w:jc w:val="center"/>
              <w:rPr>
                <w:rFonts w:ascii="宋体" w:hAnsi="宋体"/>
                <w:b/>
                <w:color w:val="auto"/>
                <w:sz w:val="24"/>
                <w:lang w:val="en-GB"/>
              </w:rPr>
            </w:pPr>
            <w:r>
              <w:rPr>
                <w:rFonts w:hint="eastAsia" w:ascii="宋体" w:hAnsi="宋体"/>
                <w:b/>
                <w:color w:val="auto"/>
                <w:sz w:val="24"/>
                <w:lang w:val="en-GB"/>
              </w:rPr>
              <w:t>所投农副产品金额（元）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929" w:type="dxa"/>
            <w:vMerge w:val="continue"/>
            <w:vAlign w:val="center"/>
          </w:tcPr>
          <w:p>
            <w:pPr>
              <w:tabs>
                <w:tab w:val="left" w:pos="1260"/>
              </w:tabs>
              <w:ind w:left="-86" w:leftChars="-41" w:right="-71" w:rightChars="-34"/>
              <w:jc w:val="center"/>
              <w:rPr>
                <w:rFonts w:ascii="宋体" w:hAnsi="宋体"/>
                <w:b/>
                <w:color w:val="auto"/>
                <w:sz w:val="24"/>
                <w:lang w:val="en-GB"/>
              </w:rPr>
            </w:pPr>
          </w:p>
        </w:tc>
        <w:tc>
          <w:tcPr>
            <w:tcW w:w="2292" w:type="dxa"/>
            <w:gridSpan w:val="3"/>
            <w:vAlign w:val="center"/>
          </w:tcPr>
          <w:p>
            <w:pPr>
              <w:tabs>
                <w:tab w:val="left" w:pos="1260"/>
              </w:tabs>
              <w:ind w:left="-86" w:leftChars="-41" w:right="-71" w:rightChars="-34"/>
              <w:jc w:val="center"/>
              <w:rPr>
                <w:rFonts w:ascii="宋体" w:hAnsi="宋体"/>
                <w:b/>
                <w:color w:val="auto"/>
                <w:sz w:val="24"/>
                <w:lang w:val="en-GB"/>
              </w:rPr>
            </w:pPr>
            <w:r>
              <w:rPr>
                <w:rFonts w:hint="eastAsia" w:ascii="宋体" w:hAnsi="宋体"/>
                <w:b/>
                <w:color w:val="auto"/>
                <w:sz w:val="24"/>
                <w:lang w:val="en-GB"/>
              </w:rPr>
              <w:t>注册地</w:t>
            </w:r>
          </w:p>
        </w:tc>
        <w:tc>
          <w:tcPr>
            <w:tcW w:w="2132" w:type="dxa"/>
            <w:vMerge w:val="restart"/>
            <w:vAlign w:val="center"/>
          </w:tcPr>
          <w:p>
            <w:pPr>
              <w:tabs>
                <w:tab w:val="left" w:pos="1260"/>
              </w:tabs>
              <w:ind w:left="-86" w:leftChars="-41" w:right="-71" w:rightChars="-34"/>
              <w:jc w:val="center"/>
              <w:rPr>
                <w:rFonts w:ascii="宋体" w:hAnsi="宋体"/>
                <w:b/>
                <w:color w:val="auto"/>
                <w:spacing w:val="-12"/>
                <w:sz w:val="24"/>
                <w:szCs w:val="24"/>
              </w:rPr>
            </w:pPr>
            <w:r>
              <w:rPr>
                <w:rFonts w:hint="eastAsia" w:ascii="宋体" w:hAnsi="宋体"/>
                <w:b/>
                <w:color w:val="auto"/>
                <w:sz w:val="24"/>
                <w:szCs w:val="24"/>
                <w:lang w:val="en-GB"/>
              </w:rPr>
              <w:t>名称</w:t>
            </w:r>
          </w:p>
        </w:tc>
        <w:tc>
          <w:tcPr>
            <w:tcW w:w="1276" w:type="dxa"/>
            <w:vMerge w:val="continue"/>
            <w:vAlign w:val="center"/>
          </w:tcPr>
          <w:p>
            <w:pPr>
              <w:tabs>
                <w:tab w:val="left" w:pos="1260"/>
              </w:tabs>
              <w:ind w:left="-86" w:leftChars="-41" w:right="-71" w:rightChars="-34"/>
              <w:jc w:val="center"/>
              <w:rPr>
                <w:rFonts w:ascii="宋体" w:hAnsi="宋体"/>
                <w:b/>
                <w:color w:val="auto"/>
                <w:sz w:val="24"/>
                <w:lang w:val="en-GB"/>
              </w:rPr>
            </w:pPr>
          </w:p>
        </w:tc>
        <w:tc>
          <w:tcPr>
            <w:tcW w:w="1188" w:type="dxa"/>
            <w:vMerge w:val="continue"/>
            <w:vAlign w:val="center"/>
          </w:tcPr>
          <w:p>
            <w:pPr>
              <w:tabs>
                <w:tab w:val="left" w:pos="1260"/>
              </w:tabs>
              <w:ind w:left="-86" w:leftChars="-41" w:right="-71" w:rightChars="-34"/>
              <w:jc w:val="center"/>
              <w:rPr>
                <w:rFonts w:ascii="宋体" w:hAnsi="宋体"/>
                <w:b/>
                <w:color w:val="auto"/>
                <w:sz w:val="24"/>
                <w:lang w:val="en-GB"/>
              </w:rPr>
            </w:pPr>
          </w:p>
        </w:tc>
        <w:tc>
          <w:tcPr>
            <w:tcW w:w="1583" w:type="dxa"/>
            <w:vMerge w:val="continue"/>
            <w:vAlign w:val="center"/>
          </w:tcPr>
          <w:p>
            <w:pPr>
              <w:tabs>
                <w:tab w:val="left" w:pos="1260"/>
              </w:tabs>
              <w:ind w:left="-86" w:leftChars="-41" w:right="-71" w:rightChars="-34"/>
              <w:jc w:val="center"/>
              <w:rPr>
                <w:rFonts w:ascii="宋体" w:hAnsi="宋体"/>
                <w:b/>
                <w:color w:val="auto"/>
                <w:sz w:val="24"/>
                <w:lang w:val="en-GB"/>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929" w:type="dxa"/>
            <w:vMerge w:val="continue"/>
            <w:vAlign w:val="center"/>
          </w:tcPr>
          <w:p>
            <w:pPr>
              <w:tabs>
                <w:tab w:val="left" w:pos="1260"/>
              </w:tabs>
              <w:ind w:left="-86" w:leftChars="-41" w:right="-71" w:rightChars="-34"/>
              <w:jc w:val="center"/>
              <w:rPr>
                <w:rFonts w:ascii="宋体" w:hAnsi="宋体"/>
                <w:b/>
                <w:color w:val="auto"/>
                <w:sz w:val="24"/>
                <w:lang w:val="en-GB"/>
              </w:rPr>
            </w:pPr>
          </w:p>
        </w:tc>
        <w:tc>
          <w:tcPr>
            <w:tcW w:w="739" w:type="dxa"/>
            <w:vAlign w:val="center"/>
          </w:tcPr>
          <w:p>
            <w:pPr>
              <w:tabs>
                <w:tab w:val="left" w:pos="1260"/>
              </w:tabs>
              <w:ind w:left="-86" w:leftChars="-41" w:right="-71" w:rightChars="-34"/>
              <w:jc w:val="center"/>
              <w:rPr>
                <w:rFonts w:ascii="宋体" w:hAnsi="宋体"/>
                <w:b/>
                <w:color w:val="auto"/>
                <w:sz w:val="24"/>
                <w:lang w:val="en-GB"/>
              </w:rPr>
            </w:pPr>
            <w:r>
              <w:rPr>
                <w:rFonts w:hint="eastAsia" w:ascii="宋体" w:hAnsi="宋体"/>
                <w:b/>
                <w:color w:val="auto"/>
                <w:sz w:val="24"/>
                <w:lang w:val="en-GB"/>
              </w:rPr>
              <w:t>省</w:t>
            </w:r>
          </w:p>
        </w:tc>
        <w:tc>
          <w:tcPr>
            <w:tcW w:w="708" w:type="dxa"/>
            <w:vAlign w:val="center"/>
          </w:tcPr>
          <w:p>
            <w:pPr>
              <w:tabs>
                <w:tab w:val="left" w:pos="1260"/>
              </w:tabs>
              <w:ind w:left="-86" w:leftChars="-41" w:right="-71" w:rightChars="-34"/>
              <w:jc w:val="center"/>
              <w:rPr>
                <w:rFonts w:ascii="宋体" w:hAnsi="宋体"/>
                <w:b/>
                <w:color w:val="auto"/>
                <w:sz w:val="24"/>
                <w:lang w:val="en-GB"/>
              </w:rPr>
            </w:pPr>
            <w:r>
              <w:rPr>
                <w:rFonts w:hint="eastAsia" w:ascii="宋体" w:hAnsi="宋体"/>
                <w:b/>
                <w:color w:val="auto"/>
                <w:sz w:val="24"/>
                <w:lang w:val="en-GB"/>
              </w:rPr>
              <w:t>市</w:t>
            </w:r>
          </w:p>
        </w:tc>
        <w:tc>
          <w:tcPr>
            <w:tcW w:w="845" w:type="dxa"/>
            <w:vAlign w:val="center"/>
          </w:tcPr>
          <w:p>
            <w:pPr>
              <w:tabs>
                <w:tab w:val="left" w:pos="1260"/>
              </w:tabs>
              <w:ind w:left="-86" w:leftChars="-41" w:right="-71" w:rightChars="-34"/>
              <w:jc w:val="center"/>
              <w:rPr>
                <w:rFonts w:ascii="宋体" w:hAnsi="宋体"/>
                <w:b/>
                <w:color w:val="auto"/>
                <w:sz w:val="24"/>
                <w:lang w:val="en-GB"/>
              </w:rPr>
            </w:pPr>
            <w:r>
              <w:rPr>
                <w:rFonts w:hint="eastAsia" w:ascii="宋体" w:hAnsi="宋体"/>
                <w:b/>
                <w:color w:val="auto"/>
                <w:sz w:val="24"/>
                <w:lang w:val="en-GB"/>
              </w:rPr>
              <w:t>县</w:t>
            </w:r>
          </w:p>
        </w:tc>
        <w:tc>
          <w:tcPr>
            <w:tcW w:w="2132" w:type="dxa"/>
            <w:vMerge w:val="continue"/>
            <w:vAlign w:val="center"/>
          </w:tcPr>
          <w:p>
            <w:pPr>
              <w:tabs>
                <w:tab w:val="left" w:pos="1260"/>
              </w:tabs>
              <w:ind w:left="-86" w:leftChars="-41" w:right="-71" w:rightChars="-34"/>
              <w:jc w:val="center"/>
              <w:rPr>
                <w:rFonts w:ascii="宋体" w:hAnsi="宋体"/>
                <w:b/>
                <w:color w:val="auto"/>
                <w:spacing w:val="-12"/>
                <w:szCs w:val="21"/>
              </w:rPr>
            </w:pPr>
          </w:p>
        </w:tc>
        <w:tc>
          <w:tcPr>
            <w:tcW w:w="1276" w:type="dxa"/>
            <w:vMerge w:val="continue"/>
            <w:vAlign w:val="center"/>
          </w:tcPr>
          <w:p>
            <w:pPr>
              <w:tabs>
                <w:tab w:val="left" w:pos="1260"/>
              </w:tabs>
              <w:ind w:left="-86" w:leftChars="-41" w:right="-71" w:rightChars="-34"/>
              <w:jc w:val="center"/>
              <w:rPr>
                <w:rFonts w:ascii="宋体" w:hAnsi="宋体"/>
                <w:b/>
                <w:color w:val="auto"/>
                <w:sz w:val="24"/>
                <w:lang w:val="en-GB"/>
              </w:rPr>
            </w:pPr>
          </w:p>
        </w:tc>
        <w:tc>
          <w:tcPr>
            <w:tcW w:w="1188" w:type="dxa"/>
            <w:vMerge w:val="continue"/>
            <w:vAlign w:val="center"/>
          </w:tcPr>
          <w:p>
            <w:pPr>
              <w:tabs>
                <w:tab w:val="left" w:pos="1260"/>
              </w:tabs>
              <w:ind w:left="-86" w:leftChars="-41" w:right="-71" w:rightChars="-34"/>
              <w:jc w:val="center"/>
              <w:rPr>
                <w:rFonts w:ascii="宋体" w:hAnsi="宋体"/>
                <w:b/>
                <w:color w:val="auto"/>
                <w:sz w:val="24"/>
                <w:lang w:val="en-GB"/>
              </w:rPr>
            </w:pPr>
          </w:p>
        </w:tc>
        <w:tc>
          <w:tcPr>
            <w:tcW w:w="1583" w:type="dxa"/>
            <w:vMerge w:val="continue"/>
            <w:vAlign w:val="center"/>
          </w:tcPr>
          <w:p>
            <w:pPr>
              <w:tabs>
                <w:tab w:val="left" w:pos="1260"/>
              </w:tabs>
              <w:ind w:left="-86" w:leftChars="-41" w:right="-71" w:rightChars="-34"/>
              <w:jc w:val="center"/>
              <w:rPr>
                <w:rFonts w:ascii="宋体" w:hAnsi="宋体"/>
                <w:b/>
                <w:color w:val="auto"/>
                <w:sz w:val="24"/>
                <w:lang w:val="en-GB"/>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29" w:type="dxa"/>
            <w:vAlign w:val="center"/>
          </w:tcPr>
          <w:p>
            <w:pPr>
              <w:tabs>
                <w:tab w:val="left" w:pos="1260"/>
              </w:tabs>
              <w:ind w:left="-86" w:leftChars="-41" w:right="-71" w:rightChars="-34"/>
              <w:jc w:val="center"/>
              <w:rPr>
                <w:rFonts w:ascii="宋体" w:hAnsi="宋体"/>
                <w:b/>
                <w:color w:val="auto"/>
                <w:sz w:val="24"/>
                <w:lang w:val="en-GB"/>
              </w:rPr>
            </w:pPr>
            <w:r>
              <w:rPr>
                <w:rFonts w:hint="eastAsia" w:ascii="宋体" w:hAnsi="宋体"/>
                <w:b/>
                <w:color w:val="auto"/>
                <w:sz w:val="24"/>
                <w:lang w:val="en-GB"/>
              </w:rPr>
              <w:t>1</w:t>
            </w:r>
          </w:p>
        </w:tc>
        <w:tc>
          <w:tcPr>
            <w:tcW w:w="739" w:type="dxa"/>
            <w:vAlign w:val="center"/>
          </w:tcPr>
          <w:p>
            <w:pPr>
              <w:tabs>
                <w:tab w:val="left" w:pos="1260"/>
              </w:tabs>
              <w:jc w:val="center"/>
              <w:rPr>
                <w:rFonts w:ascii="宋体" w:hAnsi="宋体"/>
                <w:color w:val="auto"/>
                <w:sz w:val="24"/>
                <w:lang w:val="en-GB"/>
              </w:rPr>
            </w:pPr>
          </w:p>
        </w:tc>
        <w:tc>
          <w:tcPr>
            <w:tcW w:w="708" w:type="dxa"/>
            <w:vAlign w:val="center"/>
          </w:tcPr>
          <w:p>
            <w:pPr>
              <w:tabs>
                <w:tab w:val="left" w:pos="1260"/>
              </w:tabs>
              <w:jc w:val="center"/>
              <w:rPr>
                <w:rFonts w:ascii="宋体" w:hAnsi="宋体"/>
                <w:color w:val="auto"/>
                <w:sz w:val="24"/>
                <w:lang w:val="en-GB"/>
              </w:rPr>
            </w:pPr>
          </w:p>
        </w:tc>
        <w:tc>
          <w:tcPr>
            <w:tcW w:w="845" w:type="dxa"/>
            <w:vAlign w:val="center"/>
          </w:tcPr>
          <w:p>
            <w:pPr>
              <w:tabs>
                <w:tab w:val="left" w:pos="1260"/>
              </w:tabs>
              <w:jc w:val="center"/>
              <w:rPr>
                <w:rFonts w:ascii="宋体" w:hAnsi="宋体"/>
                <w:color w:val="auto"/>
                <w:sz w:val="24"/>
                <w:lang w:val="en-GB"/>
              </w:rPr>
            </w:pPr>
          </w:p>
        </w:tc>
        <w:tc>
          <w:tcPr>
            <w:tcW w:w="2132" w:type="dxa"/>
            <w:vAlign w:val="center"/>
          </w:tcPr>
          <w:p>
            <w:pPr>
              <w:tabs>
                <w:tab w:val="left" w:pos="1260"/>
              </w:tabs>
              <w:jc w:val="center"/>
              <w:rPr>
                <w:rFonts w:ascii="宋体" w:hAnsi="宋体"/>
                <w:color w:val="auto"/>
                <w:sz w:val="24"/>
                <w:lang w:val="en-GB"/>
              </w:rPr>
            </w:pPr>
          </w:p>
        </w:tc>
        <w:tc>
          <w:tcPr>
            <w:tcW w:w="1276" w:type="dxa"/>
            <w:vAlign w:val="center"/>
          </w:tcPr>
          <w:p>
            <w:pPr>
              <w:tabs>
                <w:tab w:val="left" w:pos="1260"/>
              </w:tabs>
              <w:jc w:val="center"/>
              <w:rPr>
                <w:rFonts w:ascii="宋体" w:hAnsi="宋体"/>
                <w:color w:val="auto"/>
                <w:sz w:val="24"/>
                <w:lang w:val="en-GB"/>
              </w:rPr>
            </w:pPr>
          </w:p>
        </w:tc>
        <w:tc>
          <w:tcPr>
            <w:tcW w:w="1188" w:type="dxa"/>
            <w:vAlign w:val="center"/>
          </w:tcPr>
          <w:p>
            <w:pPr>
              <w:tabs>
                <w:tab w:val="left" w:pos="1260"/>
              </w:tabs>
              <w:jc w:val="center"/>
              <w:rPr>
                <w:rFonts w:ascii="宋体" w:hAnsi="宋体"/>
                <w:color w:val="auto"/>
                <w:sz w:val="24"/>
                <w:lang w:val="en-GB"/>
              </w:rPr>
            </w:pPr>
          </w:p>
        </w:tc>
        <w:tc>
          <w:tcPr>
            <w:tcW w:w="1583" w:type="dxa"/>
            <w:vAlign w:val="center"/>
          </w:tcPr>
          <w:p>
            <w:pPr>
              <w:tabs>
                <w:tab w:val="left" w:pos="1260"/>
              </w:tabs>
              <w:jc w:val="center"/>
              <w:rPr>
                <w:rFonts w:ascii="宋体" w:hAnsi="宋体"/>
                <w:color w:val="auto"/>
                <w:sz w:val="24"/>
                <w:lang w:val="en-GB"/>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929" w:type="dxa"/>
            <w:vAlign w:val="center"/>
          </w:tcPr>
          <w:p>
            <w:pPr>
              <w:tabs>
                <w:tab w:val="left" w:pos="1260"/>
              </w:tabs>
              <w:rPr>
                <w:rFonts w:ascii="宋体" w:hAnsi="宋体"/>
                <w:b/>
                <w:color w:val="auto"/>
                <w:sz w:val="24"/>
                <w:lang w:val="en-GB"/>
              </w:rPr>
            </w:pPr>
            <w:r>
              <w:rPr>
                <w:rFonts w:ascii="宋体" w:hAnsi="宋体"/>
                <w:b/>
                <w:color w:val="auto"/>
                <w:sz w:val="24"/>
                <w:lang w:val="en-GB"/>
              </w:rPr>
              <w:t>……</w:t>
            </w:r>
          </w:p>
        </w:tc>
        <w:tc>
          <w:tcPr>
            <w:tcW w:w="739" w:type="dxa"/>
            <w:vAlign w:val="center"/>
          </w:tcPr>
          <w:p>
            <w:pPr>
              <w:tabs>
                <w:tab w:val="left" w:pos="1260"/>
              </w:tabs>
              <w:jc w:val="center"/>
              <w:rPr>
                <w:rFonts w:ascii="宋体" w:hAnsi="宋体"/>
                <w:color w:val="auto"/>
                <w:sz w:val="24"/>
                <w:lang w:val="en-GB"/>
              </w:rPr>
            </w:pPr>
          </w:p>
        </w:tc>
        <w:tc>
          <w:tcPr>
            <w:tcW w:w="708" w:type="dxa"/>
            <w:vAlign w:val="center"/>
          </w:tcPr>
          <w:p>
            <w:pPr>
              <w:tabs>
                <w:tab w:val="left" w:pos="1260"/>
              </w:tabs>
              <w:jc w:val="center"/>
              <w:rPr>
                <w:rFonts w:ascii="宋体" w:hAnsi="宋体"/>
                <w:color w:val="auto"/>
                <w:sz w:val="24"/>
                <w:lang w:val="en-GB"/>
              </w:rPr>
            </w:pPr>
          </w:p>
        </w:tc>
        <w:tc>
          <w:tcPr>
            <w:tcW w:w="845" w:type="dxa"/>
            <w:vAlign w:val="center"/>
          </w:tcPr>
          <w:p>
            <w:pPr>
              <w:tabs>
                <w:tab w:val="left" w:pos="1260"/>
              </w:tabs>
              <w:jc w:val="center"/>
              <w:rPr>
                <w:rFonts w:ascii="宋体" w:hAnsi="宋体"/>
                <w:color w:val="auto"/>
                <w:sz w:val="24"/>
                <w:lang w:val="en-GB"/>
              </w:rPr>
            </w:pPr>
          </w:p>
        </w:tc>
        <w:tc>
          <w:tcPr>
            <w:tcW w:w="2132" w:type="dxa"/>
            <w:vAlign w:val="center"/>
          </w:tcPr>
          <w:p>
            <w:pPr>
              <w:tabs>
                <w:tab w:val="left" w:pos="1260"/>
              </w:tabs>
              <w:jc w:val="center"/>
              <w:rPr>
                <w:rFonts w:ascii="宋体" w:hAnsi="宋体"/>
                <w:color w:val="auto"/>
                <w:sz w:val="24"/>
                <w:lang w:val="en-GB"/>
              </w:rPr>
            </w:pPr>
          </w:p>
        </w:tc>
        <w:tc>
          <w:tcPr>
            <w:tcW w:w="1276" w:type="dxa"/>
            <w:vAlign w:val="center"/>
          </w:tcPr>
          <w:p>
            <w:pPr>
              <w:tabs>
                <w:tab w:val="left" w:pos="1260"/>
              </w:tabs>
              <w:jc w:val="center"/>
              <w:rPr>
                <w:rFonts w:ascii="宋体" w:hAnsi="宋体"/>
                <w:color w:val="auto"/>
                <w:sz w:val="24"/>
                <w:lang w:val="en-GB"/>
              </w:rPr>
            </w:pPr>
          </w:p>
        </w:tc>
        <w:tc>
          <w:tcPr>
            <w:tcW w:w="1188" w:type="dxa"/>
            <w:vAlign w:val="center"/>
          </w:tcPr>
          <w:p>
            <w:pPr>
              <w:tabs>
                <w:tab w:val="left" w:pos="1260"/>
              </w:tabs>
              <w:jc w:val="center"/>
              <w:rPr>
                <w:rFonts w:ascii="宋体" w:hAnsi="宋体"/>
                <w:color w:val="auto"/>
                <w:sz w:val="24"/>
                <w:lang w:val="en-GB"/>
              </w:rPr>
            </w:pPr>
          </w:p>
        </w:tc>
        <w:tc>
          <w:tcPr>
            <w:tcW w:w="1583" w:type="dxa"/>
            <w:vAlign w:val="center"/>
          </w:tcPr>
          <w:p>
            <w:pPr>
              <w:tabs>
                <w:tab w:val="left" w:pos="1260"/>
              </w:tabs>
              <w:jc w:val="center"/>
              <w:rPr>
                <w:rFonts w:ascii="宋体" w:hAnsi="宋体"/>
                <w:color w:val="auto"/>
                <w:sz w:val="24"/>
                <w:lang w:val="en-GB"/>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62" w:hRule="atLeast"/>
          <w:jc w:val="center"/>
        </w:trPr>
        <w:tc>
          <w:tcPr>
            <w:tcW w:w="929" w:type="dxa"/>
            <w:vAlign w:val="center"/>
          </w:tcPr>
          <w:p>
            <w:pPr>
              <w:tabs>
                <w:tab w:val="left" w:pos="1260"/>
              </w:tabs>
              <w:rPr>
                <w:rFonts w:ascii="宋体" w:hAnsi="宋体"/>
                <w:b/>
                <w:color w:val="auto"/>
                <w:sz w:val="24"/>
                <w:lang w:val="en-GB"/>
              </w:rPr>
            </w:pPr>
            <w:r>
              <w:rPr>
                <w:rFonts w:hint="eastAsia" w:ascii="宋体" w:hAnsi="宋体"/>
                <w:b/>
                <w:color w:val="auto"/>
                <w:sz w:val="24"/>
                <w:lang w:val="en-GB"/>
              </w:rPr>
              <w:t>合计</w:t>
            </w:r>
          </w:p>
        </w:tc>
        <w:tc>
          <w:tcPr>
            <w:tcW w:w="8471" w:type="dxa"/>
            <w:gridSpan w:val="7"/>
            <w:vAlign w:val="center"/>
          </w:tcPr>
          <w:p>
            <w:pPr>
              <w:tabs>
                <w:tab w:val="left" w:pos="1260"/>
              </w:tabs>
              <w:jc w:val="left"/>
              <w:rPr>
                <w:rFonts w:ascii="宋体" w:hAnsi="宋体"/>
                <w:b/>
                <w:bCs/>
                <w:color w:val="auto"/>
                <w:sz w:val="24"/>
                <w:u w:val="single"/>
                <w:lang w:val="en-GB"/>
              </w:rPr>
            </w:pPr>
            <w:r>
              <w:rPr>
                <w:rFonts w:hint="eastAsia" w:ascii="宋体" w:hAnsi="宋体"/>
                <w:b/>
                <w:color w:val="auto"/>
                <w:sz w:val="24"/>
                <w:lang w:val="en-GB"/>
              </w:rPr>
              <w:t>农副产品</w:t>
            </w:r>
            <w:r>
              <w:rPr>
                <w:rFonts w:hint="eastAsia" w:ascii="宋体" w:hAnsi="宋体"/>
                <w:b/>
                <w:bCs/>
                <w:color w:val="auto"/>
                <w:sz w:val="24"/>
                <w:lang w:val="en-GB"/>
              </w:rPr>
              <w:t xml:space="preserve">总金额： </w:t>
            </w:r>
            <w:r>
              <w:rPr>
                <w:rFonts w:ascii="宋体" w:hAnsi="宋体"/>
                <w:b/>
                <w:bCs/>
                <w:color w:val="auto"/>
                <w:sz w:val="24"/>
                <w:u w:val="single"/>
                <w:lang w:val="en-GB"/>
              </w:rPr>
              <w:t xml:space="preserve">                      </w:t>
            </w:r>
          </w:p>
          <w:p>
            <w:pPr>
              <w:tabs>
                <w:tab w:val="left" w:pos="1260"/>
              </w:tabs>
              <w:jc w:val="left"/>
              <w:rPr>
                <w:rFonts w:ascii="宋体" w:hAnsi="宋体"/>
                <w:b/>
                <w:bCs/>
                <w:color w:val="auto"/>
                <w:sz w:val="24"/>
                <w:lang w:val="en-GB"/>
              </w:rPr>
            </w:pPr>
            <w:r>
              <w:rPr>
                <w:rFonts w:ascii="宋体" w:hAnsi="宋体"/>
                <w:b/>
                <w:bCs/>
                <w:color w:val="auto"/>
                <w:sz w:val="24"/>
                <w:lang w:val="en-GB"/>
              </w:rPr>
              <w:t xml:space="preserve">   </w:t>
            </w:r>
            <w:r>
              <w:rPr>
                <w:rFonts w:hint="eastAsia" w:ascii="宋体" w:hAnsi="宋体"/>
                <w:b/>
                <w:bCs/>
                <w:color w:val="auto"/>
                <w:sz w:val="24"/>
                <w:lang w:val="en-GB"/>
              </w:rPr>
              <w:t xml:space="preserve"> </w:t>
            </w:r>
            <w:r>
              <w:rPr>
                <w:rFonts w:ascii="宋体" w:hAnsi="宋体"/>
                <w:b/>
                <w:bCs/>
                <w:color w:val="auto"/>
                <w:sz w:val="24"/>
                <w:lang w:val="en-GB"/>
              </w:rPr>
              <w:t xml:space="preserve"> </w:t>
            </w:r>
          </w:p>
          <w:p>
            <w:pPr>
              <w:tabs>
                <w:tab w:val="left" w:pos="1260"/>
              </w:tabs>
              <w:jc w:val="left"/>
              <w:rPr>
                <w:rFonts w:ascii="宋体" w:hAnsi="宋体"/>
                <w:color w:val="auto"/>
                <w:sz w:val="24"/>
                <w:lang w:val="en-GB"/>
              </w:rPr>
            </w:pPr>
            <w:r>
              <w:rPr>
                <w:rFonts w:hint="eastAsia" w:ascii="宋体" w:hAnsi="宋体"/>
                <w:b/>
                <w:color w:val="auto"/>
                <w:sz w:val="24"/>
                <w:lang w:val="en-GB"/>
              </w:rPr>
              <w:t>农副产品金额占总投标（响应）报价比重：</w:t>
            </w:r>
            <w:r>
              <w:rPr>
                <w:rFonts w:ascii="宋体" w:hAnsi="宋体"/>
                <w:b/>
                <w:bCs/>
                <w:color w:val="auto"/>
                <w:sz w:val="24"/>
                <w:u w:val="single"/>
                <w:lang w:val="en-GB"/>
              </w:rPr>
              <w:t xml:space="preserve">              </w:t>
            </w:r>
            <w:r>
              <w:rPr>
                <w:rFonts w:ascii="宋体" w:hAnsi="宋体"/>
                <w:b/>
                <w:color w:val="auto"/>
                <w:sz w:val="24"/>
                <w:lang w:val="en-GB"/>
              </w:rPr>
              <w:t xml:space="preserve"> </w:t>
            </w:r>
            <w:r>
              <w:rPr>
                <w:rFonts w:hint="eastAsia" w:ascii="宋体" w:hAnsi="宋体"/>
                <w:b/>
                <w:color w:val="auto"/>
                <w:sz w:val="24"/>
                <w:lang w:val="en-GB"/>
              </w:rPr>
              <w:t>%</w:t>
            </w:r>
            <w:r>
              <w:rPr>
                <w:rFonts w:ascii="宋体" w:hAnsi="宋体"/>
                <w:b/>
                <w:color w:val="auto"/>
                <w:sz w:val="24"/>
                <w:lang w:val="en-GB"/>
              </w:rPr>
              <w:t xml:space="preserve">    </w:t>
            </w:r>
          </w:p>
        </w:tc>
      </w:tr>
      <w:bookmarkEnd w:id="474"/>
    </w:tbl>
    <w:p>
      <w:pPr>
        <w:snapToGrid w:val="0"/>
        <w:rPr>
          <w:rFonts w:ascii="宋体" w:hAnsi="宋体"/>
          <w:color w:val="auto"/>
          <w:sz w:val="24"/>
        </w:rPr>
      </w:pPr>
      <w:r>
        <w:rPr>
          <w:rFonts w:hint="eastAsia" w:ascii="宋体" w:hAnsi="宋体"/>
          <w:b/>
          <w:bCs/>
          <w:color w:val="auto"/>
          <w:sz w:val="24"/>
          <w:lang w:val="en-GB"/>
        </w:rPr>
        <w:t>备注：</w:t>
      </w:r>
      <w:r>
        <w:rPr>
          <w:rFonts w:hint="eastAsia" w:ascii="宋体" w:hAnsi="宋体"/>
          <w:bCs/>
          <w:color w:val="auto"/>
          <w:sz w:val="24"/>
          <w:lang w:val="en-GB"/>
        </w:rPr>
        <w:t>投标（响应）</w:t>
      </w:r>
      <w:r>
        <w:rPr>
          <w:rFonts w:hint="eastAsia" w:ascii="宋体" w:hAnsi="宋体"/>
          <w:color w:val="auto"/>
          <w:sz w:val="24"/>
        </w:rPr>
        <w:t>供应商填写上表并加盖投标（响应）供应商单位公章。</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投标人名称（加盖公章）：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投标人法定代表人或授权代表（签字或盖章）：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日期：</w:t>
      </w:r>
      <w:r>
        <w:rPr>
          <w:rFonts w:hint="eastAsia" w:ascii="宋体" w:hAnsi="宋体"/>
          <w:color w:val="auto"/>
          <w:sz w:val="24"/>
          <w:szCs w:val="24"/>
          <w:u w:val="single"/>
        </w:rPr>
        <w:t xml:space="preserve">        </w:t>
      </w:r>
      <w:r>
        <w:rPr>
          <w:rFonts w:hint="eastAsia" w:ascii="宋体" w:hAnsi="宋体"/>
          <w:color w:val="auto"/>
          <w:sz w:val="24"/>
          <w:szCs w:val="24"/>
        </w:rPr>
        <w:t>年</w:t>
      </w:r>
      <w:r>
        <w:rPr>
          <w:rFonts w:hint="eastAsia" w:ascii="宋体" w:hAnsi="宋体"/>
          <w:color w:val="auto"/>
          <w:sz w:val="24"/>
          <w:szCs w:val="24"/>
          <w:u w:val="single"/>
        </w:rPr>
        <w:t xml:space="preserve">    </w:t>
      </w:r>
      <w:r>
        <w:rPr>
          <w:rFonts w:hint="eastAsia" w:ascii="宋体" w:hAnsi="宋体"/>
          <w:color w:val="auto"/>
          <w:sz w:val="24"/>
          <w:szCs w:val="24"/>
        </w:rPr>
        <w:t>月</w:t>
      </w:r>
      <w:r>
        <w:rPr>
          <w:rFonts w:hint="eastAsia" w:ascii="宋体" w:hAnsi="宋体"/>
          <w:color w:val="auto"/>
          <w:sz w:val="24"/>
          <w:szCs w:val="24"/>
          <w:u w:val="single"/>
        </w:rPr>
        <w:t xml:space="preserve">    </w:t>
      </w:r>
      <w:r>
        <w:rPr>
          <w:rFonts w:hint="eastAsia" w:ascii="宋体" w:hAnsi="宋体"/>
          <w:color w:val="auto"/>
          <w:sz w:val="24"/>
          <w:szCs w:val="24"/>
        </w:rPr>
        <w:t>日</w:t>
      </w:r>
    </w:p>
    <w:p>
      <w:pPr>
        <w:autoSpaceDE w:val="0"/>
        <w:autoSpaceDN w:val="0"/>
        <w:spacing w:line="360" w:lineRule="auto"/>
        <w:rPr>
          <w:rFonts w:ascii="宋体" w:hAnsi="宋体"/>
          <w:color w:val="auto"/>
          <w:sz w:val="24"/>
          <w:szCs w:val="24"/>
        </w:rPr>
      </w:pPr>
    </w:p>
    <w:p>
      <w:pPr>
        <w:pStyle w:val="4"/>
        <w:numPr>
          <w:ilvl w:val="0"/>
          <w:numId w:val="91"/>
        </w:numPr>
        <w:tabs>
          <w:tab w:val="left" w:pos="945"/>
        </w:tabs>
        <w:spacing w:before="0" w:after="0" w:line="360" w:lineRule="auto"/>
        <w:ind w:left="843" w:hanging="840" w:hangingChars="350"/>
        <w:rPr>
          <w:rFonts w:ascii="宋体" w:hAnsi="宋体"/>
          <w:color w:val="auto"/>
          <w:sz w:val="24"/>
          <w:szCs w:val="24"/>
        </w:rPr>
      </w:pPr>
      <w:bookmarkStart w:id="475" w:name="_Toc30450"/>
      <w:bookmarkStart w:id="476" w:name="_Toc54335498"/>
      <w:r>
        <w:rPr>
          <w:rFonts w:hint="eastAsia" w:ascii="宋体" w:hAnsi="宋体"/>
          <w:color w:val="auto"/>
          <w:sz w:val="24"/>
          <w:szCs w:val="24"/>
        </w:rPr>
        <w:t>开标信封</w:t>
      </w:r>
      <w:bookmarkEnd w:id="475"/>
      <w:bookmarkEnd w:id="476"/>
    </w:p>
    <w:p>
      <w:pPr>
        <w:pStyle w:val="5"/>
        <w:numPr>
          <w:ilvl w:val="0"/>
          <w:numId w:val="99"/>
        </w:numPr>
        <w:tabs>
          <w:tab w:val="left" w:pos="945"/>
        </w:tabs>
        <w:spacing w:before="0" w:after="0" w:line="360" w:lineRule="auto"/>
        <w:ind w:left="0" w:firstLine="0"/>
        <w:rPr>
          <w:color w:val="auto"/>
          <w:sz w:val="28"/>
          <w:szCs w:val="28"/>
        </w:rPr>
      </w:pPr>
      <w:bookmarkStart w:id="477" w:name="_Toc22144"/>
      <w:bookmarkStart w:id="478" w:name="_Toc54335499"/>
      <w:r>
        <w:rPr>
          <w:color w:val="auto"/>
          <w:sz w:val="28"/>
          <w:szCs w:val="28"/>
        </w:rPr>
        <w:t>开标信封</w:t>
      </w:r>
      <w:bookmarkEnd w:id="477"/>
      <w:bookmarkEnd w:id="478"/>
    </w:p>
    <w:p>
      <w:pPr>
        <w:autoSpaceDE w:val="0"/>
        <w:autoSpaceDN w:val="0"/>
        <w:spacing w:line="360" w:lineRule="auto"/>
        <w:ind w:firstLine="480" w:firstLineChars="200"/>
        <w:rPr>
          <w:rFonts w:ascii="宋体" w:hAnsi="宋体"/>
          <w:color w:val="auto"/>
          <w:sz w:val="24"/>
          <w:szCs w:val="24"/>
        </w:rPr>
      </w:pPr>
      <w:r>
        <w:rPr>
          <w:rFonts w:hint="eastAsia" w:ascii="宋体" w:hAnsi="宋体"/>
          <w:color w:val="auto"/>
          <w:sz w:val="24"/>
          <w:szCs w:val="24"/>
        </w:rPr>
        <w:t>将下列内容单独密封装入“开标信封”。</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119"/>
        <w:gridCol w:w="1559"/>
        <w:gridCol w:w="3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autoSpaceDE w:val="0"/>
              <w:autoSpaceDN w:val="0"/>
              <w:spacing w:line="360" w:lineRule="auto"/>
              <w:jc w:val="center"/>
              <w:rPr>
                <w:rFonts w:ascii="宋体" w:hAnsi="宋体"/>
                <w:b/>
                <w:color w:val="auto"/>
                <w:sz w:val="24"/>
                <w:szCs w:val="24"/>
              </w:rPr>
            </w:pPr>
            <w:r>
              <w:rPr>
                <w:rFonts w:hint="eastAsia" w:ascii="宋体" w:hAnsi="宋体"/>
                <w:b/>
                <w:color w:val="auto"/>
                <w:sz w:val="24"/>
                <w:szCs w:val="24"/>
              </w:rPr>
              <w:t>序号</w:t>
            </w:r>
          </w:p>
        </w:tc>
        <w:tc>
          <w:tcPr>
            <w:tcW w:w="3119" w:type="dxa"/>
            <w:vAlign w:val="center"/>
          </w:tcPr>
          <w:p>
            <w:pPr>
              <w:autoSpaceDE w:val="0"/>
              <w:autoSpaceDN w:val="0"/>
              <w:spacing w:line="360" w:lineRule="auto"/>
              <w:jc w:val="center"/>
              <w:rPr>
                <w:rFonts w:ascii="宋体" w:hAnsi="宋体"/>
                <w:b/>
                <w:color w:val="auto"/>
                <w:sz w:val="24"/>
                <w:szCs w:val="24"/>
              </w:rPr>
            </w:pPr>
            <w:r>
              <w:rPr>
                <w:rFonts w:hint="eastAsia" w:ascii="宋体" w:hAnsi="宋体"/>
                <w:b/>
                <w:color w:val="auto"/>
                <w:sz w:val="24"/>
                <w:szCs w:val="24"/>
              </w:rPr>
              <w:t>内容名称</w:t>
            </w:r>
          </w:p>
        </w:tc>
        <w:tc>
          <w:tcPr>
            <w:tcW w:w="1559" w:type="dxa"/>
            <w:vAlign w:val="center"/>
          </w:tcPr>
          <w:p>
            <w:pPr>
              <w:autoSpaceDE w:val="0"/>
              <w:autoSpaceDN w:val="0"/>
              <w:spacing w:line="360" w:lineRule="auto"/>
              <w:jc w:val="center"/>
              <w:rPr>
                <w:rFonts w:ascii="宋体" w:hAnsi="宋体"/>
                <w:b/>
                <w:color w:val="auto"/>
                <w:sz w:val="24"/>
                <w:szCs w:val="24"/>
              </w:rPr>
            </w:pPr>
            <w:r>
              <w:rPr>
                <w:rFonts w:hint="eastAsia" w:ascii="宋体" w:hAnsi="宋体"/>
                <w:b/>
                <w:color w:val="auto"/>
                <w:sz w:val="24"/>
                <w:szCs w:val="24"/>
              </w:rPr>
              <w:t>资料形式</w:t>
            </w:r>
          </w:p>
        </w:tc>
        <w:tc>
          <w:tcPr>
            <w:tcW w:w="3905" w:type="dxa"/>
            <w:vAlign w:val="center"/>
          </w:tcPr>
          <w:p>
            <w:pPr>
              <w:autoSpaceDE w:val="0"/>
              <w:autoSpaceDN w:val="0"/>
              <w:spacing w:line="360" w:lineRule="auto"/>
              <w:jc w:val="center"/>
              <w:rPr>
                <w:rFonts w:ascii="宋体" w:hAnsi="宋体"/>
                <w:b/>
                <w:color w:val="auto"/>
                <w:sz w:val="24"/>
                <w:szCs w:val="24"/>
              </w:rPr>
            </w:pPr>
            <w:r>
              <w:rPr>
                <w:rFonts w:hint="eastAsia" w:ascii="宋体" w:hAnsi="宋体"/>
                <w:b/>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102"/>
              </w:numPr>
              <w:autoSpaceDE w:val="0"/>
              <w:autoSpaceDN w:val="0"/>
              <w:spacing w:line="360" w:lineRule="auto"/>
              <w:jc w:val="center"/>
              <w:rPr>
                <w:rFonts w:ascii="宋体" w:hAnsi="宋体"/>
                <w:color w:val="auto"/>
                <w:sz w:val="24"/>
                <w:szCs w:val="24"/>
              </w:rPr>
            </w:pPr>
          </w:p>
        </w:tc>
        <w:tc>
          <w:tcPr>
            <w:tcW w:w="3119" w:type="dxa"/>
            <w:vAlign w:val="center"/>
          </w:tcPr>
          <w:p>
            <w:pPr>
              <w:autoSpaceDE w:val="0"/>
              <w:autoSpaceDN w:val="0"/>
              <w:spacing w:line="360" w:lineRule="auto"/>
              <w:rPr>
                <w:rFonts w:ascii="宋体" w:hAnsi="宋体"/>
                <w:color w:val="auto"/>
                <w:sz w:val="24"/>
                <w:szCs w:val="24"/>
              </w:rPr>
            </w:pPr>
            <w:r>
              <w:rPr>
                <w:rFonts w:hint="eastAsia" w:ascii="宋体" w:hAnsi="宋体"/>
                <w:color w:val="auto"/>
                <w:sz w:val="24"/>
                <w:szCs w:val="24"/>
              </w:rPr>
              <w:t>《开标一览表》</w:t>
            </w:r>
          </w:p>
        </w:tc>
        <w:tc>
          <w:tcPr>
            <w:tcW w:w="1559" w:type="dxa"/>
            <w:vAlign w:val="center"/>
          </w:tcPr>
          <w:p>
            <w:pPr>
              <w:autoSpaceDE w:val="0"/>
              <w:autoSpaceDN w:val="0"/>
              <w:spacing w:line="360" w:lineRule="auto"/>
              <w:rPr>
                <w:rFonts w:ascii="宋体" w:hAnsi="宋体"/>
                <w:color w:val="auto"/>
                <w:sz w:val="24"/>
                <w:szCs w:val="24"/>
              </w:rPr>
            </w:pPr>
            <w:r>
              <w:rPr>
                <w:rFonts w:hint="eastAsia" w:ascii="宋体" w:hAnsi="宋体"/>
                <w:color w:val="auto"/>
                <w:sz w:val="24"/>
                <w:szCs w:val="24"/>
              </w:rPr>
              <w:t>1份，复印件</w:t>
            </w:r>
          </w:p>
        </w:tc>
        <w:tc>
          <w:tcPr>
            <w:tcW w:w="3905" w:type="dxa"/>
            <w:vAlign w:val="center"/>
          </w:tcPr>
          <w:p>
            <w:pPr>
              <w:autoSpaceDE w:val="0"/>
              <w:autoSpaceDN w:val="0"/>
              <w:spacing w:line="360" w:lineRule="auto"/>
              <w:rPr>
                <w:rFonts w:ascii="宋体" w:hAnsi="宋体"/>
                <w:color w:val="auto"/>
                <w:sz w:val="24"/>
                <w:szCs w:val="24"/>
              </w:rPr>
            </w:pPr>
            <w:r>
              <w:rPr>
                <w:rFonts w:hint="eastAsia" w:ascii="宋体" w:hAnsi="宋体"/>
                <w:color w:val="auto"/>
                <w:sz w:val="24"/>
                <w:szCs w:val="24"/>
              </w:rPr>
              <w:t>从投标文件正本中复印并盖章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102"/>
              </w:numPr>
              <w:autoSpaceDE w:val="0"/>
              <w:autoSpaceDN w:val="0"/>
              <w:spacing w:line="360" w:lineRule="auto"/>
              <w:jc w:val="center"/>
              <w:rPr>
                <w:rFonts w:ascii="宋体" w:hAnsi="宋体"/>
                <w:color w:val="auto"/>
                <w:sz w:val="24"/>
                <w:szCs w:val="24"/>
              </w:rPr>
            </w:pPr>
          </w:p>
        </w:tc>
        <w:tc>
          <w:tcPr>
            <w:tcW w:w="3119" w:type="dxa"/>
            <w:vAlign w:val="center"/>
          </w:tcPr>
          <w:p>
            <w:pPr>
              <w:autoSpaceDE w:val="0"/>
              <w:autoSpaceDN w:val="0"/>
              <w:spacing w:line="360" w:lineRule="auto"/>
              <w:rPr>
                <w:rFonts w:ascii="宋体" w:hAnsi="宋体"/>
                <w:color w:val="auto"/>
                <w:sz w:val="24"/>
                <w:szCs w:val="24"/>
              </w:rPr>
            </w:pPr>
            <w:r>
              <w:rPr>
                <w:rFonts w:hint="eastAsia" w:ascii="宋体" w:hAnsi="宋体"/>
                <w:color w:val="auto"/>
                <w:sz w:val="24"/>
                <w:szCs w:val="24"/>
              </w:rPr>
              <w:t>《法定代表人证明书》</w:t>
            </w:r>
          </w:p>
        </w:tc>
        <w:tc>
          <w:tcPr>
            <w:tcW w:w="1559" w:type="dxa"/>
            <w:vAlign w:val="center"/>
          </w:tcPr>
          <w:p>
            <w:pPr>
              <w:autoSpaceDE w:val="0"/>
              <w:autoSpaceDN w:val="0"/>
              <w:spacing w:line="360" w:lineRule="auto"/>
              <w:rPr>
                <w:rFonts w:ascii="宋体" w:hAnsi="宋体"/>
                <w:color w:val="auto"/>
                <w:sz w:val="24"/>
                <w:szCs w:val="24"/>
              </w:rPr>
            </w:pPr>
            <w:r>
              <w:rPr>
                <w:rFonts w:hint="eastAsia" w:ascii="宋体" w:hAnsi="宋体"/>
                <w:color w:val="auto"/>
                <w:sz w:val="24"/>
                <w:szCs w:val="24"/>
              </w:rPr>
              <w:t>1份，原件</w:t>
            </w:r>
          </w:p>
        </w:tc>
        <w:tc>
          <w:tcPr>
            <w:tcW w:w="3905" w:type="dxa"/>
            <w:vAlign w:val="center"/>
          </w:tcPr>
          <w:p>
            <w:pPr>
              <w:autoSpaceDE w:val="0"/>
              <w:autoSpaceDN w:val="0"/>
              <w:spacing w:line="360" w:lineRule="auto"/>
              <w:rPr>
                <w:rFonts w:ascii="宋体" w:hAnsi="宋体"/>
                <w:color w:val="auto"/>
                <w:sz w:val="24"/>
                <w:szCs w:val="24"/>
              </w:rPr>
            </w:pPr>
            <w:r>
              <w:rPr>
                <w:rFonts w:hint="eastAsia" w:ascii="宋体" w:hAnsi="宋体"/>
                <w:color w:val="auto"/>
                <w:sz w:val="24"/>
                <w:szCs w:val="24"/>
              </w:rPr>
              <w:t>另外提供（除投标文件正本也放置外）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102"/>
              </w:numPr>
              <w:autoSpaceDE w:val="0"/>
              <w:autoSpaceDN w:val="0"/>
              <w:spacing w:line="360" w:lineRule="auto"/>
              <w:jc w:val="center"/>
              <w:rPr>
                <w:rFonts w:ascii="宋体" w:hAnsi="宋体"/>
                <w:color w:val="auto"/>
                <w:sz w:val="24"/>
                <w:szCs w:val="24"/>
              </w:rPr>
            </w:pPr>
          </w:p>
        </w:tc>
        <w:tc>
          <w:tcPr>
            <w:tcW w:w="3119" w:type="dxa"/>
            <w:vAlign w:val="center"/>
          </w:tcPr>
          <w:p>
            <w:pPr>
              <w:autoSpaceDE w:val="0"/>
              <w:autoSpaceDN w:val="0"/>
              <w:spacing w:line="360" w:lineRule="auto"/>
              <w:rPr>
                <w:rFonts w:ascii="宋体" w:hAnsi="宋体"/>
                <w:color w:val="auto"/>
                <w:sz w:val="24"/>
                <w:szCs w:val="24"/>
              </w:rPr>
            </w:pPr>
            <w:r>
              <w:rPr>
                <w:rFonts w:hint="eastAsia" w:ascii="宋体" w:hAnsi="宋体"/>
                <w:color w:val="auto"/>
                <w:sz w:val="24"/>
                <w:szCs w:val="24"/>
              </w:rPr>
              <w:t>《法定代表人授权委托书》（如适用）</w:t>
            </w:r>
          </w:p>
        </w:tc>
        <w:tc>
          <w:tcPr>
            <w:tcW w:w="1559" w:type="dxa"/>
            <w:vAlign w:val="center"/>
          </w:tcPr>
          <w:p>
            <w:pPr>
              <w:autoSpaceDE w:val="0"/>
              <w:autoSpaceDN w:val="0"/>
              <w:spacing w:line="360" w:lineRule="auto"/>
              <w:rPr>
                <w:rFonts w:ascii="宋体" w:hAnsi="宋体"/>
                <w:color w:val="auto"/>
                <w:sz w:val="24"/>
                <w:szCs w:val="24"/>
              </w:rPr>
            </w:pPr>
            <w:r>
              <w:rPr>
                <w:rFonts w:hint="eastAsia" w:ascii="宋体" w:hAnsi="宋体"/>
                <w:color w:val="auto"/>
                <w:sz w:val="24"/>
                <w:szCs w:val="24"/>
              </w:rPr>
              <w:t>1份，原件</w:t>
            </w:r>
          </w:p>
        </w:tc>
        <w:tc>
          <w:tcPr>
            <w:tcW w:w="3905" w:type="dxa"/>
            <w:vAlign w:val="center"/>
          </w:tcPr>
          <w:p>
            <w:pPr>
              <w:autoSpaceDE w:val="0"/>
              <w:autoSpaceDN w:val="0"/>
              <w:spacing w:line="360" w:lineRule="auto"/>
              <w:rPr>
                <w:rFonts w:ascii="宋体" w:hAnsi="宋体"/>
                <w:color w:val="auto"/>
                <w:sz w:val="24"/>
                <w:szCs w:val="24"/>
              </w:rPr>
            </w:pPr>
            <w:r>
              <w:rPr>
                <w:rFonts w:hint="eastAsia" w:ascii="宋体" w:hAnsi="宋体"/>
                <w:color w:val="auto"/>
                <w:sz w:val="24"/>
                <w:szCs w:val="24"/>
              </w:rPr>
              <w:t>如不是法定代表人签署投标文件时另外提供（除投标文件正本也放置外）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102"/>
              </w:numPr>
              <w:autoSpaceDE w:val="0"/>
              <w:autoSpaceDN w:val="0"/>
              <w:spacing w:line="360" w:lineRule="auto"/>
              <w:jc w:val="center"/>
              <w:rPr>
                <w:rFonts w:ascii="宋体" w:hAnsi="宋体"/>
                <w:color w:val="auto"/>
                <w:sz w:val="24"/>
                <w:szCs w:val="24"/>
              </w:rPr>
            </w:pPr>
          </w:p>
        </w:tc>
        <w:tc>
          <w:tcPr>
            <w:tcW w:w="3119" w:type="dxa"/>
            <w:vAlign w:val="center"/>
          </w:tcPr>
          <w:p>
            <w:pPr>
              <w:autoSpaceDE w:val="0"/>
              <w:autoSpaceDN w:val="0"/>
              <w:spacing w:line="360" w:lineRule="auto"/>
              <w:rPr>
                <w:rFonts w:ascii="宋体" w:hAnsi="宋体"/>
                <w:color w:val="auto"/>
                <w:sz w:val="24"/>
                <w:szCs w:val="24"/>
              </w:rPr>
            </w:pPr>
            <w:r>
              <w:rPr>
                <w:rFonts w:hint="eastAsia" w:ascii="宋体" w:hAnsi="宋体"/>
                <w:color w:val="auto"/>
                <w:sz w:val="24"/>
                <w:szCs w:val="24"/>
              </w:rPr>
              <w:t>《联合协议》（如适用）</w:t>
            </w:r>
          </w:p>
        </w:tc>
        <w:tc>
          <w:tcPr>
            <w:tcW w:w="1559" w:type="dxa"/>
            <w:vAlign w:val="center"/>
          </w:tcPr>
          <w:p>
            <w:pPr>
              <w:autoSpaceDE w:val="0"/>
              <w:autoSpaceDN w:val="0"/>
              <w:spacing w:line="360" w:lineRule="auto"/>
              <w:rPr>
                <w:rFonts w:ascii="宋体" w:hAnsi="宋体"/>
                <w:color w:val="auto"/>
                <w:sz w:val="24"/>
                <w:szCs w:val="24"/>
              </w:rPr>
            </w:pPr>
            <w:r>
              <w:rPr>
                <w:rFonts w:hint="eastAsia" w:ascii="宋体" w:hAnsi="宋体"/>
                <w:color w:val="auto"/>
                <w:sz w:val="24"/>
                <w:szCs w:val="24"/>
              </w:rPr>
              <w:t>1份，复印件</w:t>
            </w:r>
          </w:p>
        </w:tc>
        <w:tc>
          <w:tcPr>
            <w:tcW w:w="3905" w:type="dxa"/>
            <w:vAlign w:val="center"/>
          </w:tcPr>
          <w:p>
            <w:pPr>
              <w:autoSpaceDE w:val="0"/>
              <w:autoSpaceDN w:val="0"/>
              <w:spacing w:line="360" w:lineRule="auto"/>
              <w:rPr>
                <w:rFonts w:ascii="宋体" w:hAnsi="宋体"/>
                <w:color w:val="auto"/>
                <w:sz w:val="24"/>
                <w:szCs w:val="24"/>
              </w:rPr>
            </w:pPr>
            <w:r>
              <w:rPr>
                <w:rFonts w:hint="eastAsia" w:ascii="宋体" w:hAnsi="宋体"/>
                <w:color w:val="auto"/>
                <w:sz w:val="24"/>
                <w:szCs w:val="24"/>
              </w:rPr>
              <w:t>从投标文件正本中复印并盖章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102"/>
              </w:numPr>
              <w:autoSpaceDE w:val="0"/>
              <w:autoSpaceDN w:val="0"/>
              <w:spacing w:line="360" w:lineRule="auto"/>
              <w:jc w:val="center"/>
              <w:rPr>
                <w:rFonts w:ascii="宋体" w:hAnsi="宋体"/>
                <w:color w:val="auto"/>
                <w:sz w:val="24"/>
                <w:szCs w:val="24"/>
              </w:rPr>
            </w:pPr>
          </w:p>
        </w:tc>
        <w:tc>
          <w:tcPr>
            <w:tcW w:w="3119" w:type="dxa"/>
            <w:vAlign w:val="center"/>
          </w:tcPr>
          <w:p>
            <w:pPr>
              <w:autoSpaceDE w:val="0"/>
              <w:autoSpaceDN w:val="0"/>
              <w:spacing w:line="360" w:lineRule="auto"/>
              <w:rPr>
                <w:rFonts w:ascii="宋体" w:hAnsi="宋体"/>
                <w:color w:val="auto"/>
                <w:sz w:val="24"/>
                <w:szCs w:val="24"/>
              </w:rPr>
            </w:pPr>
            <w:r>
              <w:rPr>
                <w:rFonts w:hint="eastAsia" w:ascii="宋体" w:hAnsi="宋体"/>
                <w:color w:val="auto"/>
                <w:sz w:val="24"/>
                <w:szCs w:val="24"/>
              </w:rPr>
              <w:t>《分包意向协议》（如适用）</w:t>
            </w:r>
          </w:p>
        </w:tc>
        <w:tc>
          <w:tcPr>
            <w:tcW w:w="1559" w:type="dxa"/>
            <w:vAlign w:val="center"/>
          </w:tcPr>
          <w:p>
            <w:pPr>
              <w:autoSpaceDE w:val="0"/>
              <w:autoSpaceDN w:val="0"/>
              <w:spacing w:line="360" w:lineRule="auto"/>
              <w:rPr>
                <w:rFonts w:ascii="宋体" w:hAnsi="宋体"/>
                <w:color w:val="auto"/>
                <w:sz w:val="24"/>
                <w:szCs w:val="24"/>
              </w:rPr>
            </w:pPr>
            <w:r>
              <w:rPr>
                <w:rFonts w:hint="eastAsia" w:ascii="宋体" w:hAnsi="宋体"/>
                <w:color w:val="auto"/>
                <w:sz w:val="24"/>
                <w:szCs w:val="24"/>
              </w:rPr>
              <w:t>1份，复印件</w:t>
            </w:r>
          </w:p>
        </w:tc>
        <w:tc>
          <w:tcPr>
            <w:tcW w:w="3905" w:type="dxa"/>
            <w:vAlign w:val="center"/>
          </w:tcPr>
          <w:p>
            <w:pPr>
              <w:autoSpaceDE w:val="0"/>
              <w:autoSpaceDN w:val="0"/>
              <w:spacing w:line="360" w:lineRule="auto"/>
              <w:rPr>
                <w:rFonts w:ascii="宋体" w:hAnsi="宋体"/>
                <w:color w:val="auto"/>
                <w:sz w:val="24"/>
                <w:szCs w:val="24"/>
              </w:rPr>
            </w:pPr>
            <w:r>
              <w:rPr>
                <w:rFonts w:hint="eastAsia" w:ascii="宋体" w:hAnsi="宋体"/>
                <w:color w:val="auto"/>
                <w:sz w:val="24"/>
                <w:szCs w:val="24"/>
              </w:rPr>
              <w:t>从投标文件正本中复印并盖章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102"/>
              </w:numPr>
              <w:autoSpaceDE w:val="0"/>
              <w:autoSpaceDN w:val="0"/>
              <w:spacing w:line="360" w:lineRule="auto"/>
              <w:jc w:val="center"/>
              <w:rPr>
                <w:rFonts w:ascii="宋体" w:hAnsi="宋体"/>
                <w:color w:val="auto"/>
                <w:sz w:val="24"/>
                <w:szCs w:val="24"/>
              </w:rPr>
            </w:pPr>
          </w:p>
        </w:tc>
        <w:tc>
          <w:tcPr>
            <w:tcW w:w="3119" w:type="dxa"/>
            <w:vAlign w:val="center"/>
          </w:tcPr>
          <w:p>
            <w:pPr>
              <w:autoSpaceDE w:val="0"/>
              <w:autoSpaceDN w:val="0"/>
              <w:spacing w:line="360" w:lineRule="auto"/>
              <w:rPr>
                <w:rFonts w:ascii="宋体" w:hAnsi="宋体"/>
                <w:color w:val="auto"/>
                <w:sz w:val="24"/>
                <w:szCs w:val="24"/>
              </w:rPr>
            </w:pPr>
            <w:r>
              <w:rPr>
                <w:rFonts w:hint="eastAsia" w:ascii="宋体" w:hAnsi="宋体"/>
                <w:color w:val="auto"/>
                <w:sz w:val="24"/>
                <w:szCs w:val="24"/>
              </w:rPr>
              <w:t>优惠或折扣说明（如有）</w:t>
            </w:r>
          </w:p>
        </w:tc>
        <w:tc>
          <w:tcPr>
            <w:tcW w:w="1559" w:type="dxa"/>
            <w:vAlign w:val="center"/>
          </w:tcPr>
          <w:p>
            <w:pPr>
              <w:autoSpaceDE w:val="0"/>
              <w:autoSpaceDN w:val="0"/>
              <w:spacing w:line="360" w:lineRule="auto"/>
              <w:rPr>
                <w:rFonts w:ascii="宋体" w:hAnsi="宋体"/>
                <w:color w:val="auto"/>
                <w:sz w:val="24"/>
                <w:szCs w:val="24"/>
              </w:rPr>
            </w:pPr>
            <w:r>
              <w:rPr>
                <w:rFonts w:hint="eastAsia" w:ascii="宋体" w:hAnsi="宋体"/>
                <w:color w:val="auto"/>
                <w:sz w:val="24"/>
                <w:szCs w:val="24"/>
              </w:rPr>
              <w:t>1份，原件</w:t>
            </w:r>
          </w:p>
        </w:tc>
        <w:tc>
          <w:tcPr>
            <w:tcW w:w="3905" w:type="dxa"/>
            <w:vAlign w:val="center"/>
          </w:tcPr>
          <w:p>
            <w:pPr>
              <w:autoSpaceDE w:val="0"/>
              <w:autoSpaceDN w:val="0"/>
              <w:spacing w:line="360" w:lineRule="auto"/>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pPr>
              <w:numPr>
                <w:ilvl w:val="0"/>
                <w:numId w:val="102"/>
              </w:numPr>
              <w:autoSpaceDE w:val="0"/>
              <w:autoSpaceDN w:val="0"/>
              <w:spacing w:line="360" w:lineRule="auto"/>
              <w:jc w:val="center"/>
              <w:rPr>
                <w:rFonts w:ascii="宋体" w:hAnsi="宋体"/>
                <w:color w:val="auto"/>
                <w:sz w:val="24"/>
                <w:szCs w:val="24"/>
              </w:rPr>
            </w:pPr>
          </w:p>
        </w:tc>
        <w:tc>
          <w:tcPr>
            <w:tcW w:w="3119" w:type="dxa"/>
            <w:vAlign w:val="center"/>
          </w:tcPr>
          <w:p>
            <w:pPr>
              <w:autoSpaceDE w:val="0"/>
              <w:autoSpaceDN w:val="0"/>
              <w:spacing w:line="360" w:lineRule="auto"/>
              <w:rPr>
                <w:rFonts w:ascii="宋体" w:hAnsi="宋体"/>
                <w:color w:val="auto"/>
                <w:sz w:val="24"/>
                <w:szCs w:val="24"/>
              </w:rPr>
            </w:pPr>
            <w:r>
              <w:rPr>
                <w:rFonts w:hint="eastAsia" w:ascii="宋体" w:hAnsi="宋体"/>
                <w:color w:val="auto"/>
                <w:sz w:val="24"/>
                <w:szCs w:val="24"/>
              </w:rPr>
              <w:t>《投标保证金交纳凭证》</w:t>
            </w:r>
          </w:p>
        </w:tc>
        <w:tc>
          <w:tcPr>
            <w:tcW w:w="1559" w:type="dxa"/>
            <w:vAlign w:val="center"/>
          </w:tcPr>
          <w:p>
            <w:pPr>
              <w:autoSpaceDE w:val="0"/>
              <w:autoSpaceDN w:val="0"/>
              <w:spacing w:line="360" w:lineRule="auto"/>
              <w:rPr>
                <w:rFonts w:ascii="宋体" w:hAnsi="宋体"/>
                <w:color w:val="auto"/>
                <w:sz w:val="24"/>
                <w:szCs w:val="24"/>
              </w:rPr>
            </w:pPr>
            <w:r>
              <w:rPr>
                <w:rFonts w:hint="eastAsia" w:ascii="宋体" w:hAnsi="宋体"/>
                <w:color w:val="auto"/>
                <w:sz w:val="24"/>
                <w:szCs w:val="24"/>
              </w:rPr>
              <w:t>1份，复印件</w:t>
            </w:r>
          </w:p>
        </w:tc>
        <w:tc>
          <w:tcPr>
            <w:tcW w:w="3905" w:type="dxa"/>
            <w:vAlign w:val="center"/>
          </w:tcPr>
          <w:p>
            <w:pPr>
              <w:autoSpaceDE w:val="0"/>
              <w:autoSpaceDN w:val="0"/>
              <w:spacing w:line="360" w:lineRule="auto"/>
              <w:rPr>
                <w:rFonts w:ascii="宋体" w:hAnsi="宋体"/>
                <w:color w:val="auto"/>
                <w:sz w:val="24"/>
                <w:szCs w:val="24"/>
              </w:rPr>
            </w:pPr>
            <w:r>
              <w:rPr>
                <w:rFonts w:hint="eastAsia" w:ascii="宋体" w:hAnsi="宋体"/>
                <w:color w:val="auto"/>
                <w:sz w:val="24"/>
                <w:szCs w:val="24"/>
              </w:rPr>
              <w:t>原件放在投标文件正本中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autoSpaceDE w:val="0"/>
              <w:autoSpaceDN w:val="0"/>
              <w:spacing w:line="360" w:lineRule="auto"/>
              <w:rPr>
                <w:rFonts w:ascii="宋体" w:hAnsi="宋体"/>
                <w:color w:val="auto"/>
                <w:sz w:val="24"/>
                <w:szCs w:val="24"/>
              </w:rPr>
            </w:pPr>
          </w:p>
        </w:tc>
        <w:tc>
          <w:tcPr>
            <w:tcW w:w="3119" w:type="dxa"/>
            <w:vAlign w:val="center"/>
          </w:tcPr>
          <w:p>
            <w:pPr>
              <w:autoSpaceDE w:val="0"/>
              <w:autoSpaceDN w:val="0"/>
              <w:spacing w:line="360" w:lineRule="auto"/>
              <w:rPr>
                <w:rFonts w:ascii="宋体" w:hAnsi="宋体"/>
                <w:color w:val="auto"/>
                <w:sz w:val="24"/>
                <w:szCs w:val="24"/>
              </w:rPr>
            </w:pPr>
            <w:r>
              <w:rPr>
                <w:rFonts w:hint="eastAsia" w:ascii="宋体" w:hAnsi="宋体"/>
                <w:color w:val="auto"/>
                <w:sz w:val="24"/>
                <w:szCs w:val="24"/>
              </w:rPr>
              <w:t>银行回单（银行转账方式）</w:t>
            </w:r>
          </w:p>
        </w:tc>
        <w:tc>
          <w:tcPr>
            <w:tcW w:w="1559" w:type="dxa"/>
            <w:vAlign w:val="center"/>
          </w:tcPr>
          <w:p>
            <w:pPr>
              <w:autoSpaceDE w:val="0"/>
              <w:autoSpaceDN w:val="0"/>
              <w:spacing w:line="360" w:lineRule="auto"/>
              <w:rPr>
                <w:rFonts w:ascii="宋体" w:hAnsi="宋体"/>
                <w:color w:val="auto"/>
                <w:sz w:val="24"/>
                <w:szCs w:val="24"/>
              </w:rPr>
            </w:pPr>
            <w:r>
              <w:rPr>
                <w:rFonts w:hint="eastAsia" w:ascii="宋体" w:hAnsi="宋体"/>
                <w:color w:val="auto"/>
                <w:sz w:val="24"/>
                <w:szCs w:val="24"/>
              </w:rPr>
              <w:t>1份，复印件</w:t>
            </w:r>
          </w:p>
        </w:tc>
        <w:tc>
          <w:tcPr>
            <w:tcW w:w="3905" w:type="dxa"/>
            <w:vAlign w:val="center"/>
          </w:tcPr>
          <w:p>
            <w:pPr>
              <w:autoSpaceDE w:val="0"/>
              <w:autoSpaceDN w:val="0"/>
              <w:spacing w:line="360" w:lineRule="auto"/>
              <w:rPr>
                <w:rFonts w:ascii="宋体" w:hAnsi="宋体"/>
                <w:color w:val="auto"/>
                <w:sz w:val="24"/>
                <w:szCs w:val="24"/>
              </w:rPr>
            </w:pPr>
            <w:r>
              <w:rPr>
                <w:rFonts w:hint="eastAsia" w:ascii="宋体" w:hAnsi="宋体"/>
                <w:color w:val="auto"/>
                <w:sz w:val="24"/>
                <w:szCs w:val="24"/>
              </w:rPr>
              <w:t>复印件放在投标文件正本中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autoSpaceDE w:val="0"/>
              <w:autoSpaceDN w:val="0"/>
              <w:spacing w:line="360" w:lineRule="auto"/>
              <w:rPr>
                <w:rFonts w:ascii="宋体" w:hAnsi="宋体"/>
                <w:color w:val="auto"/>
                <w:sz w:val="24"/>
                <w:szCs w:val="24"/>
              </w:rPr>
            </w:pPr>
          </w:p>
        </w:tc>
        <w:tc>
          <w:tcPr>
            <w:tcW w:w="3119" w:type="dxa"/>
            <w:vAlign w:val="center"/>
          </w:tcPr>
          <w:p>
            <w:pPr>
              <w:autoSpaceDE w:val="0"/>
              <w:autoSpaceDN w:val="0"/>
              <w:spacing w:line="360" w:lineRule="auto"/>
              <w:rPr>
                <w:rFonts w:ascii="宋体" w:hAnsi="宋体"/>
                <w:color w:val="auto"/>
                <w:sz w:val="24"/>
                <w:szCs w:val="24"/>
              </w:rPr>
            </w:pPr>
            <w:r>
              <w:rPr>
                <w:rFonts w:hint="eastAsia" w:ascii="宋体" w:hAnsi="宋体"/>
                <w:color w:val="auto"/>
                <w:sz w:val="24"/>
                <w:szCs w:val="24"/>
              </w:rPr>
              <w:t>支票或汇票或本票或投标保函或担保函或保证保险函</w:t>
            </w:r>
          </w:p>
        </w:tc>
        <w:tc>
          <w:tcPr>
            <w:tcW w:w="1559" w:type="dxa"/>
            <w:vAlign w:val="center"/>
          </w:tcPr>
          <w:p>
            <w:pPr>
              <w:autoSpaceDE w:val="0"/>
              <w:autoSpaceDN w:val="0"/>
              <w:spacing w:line="360" w:lineRule="auto"/>
              <w:rPr>
                <w:rFonts w:ascii="宋体" w:hAnsi="宋体"/>
                <w:color w:val="auto"/>
                <w:sz w:val="24"/>
                <w:szCs w:val="24"/>
              </w:rPr>
            </w:pPr>
            <w:r>
              <w:rPr>
                <w:rFonts w:hint="eastAsia" w:ascii="宋体" w:hAnsi="宋体"/>
                <w:color w:val="auto"/>
                <w:sz w:val="24"/>
                <w:szCs w:val="24"/>
              </w:rPr>
              <w:t>1份，原件</w:t>
            </w:r>
          </w:p>
        </w:tc>
        <w:tc>
          <w:tcPr>
            <w:tcW w:w="3905" w:type="dxa"/>
            <w:vAlign w:val="center"/>
          </w:tcPr>
          <w:p>
            <w:pPr>
              <w:autoSpaceDE w:val="0"/>
              <w:autoSpaceDN w:val="0"/>
              <w:spacing w:line="360" w:lineRule="auto"/>
              <w:rPr>
                <w:rFonts w:ascii="宋体" w:hAnsi="宋体"/>
                <w:color w:val="auto"/>
                <w:sz w:val="24"/>
                <w:szCs w:val="24"/>
              </w:rPr>
            </w:pPr>
            <w:r>
              <w:rPr>
                <w:rFonts w:hint="eastAsia" w:ascii="宋体" w:hAnsi="宋体"/>
                <w:color w:val="auto"/>
                <w:sz w:val="24"/>
                <w:szCs w:val="24"/>
              </w:rPr>
              <w:t>复印件放在投标文件正本中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pPr>
              <w:autoSpaceDE w:val="0"/>
              <w:autoSpaceDN w:val="0"/>
              <w:spacing w:line="360" w:lineRule="auto"/>
              <w:rPr>
                <w:rFonts w:ascii="宋体" w:hAnsi="宋体"/>
                <w:color w:val="auto"/>
                <w:sz w:val="24"/>
                <w:szCs w:val="24"/>
              </w:rPr>
            </w:pPr>
          </w:p>
        </w:tc>
        <w:tc>
          <w:tcPr>
            <w:tcW w:w="3119" w:type="dxa"/>
            <w:vAlign w:val="center"/>
          </w:tcPr>
          <w:p>
            <w:pPr>
              <w:autoSpaceDE w:val="0"/>
              <w:autoSpaceDN w:val="0"/>
              <w:spacing w:line="360" w:lineRule="auto"/>
              <w:rPr>
                <w:rFonts w:ascii="宋体" w:hAnsi="宋体"/>
                <w:color w:val="auto"/>
                <w:sz w:val="24"/>
                <w:szCs w:val="24"/>
              </w:rPr>
            </w:pPr>
            <w:r>
              <w:rPr>
                <w:rFonts w:hint="eastAsia" w:ascii="宋体" w:hAnsi="宋体"/>
                <w:color w:val="auto"/>
                <w:sz w:val="24"/>
                <w:szCs w:val="24"/>
              </w:rPr>
              <w:t>《投标保证金退还说明》</w:t>
            </w:r>
          </w:p>
        </w:tc>
        <w:tc>
          <w:tcPr>
            <w:tcW w:w="1559" w:type="dxa"/>
            <w:vAlign w:val="center"/>
          </w:tcPr>
          <w:p>
            <w:pPr>
              <w:autoSpaceDE w:val="0"/>
              <w:autoSpaceDN w:val="0"/>
              <w:spacing w:line="360" w:lineRule="auto"/>
              <w:rPr>
                <w:rFonts w:ascii="宋体" w:hAnsi="宋体"/>
                <w:color w:val="auto"/>
                <w:sz w:val="24"/>
                <w:szCs w:val="24"/>
              </w:rPr>
            </w:pPr>
            <w:r>
              <w:rPr>
                <w:rFonts w:hint="eastAsia" w:ascii="宋体" w:hAnsi="宋体"/>
                <w:color w:val="auto"/>
                <w:sz w:val="24"/>
                <w:szCs w:val="24"/>
              </w:rPr>
              <w:t>1份，原件</w:t>
            </w:r>
          </w:p>
        </w:tc>
        <w:tc>
          <w:tcPr>
            <w:tcW w:w="3905" w:type="dxa"/>
            <w:vAlign w:val="center"/>
          </w:tcPr>
          <w:p>
            <w:pPr>
              <w:autoSpaceDE w:val="0"/>
              <w:autoSpaceDN w:val="0"/>
              <w:spacing w:line="360" w:lineRule="auto"/>
              <w:rPr>
                <w:rFonts w:ascii="宋体" w:hAnsi="宋体"/>
                <w:color w:val="auto"/>
                <w:sz w:val="24"/>
                <w:szCs w:val="24"/>
              </w:rPr>
            </w:pPr>
            <w:r>
              <w:rPr>
                <w:rFonts w:hint="eastAsia" w:ascii="宋体" w:hAnsi="宋体"/>
                <w:color w:val="auto"/>
                <w:sz w:val="24"/>
                <w:szCs w:val="24"/>
              </w:rPr>
              <w:t>复印件放在投标文件正本中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102"/>
              </w:numPr>
              <w:autoSpaceDE w:val="0"/>
              <w:autoSpaceDN w:val="0"/>
              <w:spacing w:line="360" w:lineRule="auto"/>
              <w:jc w:val="center"/>
              <w:rPr>
                <w:rFonts w:ascii="宋体" w:hAnsi="宋体"/>
                <w:color w:val="auto"/>
                <w:sz w:val="24"/>
                <w:szCs w:val="24"/>
              </w:rPr>
            </w:pPr>
          </w:p>
        </w:tc>
        <w:tc>
          <w:tcPr>
            <w:tcW w:w="3119" w:type="dxa"/>
            <w:vAlign w:val="center"/>
          </w:tcPr>
          <w:p>
            <w:pPr>
              <w:autoSpaceDE w:val="0"/>
              <w:autoSpaceDN w:val="0"/>
              <w:spacing w:line="360" w:lineRule="auto"/>
              <w:rPr>
                <w:rFonts w:ascii="宋体" w:hAnsi="宋体"/>
                <w:color w:val="auto"/>
                <w:sz w:val="24"/>
                <w:szCs w:val="24"/>
              </w:rPr>
            </w:pPr>
            <w:r>
              <w:rPr>
                <w:rFonts w:hint="eastAsia" w:ascii="宋体" w:hAnsi="宋体"/>
                <w:color w:val="auto"/>
                <w:sz w:val="24"/>
                <w:szCs w:val="24"/>
              </w:rPr>
              <w:tab/>
            </w:r>
            <w:r>
              <w:rPr>
                <w:rFonts w:hint="eastAsia" w:ascii="宋体" w:hAnsi="宋体"/>
                <w:color w:val="auto"/>
                <w:sz w:val="24"/>
                <w:szCs w:val="24"/>
              </w:rPr>
              <w:t>开票资料说明函</w:t>
            </w:r>
          </w:p>
        </w:tc>
        <w:tc>
          <w:tcPr>
            <w:tcW w:w="1559" w:type="dxa"/>
            <w:vAlign w:val="center"/>
          </w:tcPr>
          <w:p>
            <w:pPr>
              <w:autoSpaceDE w:val="0"/>
              <w:autoSpaceDN w:val="0"/>
              <w:spacing w:line="360" w:lineRule="auto"/>
              <w:rPr>
                <w:rFonts w:ascii="宋体" w:hAnsi="宋体"/>
                <w:color w:val="auto"/>
                <w:sz w:val="24"/>
                <w:szCs w:val="24"/>
              </w:rPr>
            </w:pPr>
            <w:r>
              <w:rPr>
                <w:rFonts w:hint="eastAsia" w:ascii="宋体" w:hAnsi="宋体"/>
                <w:color w:val="auto"/>
                <w:sz w:val="24"/>
                <w:szCs w:val="24"/>
              </w:rPr>
              <w:t>1份，原件</w:t>
            </w:r>
          </w:p>
        </w:tc>
        <w:tc>
          <w:tcPr>
            <w:tcW w:w="3905" w:type="dxa"/>
            <w:vAlign w:val="center"/>
          </w:tcPr>
          <w:p>
            <w:pPr>
              <w:autoSpaceDE w:val="0"/>
              <w:autoSpaceDN w:val="0"/>
              <w:spacing w:line="360" w:lineRule="auto"/>
              <w:rPr>
                <w:rFonts w:ascii="宋体" w:hAnsi="宋体"/>
                <w:color w:val="auto"/>
                <w:sz w:val="24"/>
                <w:szCs w:val="24"/>
              </w:rPr>
            </w:pPr>
            <w:r>
              <w:rPr>
                <w:rFonts w:hint="eastAsia" w:ascii="宋体" w:hAnsi="宋体"/>
                <w:color w:val="auto"/>
                <w:sz w:val="24"/>
                <w:szCs w:val="24"/>
              </w:rPr>
              <w:t>复印件放在投标文件正本中</w:t>
            </w:r>
          </w:p>
        </w:tc>
      </w:tr>
    </w:tbl>
    <w:p>
      <w:pPr>
        <w:autoSpaceDE w:val="0"/>
        <w:autoSpaceDN w:val="0"/>
        <w:spacing w:line="360" w:lineRule="auto"/>
        <w:ind w:firstLine="480" w:firstLineChars="200"/>
        <w:rPr>
          <w:rFonts w:ascii="宋体" w:hAnsi="宋体"/>
          <w:b/>
          <w:color w:val="auto"/>
          <w:sz w:val="24"/>
          <w:szCs w:val="24"/>
        </w:rPr>
      </w:pPr>
      <w:r>
        <w:rPr>
          <w:rFonts w:hint="eastAsia" w:ascii="宋体" w:hAnsi="宋体"/>
          <w:b/>
          <w:color w:val="auto"/>
          <w:sz w:val="24"/>
          <w:szCs w:val="24"/>
        </w:rPr>
        <w:t>备注：</w:t>
      </w:r>
    </w:p>
    <w:p>
      <w:pPr>
        <w:autoSpaceDE w:val="0"/>
        <w:autoSpaceDN w:val="0"/>
        <w:spacing w:line="360" w:lineRule="auto"/>
        <w:ind w:firstLine="480" w:firstLineChars="200"/>
        <w:rPr>
          <w:rFonts w:ascii="宋体" w:hAnsi="宋体"/>
          <w:color w:val="auto"/>
          <w:sz w:val="24"/>
          <w:szCs w:val="24"/>
        </w:rPr>
      </w:pPr>
      <w:r>
        <w:rPr>
          <w:rFonts w:hint="eastAsia" w:ascii="宋体" w:hAnsi="宋体"/>
          <w:color w:val="auto"/>
          <w:sz w:val="24"/>
          <w:szCs w:val="24"/>
        </w:rPr>
        <w:t>1.序号6的资料仅适合需要缴纳投标保证金的项目。</w:t>
      </w:r>
    </w:p>
    <w:p>
      <w:pPr>
        <w:autoSpaceDE w:val="0"/>
        <w:autoSpaceDN w:val="0"/>
        <w:spacing w:line="360" w:lineRule="auto"/>
        <w:ind w:firstLine="480" w:firstLineChars="200"/>
        <w:rPr>
          <w:rFonts w:ascii="宋体" w:hAnsi="宋体"/>
          <w:color w:val="auto"/>
          <w:sz w:val="24"/>
          <w:szCs w:val="24"/>
        </w:rPr>
      </w:pPr>
      <w:r>
        <w:rPr>
          <w:rFonts w:hint="eastAsia" w:ascii="宋体" w:hAnsi="宋体"/>
          <w:color w:val="auto"/>
          <w:sz w:val="24"/>
          <w:szCs w:val="24"/>
        </w:rPr>
        <w:t>2.以联合体形式或合同分包形式投标的，按本文件格式提供的《联合协议》或《分包意向协议》可以作为法定代表人证明书及授权代表证明书，不需要提供上述第2、3项资料。</w:t>
      </w:r>
    </w:p>
    <w:p>
      <w:pPr>
        <w:autoSpaceDE w:val="0"/>
        <w:autoSpaceDN w:val="0"/>
        <w:spacing w:line="360" w:lineRule="auto"/>
        <w:ind w:firstLine="480" w:firstLineChars="200"/>
        <w:rPr>
          <w:rFonts w:ascii="宋体" w:hAnsi="宋体"/>
          <w:color w:val="auto"/>
          <w:sz w:val="24"/>
          <w:szCs w:val="24"/>
        </w:rPr>
      </w:pPr>
      <w:r>
        <w:rPr>
          <w:rFonts w:hint="eastAsia" w:ascii="宋体" w:hAnsi="宋体"/>
          <w:color w:val="auto"/>
          <w:sz w:val="24"/>
          <w:szCs w:val="24"/>
        </w:rPr>
        <w:t>3.如“开标信封”中的内容与投标文件正本不一致的，以投标文件正本为准。</w:t>
      </w:r>
    </w:p>
    <w:p>
      <w:pPr>
        <w:autoSpaceDE w:val="0"/>
        <w:autoSpaceDN w:val="0"/>
        <w:spacing w:line="360" w:lineRule="auto"/>
        <w:ind w:firstLine="480" w:firstLineChars="200"/>
        <w:rPr>
          <w:rFonts w:ascii="宋体" w:hAnsi="宋体"/>
          <w:color w:val="auto"/>
          <w:sz w:val="24"/>
          <w:szCs w:val="24"/>
        </w:rPr>
      </w:pPr>
    </w:p>
    <w:p>
      <w:pPr>
        <w:pStyle w:val="4"/>
        <w:numPr>
          <w:ilvl w:val="0"/>
          <w:numId w:val="91"/>
        </w:numPr>
        <w:tabs>
          <w:tab w:val="left" w:pos="945"/>
        </w:tabs>
        <w:spacing w:before="0" w:after="0" w:line="360" w:lineRule="auto"/>
        <w:ind w:left="984" w:hanging="980" w:hangingChars="350"/>
        <w:rPr>
          <w:rFonts w:ascii="宋体" w:hAnsi="宋体"/>
          <w:color w:val="auto"/>
          <w:sz w:val="28"/>
          <w:szCs w:val="28"/>
        </w:rPr>
      </w:pPr>
      <w:bookmarkStart w:id="479" w:name="_Toc54335500"/>
      <w:bookmarkStart w:id="480" w:name="_Toc22806246"/>
      <w:r>
        <w:rPr>
          <w:rFonts w:hint="eastAsia" w:ascii="宋体" w:hAnsi="宋体"/>
          <w:color w:val="auto"/>
          <w:sz w:val="28"/>
          <w:szCs w:val="28"/>
        </w:rPr>
        <w:br w:type="page"/>
      </w:r>
      <w:bookmarkStart w:id="481" w:name="_Toc14676"/>
      <w:r>
        <w:rPr>
          <w:rFonts w:hint="eastAsia" w:ascii="宋体" w:hAnsi="宋体"/>
          <w:color w:val="auto"/>
          <w:sz w:val="28"/>
          <w:szCs w:val="28"/>
        </w:rPr>
        <w:t>附件（如有）</w:t>
      </w:r>
      <w:bookmarkEnd w:id="479"/>
      <w:bookmarkEnd w:id="480"/>
      <w:bookmarkEnd w:id="481"/>
    </w:p>
    <w:p>
      <w:pPr>
        <w:pStyle w:val="5"/>
        <w:numPr>
          <w:ilvl w:val="0"/>
          <w:numId w:val="99"/>
        </w:numPr>
        <w:tabs>
          <w:tab w:val="left" w:pos="945"/>
        </w:tabs>
        <w:spacing w:before="0" w:after="0" w:line="360" w:lineRule="auto"/>
        <w:ind w:left="0" w:firstLine="0"/>
        <w:rPr>
          <w:color w:val="auto"/>
          <w:sz w:val="28"/>
          <w:szCs w:val="28"/>
        </w:rPr>
      </w:pPr>
      <w:bookmarkStart w:id="482" w:name="_Toc25769771"/>
      <w:bookmarkStart w:id="483" w:name="_Toc54335501"/>
      <w:bookmarkStart w:id="484" w:name="_Toc22806212"/>
      <w:bookmarkStart w:id="485" w:name="_Toc30542"/>
      <w:r>
        <w:rPr>
          <w:rFonts w:hint="eastAsia"/>
          <w:color w:val="auto"/>
          <w:sz w:val="28"/>
          <w:szCs w:val="28"/>
        </w:rPr>
        <w:t>投标保证金（如要求）</w:t>
      </w:r>
      <w:bookmarkEnd w:id="482"/>
      <w:bookmarkEnd w:id="483"/>
      <w:bookmarkEnd w:id="484"/>
      <w:bookmarkEnd w:id="485"/>
    </w:p>
    <w:p>
      <w:pPr>
        <w:pStyle w:val="6"/>
        <w:numPr>
          <w:ilvl w:val="0"/>
          <w:numId w:val="0"/>
        </w:numPr>
        <w:tabs>
          <w:tab w:val="left" w:pos="945"/>
        </w:tabs>
        <w:rPr>
          <w:rFonts w:ascii="宋体" w:hAnsi="宋体"/>
          <w:b w:val="0"/>
          <w:color w:val="auto"/>
        </w:rPr>
      </w:pPr>
      <w:bookmarkStart w:id="486" w:name="_Toc22806213"/>
      <w:r>
        <w:rPr>
          <w:rFonts w:ascii="宋体" w:hAnsi="宋体"/>
          <w:color w:val="auto"/>
          <w:szCs w:val="24"/>
        </w:rPr>
        <w:t>23.1</w:t>
      </w:r>
      <w:r>
        <w:rPr>
          <w:rFonts w:hint="eastAsia" w:ascii="宋体" w:hAnsi="宋体"/>
          <w:color w:val="auto"/>
          <w:szCs w:val="24"/>
        </w:rPr>
        <w:t>投标保证金交纳凭证</w:t>
      </w:r>
      <w:bookmarkEnd w:id="486"/>
      <w:r>
        <w:rPr>
          <w:rFonts w:hint="eastAsia" w:ascii="宋体" w:hAnsi="宋体"/>
          <w:b w:val="0"/>
          <w:color w:val="auto"/>
        </w:rPr>
        <w:t>（采用投标保函或担保函或保证保险函提交的，格式（2）、（3）由供应商根据需要选用）</w:t>
      </w:r>
    </w:p>
    <w:p>
      <w:pPr>
        <w:spacing w:line="360" w:lineRule="auto"/>
        <w:rPr>
          <w:rFonts w:ascii="宋体" w:hAnsi="宋体"/>
          <w:b/>
          <w:color w:val="auto"/>
          <w:sz w:val="24"/>
        </w:rPr>
      </w:pPr>
      <w:r>
        <w:rPr>
          <w:rFonts w:hint="eastAsia" w:ascii="宋体" w:hAnsi="宋体"/>
          <w:b/>
          <w:color w:val="auto"/>
          <w:sz w:val="24"/>
        </w:rPr>
        <w:t>（1）以支票、汇票、本票、银行转账等非现金形式提交投标保证金</w:t>
      </w:r>
    </w:p>
    <w:p>
      <w:pPr>
        <w:spacing w:line="360" w:lineRule="auto"/>
        <w:jc w:val="center"/>
        <w:rPr>
          <w:rFonts w:ascii="宋体" w:hAnsi="宋体"/>
          <w:b/>
          <w:color w:val="auto"/>
          <w:sz w:val="32"/>
          <w:szCs w:val="32"/>
        </w:rPr>
      </w:pPr>
      <w:r>
        <w:rPr>
          <w:rFonts w:hint="eastAsia" w:ascii="宋体" w:hAnsi="宋体"/>
          <w:b/>
          <w:color w:val="auto"/>
          <w:sz w:val="32"/>
          <w:szCs w:val="32"/>
        </w:rPr>
        <w:t>投标保证金交纳凭证</w:t>
      </w:r>
    </w:p>
    <w:p>
      <w:pPr>
        <w:spacing w:line="360" w:lineRule="auto"/>
        <w:rPr>
          <w:rFonts w:ascii="宋体" w:hAnsi="宋体"/>
          <w:color w:val="auto"/>
          <w:sz w:val="24"/>
        </w:rPr>
      </w:pPr>
    </w:p>
    <w:p>
      <w:pPr>
        <w:spacing w:line="360" w:lineRule="auto"/>
        <w:rPr>
          <w:rFonts w:ascii="宋体" w:hAnsi="宋体"/>
          <w:color w:val="auto"/>
          <w:sz w:val="24"/>
        </w:rPr>
      </w:pPr>
      <w:r>
        <w:rPr>
          <w:rFonts w:ascii="宋体" w:hAnsi="宋体"/>
          <w:i/>
          <w:color w:val="auto"/>
          <w:sz w:val="24"/>
          <w:u w:val="single"/>
        </w:rPr>
        <w:t>（采购人</w:t>
      </w:r>
      <w:r>
        <w:rPr>
          <w:rFonts w:hint="eastAsia" w:ascii="宋体" w:hAnsi="宋体"/>
          <w:i/>
          <w:color w:val="auto"/>
          <w:sz w:val="24"/>
          <w:u w:val="single"/>
        </w:rPr>
        <w:t>）</w:t>
      </w:r>
      <w:r>
        <w:rPr>
          <w:rFonts w:ascii="宋体" w:hAnsi="宋体"/>
          <w:color w:val="auto"/>
          <w:sz w:val="24"/>
          <w:u w:val="single"/>
        </w:rPr>
        <w:t>/</w:t>
      </w:r>
      <w:r>
        <w:rPr>
          <w:rFonts w:hint="eastAsia" w:ascii="宋体" w:hAnsi="宋体"/>
          <w:color w:val="auto"/>
          <w:sz w:val="24"/>
          <w:u w:val="single"/>
        </w:rPr>
        <w:t>广东华伦招标有限公司</w:t>
      </w:r>
      <w:r>
        <w:rPr>
          <w:rFonts w:ascii="宋体" w:hAnsi="宋体"/>
          <w:color w:val="auto"/>
          <w:sz w:val="24"/>
          <w:u w:val="single"/>
        </w:rPr>
        <w:t>：</w:t>
      </w:r>
    </w:p>
    <w:p>
      <w:pPr>
        <w:spacing w:line="360" w:lineRule="auto"/>
        <w:ind w:firstLine="480" w:firstLineChars="200"/>
        <w:rPr>
          <w:rFonts w:ascii="宋体" w:hAnsi="宋体"/>
          <w:color w:val="auto"/>
          <w:sz w:val="24"/>
        </w:rPr>
      </w:pPr>
      <w:r>
        <w:rPr>
          <w:rFonts w:ascii="宋体" w:hAnsi="宋体"/>
          <w:i/>
          <w:color w:val="auto"/>
          <w:sz w:val="24"/>
          <w:u w:val="single"/>
        </w:rPr>
        <w:t>（投标人</w:t>
      </w:r>
      <w:r>
        <w:rPr>
          <w:rFonts w:hint="eastAsia" w:ascii="宋体" w:hAnsi="宋体"/>
          <w:i/>
          <w:color w:val="auto"/>
          <w:sz w:val="24"/>
          <w:u w:val="single"/>
        </w:rPr>
        <w:t>名称</w:t>
      </w:r>
      <w:r>
        <w:rPr>
          <w:rFonts w:ascii="宋体" w:hAnsi="宋体"/>
          <w:i/>
          <w:color w:val="auto"/>
          <w:sz w:val="24"/>
          <w:u w:val="single"/>
        </w:rPr>
        <w:t>）</w:t>
      </w:r>
      <w:r>
        <w:rPr>
          <w:rFonts w:ascii="宋体" w:hAnsi="宋体"/>
          <w:color w:val="auto"/>
          <w:sz w:val="24"/>
        </w:rPr>
        <w:t>参加贵方组织的、采购</w:t>
      </w:r>
      <w:r>
        <w:rPr>
          <w:rFonts w:hint="eastAsia" w:ascii="宋体" w:hAnsi="宋体"/>
          <w:color w:val="auto"/>
          <w:sz w:val="24"/>
        </w:rPr>
        <w:t>文件</w:t>
      </w:r>
      <w:r>
        <w:rPr>
          <w:rFonts w:ascii="宋体" w:hAnsi="宋体"/>
          <w:color w:val="auto"/>
          <w:sz w:val="24"/>
        </w:rPr>
        <w:t>编号为</w:t>
      </w:r>
      <w:r>
        <w:rPr>
          <w:rFonts w:hint="eastAsia" w:ascii="宋体" w:hAnsi="宋体"/>
          <w:color w:val="auto"/>
          <w:sz w:val="24"/>
          <w:u w:val="single"/>
          <w:lang w:eastAsia="zh-CN"/>
        </w:rPr>
        <w:t>0809-2241GZG14036</w:t>
      </w:r>
      <w:r>
        <w:rPr>
          <w:rFonts w:ascii="宋体" w:hAnsi="宋体"/>
          <w:color w:val="auto"/>
          <w:sz w:val="24"/>
        </w:rPr>
        <w:t>的</w:t>
      </w:r>
      <w:r>
        <w:rPr>
          <w:rFonts w:hint="eastAsia" w:ascii="宋体" w:hAnsi="宋体"/>
          <w:color w:val="auto"/>
          <w:sz w:val="24"/>
          <w:u w:val="single"/>
          <w:lang w:eastAsia="zh-CN"/>
        </w:rPr>
        <w:t>工业和信息化部电子第五研究所动力电池配套使用环境试验箱采购项目</w:t>
      </w:r>
      <w:r>
        <w:rPr>
          <w:rFonts w:ascii="宋体" w:hAnsi="宋体"/>
          <w:color w:val="auto"/>
          <w:sz w:val="24"/>
        </w:rPr>
        <w:t>项目采购活动。按招标文件的规定，已通过</w:t>
      </w:r>
      <w:r>
        <w:rPr>
          <w:rFonts w:hint="eastAsia" w:ascii="宋体" w:hAnsi="宋体"/>
          <w:i/>
          <w:color w:val="auto"/>
          <w:sz w:val="24"/>
          <w:u w:val="single"/>
        </w:rPr>
        <w:t>（请填写交纳形式：支票、汇票、本票、银行转账）</w:t>
      </w:r>
      <w:r>
        <w:rPr>
          <w:rFonts w:ascii="宋体" w:hAnsi="宋体"/>
          <w:color w:val="auto"/>
          <w:sz w:val="24"/>
        </w:rPr>
        <w:t>形式交纳</w:t>
      </w:r>
      <w:r>
        <w:rPr>
          <w:rFonts w:hint="eastAsia" w:ascii="宋体" w:hAnsi="宋体"/>
          <w:color w:val="auto"/>
          <w:sz w:val="24"/>
        </w:rPr>
        <w:t>项目/采购包</w:t>
      </w:r>
      <w:r>
        <w:rPr>
          <w:rFonts w:hint="eastAsia" w:ascii="宋体" w:hAnsi="宋体"/>
          <w:color w:val="auto"/>
          <w:sz w:val="24"/>
          <w:u w:val="single"/>
        </w:rPr>
        <w:t xml:space="preserve">    </w:t>
      </w:r>
      <w:r>
        <w:rPr>
          <w:rFonts w:ascii="宋体" w:hAnsi="宋体"/>
          <w:color w:val="auto"/>
          <w:sz w:val="24"/>
        </w:rPr>
        <w:t>投标保证金人民币</w:t>
      </w:r>
      <w:r>
        <w:rPr>
          <w:rFonts w:ascii="宋体" w:hAnsi="宋体"/>
          <w:color w:val="auto"/>
          <w:sz w:val="24"/>
          <w:u w:val="single"/>
        </w:rPr>
        <w:t xml:space="preserve">（大写）  </w:t>
      </w:r>
      <w:r>
        <w:rPr>
          <w:rFonts w:hint="eastAsia" w:ascii="宋体" w:hAnsi="宋体"/>
          <w:color w:val="auto"/>
          <w:sz w:val="24"/>
          <w:u w:val="single"/>
        </w:rPr>
        <w:t xml:space="preserve">  </w:t>
      </w:r>
      <w:r>
        <w:rPr>
          <w:rFonts w:ascii="宋体" w:hAnsi="宋体"/>
          <w:color w:val="auto"/>
          <w:sz w:val="24"/>
          <w:u w:val="single"/>
        </w:rPr>
        <w:t xml:space="preserve">  </w:t>
      </w:r>
      <w:r>
        <w:rPr>
          <w:rFonts w:ascii="宋体" w:hAnsi="宋体"/>
          <w:color w:val="auto"/>
          <w:sz w:val="24"/>
        </w:rPr>
        <w:t>元</w:t>
      </w:r>
      <w:r>
        <w:rPr>
          <w:rFonts w:hint="eastAsia" w:ascii="宋体" w:hAnsi="宋体"/>
          <w:color w:val="auto"/>
          <w:sz w:val="24"/>
        </w:rPr>
        <w:t>、（小写）</w:t>
      </w:r>
      <w:r>
        <w:rPr>
          <w:rFonts w:hint="eastAsia" w:ascii="宋体" w:hAnsi="宋体"/>
          <w:color w:val="auto"/>
          <w:sz w:val="24"/>
          <w:u w:val="single"/>
        </w:rPr>
        <w:t xml:space="preserve">¥      </w:t>
      </w:r>
      <w:r>
        <w:rPr>
          <w:rFonts w:ascii="宋体" w:hAnsi="宋体"/>
          <w:color w:val="auto"/>
          <w:sz w:val="24"/>
        </w:rPr>
        <w:t>。</w:t>
      </w:r>
    </w:p>
    <w:p>
      <w:pPr>
        <w:spacing w:line="360" w:lineRule="auto"/>
        <w:ind w:firstLine="480" w:firstLineChars="200"/>
        <w:rPr>
          <w:rFonts w:ascii="宋体" w:hAnsi="宋体"/>
          <w:color w:val="auto"/>
          <w:sz w:val="24"/>
        </w:rPr>
      </w:pPr>
      <w:r>
        <w:rPr>
          <w:rFonts w:ascii="宋体" w:hAnsi="宋体"/>
          <w:color w:val="auto"/>
          <w:sz w:val="24"/>
        </w:rPr>
        <w:t>投标人名称：</w:t>
      </w:r>
      <w:r>
        <w:rPr>
          <w:rFonts w:ascii="宋体" w:hAnsi="宋体"/>
          <w:color w:val="auto"/>
          <w:sz w:val="24"/>
          <w:u w:val="single"/>
        </w:rPr>
        <w:t xml:space="preserve">                     </w:t>
      </w:r>
    </w:p>
    <w:p>
      <w:pPr>
        <w:spacing w:line="360" w:lineRule="auto"/>
        <w:ind w:firstLine="480" w:firstLineChars="200"/>
        <w:rPr>
          <w:rFonts w:ascii="宋体" w:hAnsi="宋体"/>
          <w:color w:val="auto"/>
          <w:sz w:val="24"/>
        </w:rPr>
      </w:pPr>
      <w:r>
        <w:rPr>
          <w:rFonts w:ascii="宋体" w:hAnsi="宋体"/>
          <w:color w:val="auto"/>
          <w:sz w:val="24"/>
        </w:rPr>
        <w:t>投标人开户银行：</w:t>
      </w:r>
      <w:r>
        <w:rPr>
          <w:rFonts w:ascii="宋体" w:hAnsi="宋体"/>
          <w:color w:val="auto"/>
          <w:sz w:val="24"/>
          <w:u w:val="single"/>
        </w:rPr>
        <w:t xml:space="preserve">                 </w:t>
      </w:r>
    </w:p>
    <w:p>
      <w:pPr>
        <w:spacing w:line="360" w:lineRule="auto"/>
        <w:ind w:firstLine="480" w:firstLineChars="200"/>
        <w:rPr>
          <w:rFonts w:ascii="宋体" w:hAnsi="宋体"/>
          <w:color w:val="auto"/>
          <w:sz w:val="24"/>
          <w:u w:val="single"/>
        </w:rPr>
      </w:pPr>
      <w:r>
        <w:rPr>
          <w:rFonts w:ascii="宋体" w:hAnsi="宋体"/>
          <w:color w:val="auto"/>
          <w:sz w:val="24"/>
        </w:rPr>
        <w:t>投标人银行帐号：</w:t>
      </w:r>
      <w:r>
        <w:rPr>
          <w:rFonts w:ascii="宋体" w:hAnsi="宋体"/>
          <w:color w:val="auto"/>
          <w:sz w:val="24"/>
          <w:u w:val="single"/>
        </w:rPr>
        <w:t xml:space="preserve">                 </w:t>
      </w:r>
    </w:p>
    <w:p>
      <w:pPr>
        <w:spacing w:line="360" w:lineRule="auto"/>
        <w:ind w:left="960" w:hanging="960" w:hangingChars="400"/>
        <w:rPr>
          <w:rFonts w:ascii="宋体" w:hAnsi="宋体"/>
          <w:color w:val="auto"/>
          <w:sz w:val="24"/>
        </w:rPr>
      </w:pPr>
      <w:r>
        <w:rPr>
          <w:rFonts w:ascii="宋体" w:hAnsi="宋体"/>
          <w:color w:val="auto"/>
          <w:sz w:val="24"/>
        </w:rPr>
        <w:t>说明：1.上述要素供银行转账及银行汇款方式填写，其他形式可不填。其他方式以现场递交为依据。</w:t>
      </w:r>
    </w:p>
    <w:p>
      <w:pPr>
        <w:spacing w:line="360" w:lineRule="auto"/>
        <w:ind w:left="870" w:leftChars="300" w:hanging="240" w:hangingChars="100"/>
        <w:rPr>
          <w:rFonts w:ascii="宋体" w:hAnsi="宋体"/>
          <w:color w:val="auto"/>
          <w:sz w:val="24"/>
        </w:rPr>
      </w:pPr>
      <w:r>
        <w:rPr>
          <w:rFonts w:ascii="宋体" w:hAnsi="宋体"/>
          <w:color w:val="auto"/>
          <w:sz w:val="24"/>
        </w:rPr>
        <w:t>2.上述要素的填写必须与银行转账或银行汇款凭证的要素一致，</w:t>
      </w:r>
      <w:r>
        <w:rPr>
          <w:rFonts w:hint="eastAsia" w:ascii="宋体" w:hAnsi="宋体"/>
          <w:color w:val="auto"/>
          <w:sz w:val="24"/>
        </w:rPr>
        <w:t>收款机构</w:t>
      </w:r>
      <w:r>
        <w:rPr>
          <w:rFonts w:ascii="宋体" w:hAnsi="宋体"/>
          <w:color w:val="auto"/>
          <w:sz w:val="24"/>
        </w:rPr>
        <w:t>依据此凭证信息退还投标保证金。</w:t>
      </w:r>
    </w:p>
    <w:p>
      <w:pPr>
        <w:spacing w:line="360" w:lineRule="auto"/>
        <w:rPr>
          <w:rFonts w:ascii="宋体" w:hAnsi="宋体"/>
          <w:color w:val="auto"/>
          <w:sz w:val="24"/>
        </w:rPr>
      </w:pP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投标人名称（加盖公章）：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投标人法定代表人或授权代表（签字或盖章）：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日期：</w:t>
      </w:r>
      <w:r>
        <w:rPr>
          <w:rFonts w:hint="eastAsia" w:ascii="宋体" w:hAnsi="宋体"/>
          <w:color w:val="auto"/>
          <w:sz w:val="24"/>
          <w:szCs w:val="24"/>
          <w:u w:val="single"/>
        </w:rPr>
        <w:t xml:space="preserve">        </w:t>
      </w:r>
      <w:r>
        <w:rPr>
          <w:rFonts w:hint="eastAsia" w:ascii="宋体" w:hAnsi="宋体"/>
          <w:color w:val="auto"/>
          <w:sz w:val="24"/>
          <w:szCs w:val="24"/>
        </w:rPr>
        <w:t>年</w:t>
      </w:r>
      <w:r>
        <w:rPr>
          <w:rFonts w:hint="eastAsia" w:ascii="宋体" w:hAnsi="宋体"/>
          <w:color w:val="auto"/>
          <w:sz w:val="24"/>
          <w:szCs w:val="24"/>
          <w:u w:val="single"/>
        </w:rPr>
        <w:t xml:space="preserve">    </w:t>
      </w:r>
      <w:r>
        <w:rPr>
          <w:rFonts w:hint="eastAsia" w:ascii="宋体" w:hAnsi="宋体"/>
          <w:color w:val="auto"/>
          <w:sz w:val="24"/>
          <w:szCs w:val="24"/>
        </w:rPr>
        <w:t>月</w:t>
      </w:r>
      <w:r>
        <w:rPr>
          <w:rFonts w:hint="eastAsia" w:ascii="宋体" w:hAnsi="宋体"/>
          <w:color w:val="auto"/>
          <w:sz w:val="24"/>
          <w:szCs w:val="24"/>
          <w:u w:val="single"/>
        </w:rPr>
        <w:t xml:space="preserve">    </w:t>
      </w:r>
      <w:r>
        <w:rPr>
          <w:rFonts w:hint="eastAsia" w:ascii="宋体" w:hAnsi="宋体"/>
          <w:color w:val="auto"/>
          <w:sz w:val="24"/>
          <w:szCs w:val="24"/>
        </w:rPr>
        <w:t>日</w:t>
      </w:r>
    </w:p>
    <w:p>
      <w:pPr>
        <w:spacing w:line="300" w:lineRule="auto"/>
        <w:rPr>
          <w:rFonts w:ascii="宋体" w:hAnsi="宋体"/>
          <w:color w:val="auto"/>
          <w:sz w:val="24"/>
          <w:szCs w:val="24"/>
        </w:rPr>
      </w:pPr>
      <w:r>
        <w:rPr>
          <w:rFonts w:ascii="宋体" w:hAnsi="宋体"/>
          <w:color w:val="auto"/>
          <w:sz w:val="24"/>
          <w:szCs w:val="24"/>
        </w:rPr>
        <w:t>附：</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9180" w:type="dxa"/>
            <w:vAlign w:val="center"/>
          </w:tcPr>
          <w:p>
            <w:pPr>
              <w:spacing w:line="360" w:lineRule="auto"/>
              <w:jc w:val="center"/>
              <w:rPr>
                <w:rFonts w:ascii="宋体" w:hAnsi="宋体"/>
                <w:color w:val="auto"/>
                <w:sz w:val="24"/>
              </w:rPr>
            </w:pPr>
            <w:r>
              <w:rPr>
                <w:rFonts w:ascii="宋体" w:hAnsi="宋体"/>
                <w:color w:val="auto"/>
                <w:sz w:val="24"/>
              </w:rPr>
              <w:t>粘贴交纳投标保证金有效凭证的复印件（加盖公章）</w:t>
            </w:r>
          </w:p>
        </w:tc>
      </w:tr>
    </w:tbl>
    <w:p>
      <w:pPr>
        <w:spacing w:line="360" w:lineRule="auto"/>
        <w:rPr>
          <w:rFonts w:ascii="宋体" w:hAnsi="宋体"/>
          <w:b/>
          <w:color w:val="auto"/>
          <w:sz w:val="24"/>
        </w:rPr>
      </w:pPr>
      <w:r>
        <w:rPr>
          <w:rFonts w:hint="eastAsia" w:ascii="宋体" w:hAnsi="宋体"/>
          <w:b/>
          <w:color w:val="auto"/>
          <w:sz w:val="24"/>
        </w:rPr>
        <w:t>备注</w:t>
      </w:r>
      <w:r>
        <w:rPr>
          <w:rFonts w:ascii="宋体" w:hAnsi="宋体"/>
          <w:b/>
          <w:color w:val="auto"/>
          <w:sz w:val="24"/>
        </w:rPr>
        <w:t>：</w:t>
      </w:r>
    </w:p>
    <w:p>
      <w:pPr>
        <w:ind w:firstLine="480" w:firstLineChars="200"/>
        <w:rPr>
          <w:rFonts w:ascii="宋体" w:hAnsi="宋体"/>
          <w:color w:val="auto"/>
          <w:sz w:val="24"/>
        </w:rPr>
      </w:pPr>
      <w:r>
        <w:rPr>
          <w:rFonts w:ascii="宋体" w:hAnsi="宋体"/>
          <w:color w:val="auto"/>
          <w:sz w:val="24"/>
        </w:rPr>
        <w:t>1.投标人投标时，应当按招标文件要求交纳投标保证金。</w:t>
      </w:r>
    </w:p>
    <w:p>
      <w:pPr>
        <w:ind w:firstLine="480" w:firstLineChars="200"/>
        <w:rPr>
          <w:rFonts w:ascii="宋体" w:hAnsi="宋体"/>
          <w:color w:val="auto"/>
          <w:sz w:val="24"/>
        </w:rPr>
      </w:pPr>
      <w:r>
        <w:rPr>
          <w:rFonts w:ascii="宋体" w:hAnsi="宋体"/>
          <w:color w:val="auto"/>
          <w:sz w:val="24"/>
        </w:rPr>
        <w:t>2.</w:t>
      </w:r>
      <w:r>
        <w:rPr>
          <w:rFonts w:hint="eastAsia" w:ascii="宋体" w:hAnsi="宋体"/>
          <w:color w:val="auto"/>
          <w:sz w:val="24"/>
        </w:rPr>
        <w:t>采用银行转账方式的，这里附上银行回单复印件。采用支票、汇票、本票方式，或采用</w:t>
      </w:r>
      <w:r>
        <w:rPr>
          <w:rFonts w:hint="eastAsia" w:ascii="宋体" w:hAnsi="宋体"/>
          <w:bCs/>
          <w:color w:val="auto"/>
          <w:sz w:val="24"/>
        </w:rPr>
        <w:t>投标保函或担保函或保证保险函</w:t>
      </w:r>
      <w:r>
        <w:rPr>
          <w:rFonts w:hint="eastAsia" w:ascii="宋体" w:hAnsi="宋体"/>
          <w:color w:val="auto"/>
          <w:sz w:val="24"/>
        </w:rPr>
        <w:t>方式的，凭证原件须放入《开标信封》中与投标文件一同递交，这里附上相应的票据复印件。</w:t>
      </w:r>
    </w:p>
    <w:p>
      <w:pPr>
        <w:spacing w:line="360" w:lineRule="auto"/>
        <w:rPr>
          <w:rFonts w:ascii="宋体" w:hAnsi="宋体"/>
          <w:b/>
          <w:color w:val="auto"/>
          <w:sz w:val="24"/>
        </w:rPr>
      </w:pPr>
      <w:r>
        <w:rPr>
          <w:rFonts w:hint="eastAsia" w:ascii="宋体" w:hAnsi="宋体"/>
          <w:color w:val="auto"/>
          <w:szCs w:val="21"/>
        </w:rPr>
        <w:br w:type="page"/>
      </w:r>
      <w:r>
        <w:rPr>
          <w:rFonts w:hint="eastAsia" w:ascii="宋体" w:hAnsi="宋体"/>
          <w:b/>
          <w:color w:val="auto"/>
          <w:sz w:val="24"/>
        </w:rPr>
        <w:t>（2）以金融机构出具的银行保函等非现金形式提交投标保证金</w:t>
      </w:r>
    </w:p>
    <w:p>
      <w:pPr>
        <w:spacing w:line="360" w:lineRule="auto"/>
        <w:rPr>
          <w:rFonts w:ascii="宋体" w:hAnsi="宋体"/>
          <w:color w:val="auto"/>
          <w:sz w:val="24"/>
          <w:szCs w:val="24"/>
        </w:rPr>
      </w:pPr>
    </w:p>
    <w:p>
      <w:pPr>
        <w:spacing w:line="360" w:lineRule="auto"/>
        <w:jc w:val="center"/>
        <w:rPr>
          <w:rFonts w:ascii="宋体" w:hAnsi="宋体"/>
          <w:b/>
          <w:color w:val="auto"/>
          <w:sz w:val="32"/>
          <w:szCs w:val="32"/>
        </w:rPr>
      </w:pPr>
      <w:r>
        <w:rPr>
          <w:rFonts w:hint="eastAsia" w:ascii="宋体" w:hAnsi="宋体"/>
          <w:b/>
          <w:color w:val="auto"/>
          <w:sz w:val="32"/>
          <w:szCs w:val="32"/>
        </w:rPr>
        <w:t>银行保函（可选）</w:t>
      </w:r>
    </w:p>
    <w:p>
      <w:pPr>
        <w:spacing w:line="360" w:lineRule="auto"/>
        <w:jc w:val="center"/>
        <w:rPr>
          <w:rFonts w:ascii="宋体" w:hAnsi="宋体"/>
          <w:color w:val="auto"/>
          <w:sz w:val="24"/>
          <w:szCs w:val="24"/>
        </w:rPr>
      </w:pPr>
      <w:r>
        <w:rPr>
          <w:rFonts w:hint="eastAsia" w:ascii="宋体" w:hAnsi="宋体"/>
          <w:color w:val="auto"/>
          <w:sz w:val="24"/>
          <w:szCs w:val="24"/>
        </w:rPr>
        <w:t>（可按照金融机构格式提供，但保证金额、主要权利和义务不得偏离）</w:t>
      </w:r>
    </w:p>
    <w:p>
      <w:pPr>
        <w:spacing w:line="360" w:lineRule="auto"/>
        <w:rPr>
          <w:rFonts w:ascii="宋体" w:hAnsi="宋体"/>
          <w:color w:val="auto"/>
          <w:sz w:val="24"/>
          <w:szCs w:val="24"/>
        </w:rPr>
      </w:pPr>
    </w:p>
    <w:p>
      <w:pPr>
        <w:spacing w:line="360" w:lineRule="auto"/>
        <w:rPr>
          <w:rFonts w:ascii="宋体" w:hAnsi="宋体"/>
          <w:color w:val="auto"/>
          <w:sz w:val="24"/>
          <w:szCs w:val="24"/>
        </w:rPr>
      </w:pPr>
      <w:r>
        <w:rPr>
          <w:rFonts w:hint="eastAsia" w:ascii="宋体" w:hAnsi="宋体"/>
          <w:color w:val="auto"/>
          <w:sz w:val="24"/>
          <w:szCs w:val="24"/>
        </w:rPr>
        <w:t>开具日期：        年    月    日</w:t>
      </w:r>
    </w:p>
    <w:p>
      <w:pPr>
        <w:spacing w:line="360" w:lineRule="auto"/>
        <w:jc w:val="right"/>
        <w:rPr>
          <w:rFonts w:ascii="宋体" w:hAnsi="宋体"/>
          <w:color w:val="auto"/>
          <w:sz w:val="24"/>
          <w:szCs w:val="24"/>
        </w:rPr>
      </w:pPr>
      <w:r>
        <w:rPr>
          <w:rFonts w:hint="eastAsia" w:ascii="宋体" w:hAnsi="宋体"/>
          <w:color w:val="auto"/>
          <w:sz w:val="24"/>
          <w:szCs w:val="24"/>
        </w:rPr>
        <w:t>不可撤销保函第</w:t>
      </w:r>
      <w:r>
        <w:rPr>
          <w:rFonts w:hint="eastAsia" w:ascii="宋体" w:hAnsi="宋体"/>
          <w:color w:val="auto"/>
          <w:sz w:val="24"/>
          <w:szCs w:val="24"/>
          <w:u w:val="single"/>
        </w:rPr>
        <w:t xml:space="preserve">            </w:t>
      </w:r>
      <w:r>
        <w:rPr>
          <w:rFonts w:hint="eastAsia" w:ascii="宋体" w:hAnsi="宋体"/>
          <w:color w:val="auto"/>
          <w:sz w:val="24"/>
          <w:szCs w:val="24"/>
        </w:rPr>
        <w:t>号</w:t>
      </w:r>
    </w:p>
    <w:p>
      <w:pPr>
        <w:spacing w:line="360" w:lineRule="auto"/>
        <w:rPr>
          <w:rFonts w:ascii="宋体" w:hAnsi="宋体" w:cs="Tahoma"/>
          <w:b/>
          <w:color w:val="auto"/>
          <w:sz w:val="24"/>
          <w:szCs w:val="24"/>
        </w:rPr>
      </w:pPr>
      <w:r>
        <w:rPr>
          <w:rFonts w:hint="eastAsia" w:ascii="宋体" w:hAnsi="宋体" w:cs="Tahoma"/>
          <w:color w:val="auto"/>
          <w:sz w:val="24"/>
          <w:szCs w:val="24"/>
        </w:rPr>
        <w:t>致：（采购人）</w:t>
      </w:r>
    </w:p>
    <w:p>
      <w:pPr>
        <w:spacing w:line="360" w:lineRule="auto"/>
        <w:ind w:firstLine="480" w:firstLineChars="200"/>
        <w:rPr>
          <w:rFonts w:ascii="宋体" w:hAnsi="宋体"/>
          <w:color w:val="auto"/>
          <w:sz w:val="24"/>
          <w:szCs w:val="24"/>
        </w:rPr>
      </w:pPr>
      <w:r>
        <w:rPr>
          <w:rFonts w:hint="eastAsia" w:ascii="宋体" w:hAnsi="宋体"/>
          <w:color w:val="auto"/>
          <w:sz w:val="24"/>
          <w:szCs w:val="24"/>
        </w:rPr>
        <w:t>本保函作为</w:t>
      </w:r>
      <w:r>
        <w:rPr>
          <w:rFonts w:hint="eastAsia" w:ascii="宋体" w:hAnsi="宋体"/>
          <w:i/>
          <w:color w:val="auto"/>
          <w:sz w:val="24"/>
          <w:szCs w:val="24"/>
          <w:u w:val="single"/>
        </w:rPr>
        <w:t>(投标人名称)</w:t>
      </w:r>
      <w:r>
        <w:rPr>
          <w:rFonts w:hint="eastAsia" w:ascii="宋体" w:hAnsi="宋体"/>
          <w:color w:val="auto"/>
          <w:sz w:val="24"/>
          <w:szCs w:val="24"/>
        </w:rPr>
        <w:t>（以下简称投标人)响应采购文件编号</w:t>
      </w:r>
      <w:r>
        <w:rPr>
          <w:rFonts w:hint="eastAsia" w:ascii="宋体" w:hAnsi="宋体"/>
          <w:color w:val="auto"/>
          <w:sz w:val="24"/>
          <w:szCs w:val="24"/>
          <w:u w:val="single"/>
          <w:lang w:eastAsia="zh-CN"/>
        </w:rPr>
        <w:t>0809-2241GZG14036</w:t>
      </w:r>
      <w:r>
        <w:rPr>
          <w:rFonts w:hint="eastAsia" w:ascii="宋体" w:hAnsi="宋体"/>
          <w:color w:val="auto"/>
          <w:sz w:val="24"/>
          <w:szCs w:val="24"/>
        </w:rPr>
        <w:t>的</w:t>
      </w:r>
      <w:r>
        <w:rPr>
          <w:rFonts w:hint="eastAsia" w:ascii="宋体" w:hAnsi="宋体"/>
          <w:color w:val="auto"/>
          <w:sz w:val="24"/>
          <w:szCs w:val="24"/>
          <w:u w:val="single"/>
          <w:lang w:eastAsia="zh-CN"/>
        </w:rPr>
        <w:t>工业和信息化部电子第五研究所动力电池配套使用环境试验箱采购项目</w:t>
      </w:r>
      <w:r>
        <w:rPr>
          <w:rFonts w:hint="eastAsia" w:ascii="宋体" w:hAnsi="宋体"/>
          <w:color w:val="auto"/>
          <w:sz w:val="24"/>
          <w:szCs w:val="24"/>
        </w:rPr>
        <w:t>采购项目的投标邀请提供的投标保证金，</w:t>
      </w:r>
      <w:r>
        <w:rPr>
          <w:rFonts w:hint="eastAsia" w:ascii="宋体" w:hAnsi="宋体"/>
          <w:color w:val="auto"/>
          <w:sz w:val="24"/>
          <w:szCs w:val="24"/>
          <w:u w:val="single"/>
        </w:rPr>
        <w:t>（</w:t>
      </w:r>
      <w:r>
        <w:rPr>
          <w:rFonts w:hint="eastAsia" w:ascii="宋体" w:hAnsi="宋体"/>
          <w:i/>
          <w:color w:val="auto"/>
          <w:sz w:val="24"/>
          <w:szCs w:val="24"/>
          <w:u w:val="single"/>
        </w:rPr>
        <w:t>开具银行名称</w:t>
      </w:r>
      <w:r>
        <w:rPr>
          <w:rFonts w:hint="eastAsia" w:ascii="宋体" w:hAnsi="宋体"/>
          <w:color w:val="auto"/>
          <w:sz w:val="24"/>
          <w:szCs w:val="24"/>
          <w:u w:val="single"/>
        </w:rPr>
        <w:t>）</w:t>
      </w:r>
      <w:r>
        <w:rPr>
          <w:rFonts w:hint="eastAsia" w:ascii="宋体" w:hAnsi="宋体"/>
          <w:color w:val="auto"/>
          <w:sz w:val="24"/>
          <w:szCs w:val="24"/>
        </w:rPr>
        <w:t>在此无条件及不可撤销地具结保证并承诺，本行或其后继者或受让人一旦收到贵方提出的下述任何一种情况的书面通知（贵方不需要说明理由，不需要提供证明），立即无条件地向贵方支付人民币（大写）</w:t>
      </w:r>
      <w:r>
        <w:rPr>
          <w:rFonts w:hint="eastAsia" w:ascii="宋体" w:hAnsi="宋体"/>
          <w:i/>
          <w:color w:val="auto"/>
          <w:sz w:val="24"/>
          <w:szCs w:val="24"/>
          <w:u w:val="single"/>
        </w:rPr>
        <w:t>（投标保证金金额）</w:t>
      </w:r>
      <w:r>
        <w:rPr>
          <w:rFonts w:hint="eastAsia" w:ascii="宋体" w:hAnsi="宋体"/>
          <w:color w:val="auto"/>
          <w:sz w:val="24"/>
          <w:szCs w:val="24"/>
        </w:rPr>
        <w:t>元整，（小写）¥</w:t>
      </w:r>
      <w:r>
        <w:rPr>
          <w:rFonts w:hint="eastAsia" w:ascii="宋体" w:hAnsi="宋体"/>
          <w:i/>
          <w:color w:val="auto"/>
          <w:sz w:val="24"/>
          <w:szCs w:val="24"/>
          <w:u w:val="single"/>
        </w:rPr>
        <w:t>（投标保证金金额）</w:t>
      </w:r>
      <w:r>
        <w:rPr>
          <w:rFonts w:hint="eastAsia" w:ascii="宋体" w:hAnsi="宋体"/>
          <w:color w:val="auto"/>
          <w:sz w:val="24"/>
          <w:szCs w:val="24"/>
        </w:rPr>
        <w:t>：</w:t>
      </w:r>
    </w:p>
    <w:p>
      <w:pPr>
        <w:spacing w:line="360" w:lineRule="auto"/>
        <w:ind w:firstLine="480" w:firstLineChars="200"/>
        <w:rPr>
          <w:rFonts w:ascii="宋体" w:hAnsi="宋体"/>
          <w:color w:val="auto"/>
          <w:sz w:val="24"/>
          <w:szCs w:val="24"/>
        </w:rPr>
      </w:pPr>
      <w:r>
        <w:rPr>
          <w:rFonts w:hint="eastAsia" w:ascii="宋体" w:hAnsi="宋体"/>
          <w:color w:val="auto"/>
          <w:sz w:val="24"/>
          <w:szCs w:val="24"/>
        </w:rPr>
        <w:t>1.从开标之日起到投标有效期满前，投标供应商撤回投标；</w:t>
      </w:r>
    </w:p>
    <w:p>
      <w:pPr>
        <w:spacing w:line="360" w:lineRule="auto"/>
        <w:ind w:firstLine="480" w:firstLineChars="200"/>
        <w:rPr>
          <w:rFonts w:ascii="宋体" w:hAnsi="宋体"/>
          <w:color w:val="auto"/>
          <w:sz w:val="24"/>
          <w:szCs w:val="24"/>
        </w:rPr>
      </w:pPr>
      <w:r>
        <w:rPr>
          <w:rFonts w:hint="eastAsia" w:ascii="宋体" w:hAnsi="宋体"/>
          <w:color w:val="auto"/>
          <w:sz w:val="24"/>
          <w:szCs w:val="24"/>
        </w:rPr>
        <w:t>2.投标人未能按中标通知书的要求与采购人签订合同；</w:t>
      </w:r>
    </w:p>
    <w:p>
      <w:pPr>
        <w:spacing w:line="360" w:lineRule="auto"/>
        <w:ind w:firstLine="480" w:firstLineChars="200"/>
        <w:rPr>
          <w:rFonts w:ascii="宋体" w:hAnsi="宋体"/>
          <w:color w:val="auto"/>
          <w:sz w:val="24"/>
          <w:szCs w:val="24"/>
        </w:rPr>
      </w:pPr>
      <w:r>
        <w:rPr>
          <w:rFonts w:hint="eastAsia" w:ascii="宋体" w:hAnsi="宋体"/>
          <w:color w:val="auto"/>
          <w:sz w:val="24"/>
          <w:szCs w:val="24"/>
        </w:rPr>
        <w:t>3.中标人未能按《投标人须知》的要求在规定期限内提交履约保证金。</w:t>
      </w:r>
    </w:p>
    <w:p>
      <w:pPr>
        <w:spacing w:line="360" w:lineRule="auto"/>
        <w:ind w:firstLine="480" w:firstLineChars="200"/>
        <w:rPr>
          <w:rFonts w:ascii="宋体" w:hAnsi="宋体" w:cs="Tahoma"/>
          <w:color w:val="auto"/>
          <w:sz w:val="24"/>
          <w:szCs w:val="24"/>
        </w:rPr>
      </w:pPr>
      <w:r>
        <w:rPr>
          <w:rFonts w:hint="eastAsia" w:ascii="宋体" w:hAnsi="宋体"/>
          <w:color w:val="auto"/>
          <w:sz w:val="24"/>
          <w:szCs w:val="24"/>
        </w:rPr>
        <w:t>本保函自出具之日起至该投标有效期满后30天内持续有效，除非贵方提前终止或解除本保函。如果贵方和投标人同意需延长本保函有效期，只需在到期日前书面通知本行，本保函在任何延长的有效期内保持有效。本保函适用于中华人民共和国法律并按其进行解释。</w:t>
      </w:r>
    </w:p>
    <w:p>
      <w:pPr>
        <w:spacing w:line="360" w:lineRule="auto"/>
        <w:rPr>
          <w:rFonts w:ascii="宋体" w:hAnsi="宋体" w:cs="Tahoma"/>
          <w:color w:val="auto"/>
          <w:sz w:val="24"/>
          <w:szCs w:val="24"/>
        </w:rPr>
      </w:pPr>
    </w:p>
    <w:p>
      <w:pPr>
        <w:spacing w:line="360" w:lineRule="auto"/>
        <w:rPr>
          <w:rFonts w:ascii="宋体" w:hAnsi="宋体"/>
          <w:color w:val="auto"/>
          <w:sz w:val="24"/>
          <w:szCs w:val="24"/>
          <w:u w:val="single"/>
        </w:rPr>
      </w:pPr>
      <w:r>
        <w:rPr>
          <w:rFonts w:hint="eastAsia" w:ascii="宋体" w:hAnsi="宋体"/>
          <w:color w:val="auto"/>
          <w:sz w:val="24"/>
          <w:szCs w:val="24"/>
        </w:rPr>
        <w:t>银行名称（打印）(公章)：</w:t>
      </w:r>
      <w:r>
        <w:rPr>
          <w:rFonts w:hint="eastAsia" w:ascii="宋体" w:hAnsi="宋体"/>
          <w:color w:val="auto"/>
          <w:sz w:val="24"/>
          <w:szCs w:val="24"/>
          <w:u w:val="single"/>
        </w:rPr>
        <w:t xml:space="preserve">                                                  </w:t>
      </w:r>
    </w:p>
    <w:p>
      <w:pPr>
        <w:spacing w:line="360" w:lineRule="auto"/>
        <w:rPr>
          <w:rFonts w:ascii="宋体" w:hAnsi="宋体"/>
          <w:color w:val="auto"/>
          <w:sz w:val="24"/>
          <w:szCs w:val="24"/>
          <w:u w:val="single"/>
        </w:rPr>
      </w:pPr>
      <w:r>
        <w:rPr>
          <w:rFonts w:hint="eastAsia" w:ascii="宋体" w:hAnsi="宋体"/>
          <w:color w:val="auto"/>
          <w:sz w:val="24"/>
          <w:szCs w:val="24"/>
        </w:rPr>
        <w:t>银行地址：</w:t>
      </w:r>
      <w:r>
        <w:rPr>
          <w:rFonts w:hint="eastAsia" w:ascii="宋体" w:hAnsi="宋体"/>
          <w:color w:val="auto"/>
          <w:sz w:val="24"/>
          <w:szCs w:val="24"/>
          <w:u w:val="single"/>
        </w:rPr>
        <w:t xml:space="preserve">                                          </w:t>
      </w:r>
      <w:r>
        <w:rPr>
          <w:rFonts w:hint="eastAsia" w:ascii="宋体" w:hAnsi="宋体"/>
          <w:color w:val="auto"/>
          <w:sz w:val="24"/>
          <w:szCs w:val="24"/>
        </w:rPr>
        <w:t xml:space="preserve">  邮政编码：</w:t>
      </w:r>
      <w:r>
        <w:rPr>
          <w:rFonts w:hint="eastAsia" w:ascii="宋体" w:hAnsi="宋体"/>
          <w:color w:val="auto"/>
          <w:sz w:val="24"/>
          <w:szCs w:val="24"/>
          <w:u w:val="single"/>
        </w:rPr>
        <w:t xml:space="preserve">          </w:t>
      </w:r>
    </w:p>
    <w:p>
      <w:pPr>
        <w:spacing w:line="360" w:lineRule="auto"/>
        <w:rPr>
          <w:rFonts w:ascii="宋体" w:hAnsi="宋体"/>
          <w:color w:val="auto"/>
          <w:sz w:val="24"/>
          <w:szCs w:val="24"/>
        </w:rPr>
      </w:pPr>
      <w:r>
        <w:rPr>
          <w:rFonts w:hint="eastAsia" w:ascii="宋体" w:hAnsi="宋体"/>
          <w:color w:val="auto"/>
          <w:sz w:val="24"/>
          <w:szCs w:val="24"/>
        </w:rPr>
        <w:t>联系电话：</w:t>
      </w:r>
      <w:r>
        <w:rPr>
          <w:rFonts w:hint="eastAsia" w:ascii="宋体" w:hAnsi="宋体"/>
          <w:color w:val="auto"/>
          <w:sz w:val="24"/>
          <w:szCs w:val="24"/>
          <w:u w:val="single"/>
        </w:rPr>
        <w:t xml:space="preserve">                                          </w:t>
      </w:r>
      <w:r>
        <w:rPr>
          <w:rFonts w:hint="eastAsia" w:ascii="宋体" w:hAnsi="宋体"/>
          <w:color w:val="auto"/>
          <w:sz w:val="24"/>
          <w:szCs w:val="24"/>
        </w:rPr>
        <w:t xml:space="preserve">  传真号码：</w:t>
      </w:r>
      <w:r>
        <w:rPr>
          <w:rFonts w:hint="eastAsia" w:ascii="宋体" w:hAnsi="宋体"/>
          <w:color w:val="auto"/>
          <w:sz w:val="24"/>
          <w:szCs w:val="24"/>
          <w:u w:val="single"/>
        </w:rPr>
        <w:t xml:space="preserve">          </w:t>
      </w:r>
    </w:p>
    <w:p>
      <w:pPr>
        <w:spacing w:line="360" w:lineRule="auto"/>
        <w:rPr>
          <w:rFonts w:ascii="宋体" w:hAnsi="宋体"/>
          <w:color w:val="auto"/>
          <w:sz w:val="24"/>
          <w:szCs w:val="24"/>
        </w:rPr>
      </w:pPr>
      <w:r>
        <w:rPr>
          <w:rFonts w:hint="eastAsia" w:ascii="宋体" w:hAnsi="宋体"/>
          <w:color w:val="auto"/>
          <w:sz w:val="24"/>
          <w:szCs w:val="24"/>
        </w:rPr>
        <w:t>法定代表人或其授权的代理人亲笔签字：</w:t>
      </w:r>
      <w:r>
        <w:rPr>
          <w:rFonts w:hint="eastAsia" w:ascii="宋体" w:hAnsi="宋体"/>
          <w:color w:val="auto"/>
          <w:sz w:val="24"/>
          <w:szCs w:val="24"/>
          <w:u w:val="single"/>
        </w:rPr>
        <w:t xml:space="preserve">                                      </w:t>
      </w:r>
    </w:p>
    <w:p>
      <w:pPr>
        <w:spacing w:line="360" w:lineRule="auto"/>
        <w:rPr>
          <w:rFonts w:ascii="宋体" w:hAnsi="宋体"/>
          <w:color w:val="auto"/>
          <w:sz w:val="24"/>
          <w:szCs w:val="24"/>
        </w:rPr>
      </w:pPr>
      <w:r>
        <w:rPr>
          <w:rFonts w:hint="eastAsia" w:ascii="宋体" w:hAnsi="宋体"/>
          <w:color w:val="auto"/>
          <w:sz w:val="24"/>
          <w:szCs w:val="24"/>
        </w:rPr>
        <w:t>法定代表人或其授权的代理人姓名和职务（打印）：</w:t>
      </w:r>
      <w:r>
        <w:rPr>
          <w:rFonts w:hint="eastAsia" w:ascii="宋体" w:hAnsi="宋体"/>
          <w:i/>
          <w:color w:val="auto"/>
          <w:sz w:val="24"/>
          <w:szCs w:val="24"/>
          <w:u w:val="single"/>
        </w:rPr>
        <w:t>（姓名）</w:t>
      </w:r>
      <w:r>
        <w:rPr>
          <w:rFonts w:hint="eastAsia" w:ascii="宋体" w:hAnsi="宋体"/>
          <w:color w:val="auto"/>
          <w:sz w:val="24"/>
          <w:szCs w:val="24"/>
        </w:rPr>
        <w:t xml:space="preserve">  职    务：</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日期：</w:t>
      </w:r>
      <w:r>
        <w:rPr>
          <w:rFonts w:hint="eastAsia" w:ascii="宋体" w:hAnsi="宋体"/>
          <w:color w:val="auto"/>
          <w:sz w:val="24"/>
          <w:szCs w:val="24"/>
          <w:u w:val="single"/>
        </w:rPr>
        <w:t xml:space="preserve">        </w:t>
      </w:r>
      <w:r>
        <w:rPr>
          <w:rFonts w:hint="eastAsia" w:ascii="宋体" w:hAnsi="宋体"/>
          <w:color w:val="auto"/>
          <w:sz w:val="24"/>
          <w:szCs w:val="24"/>
        </w:rPr>
        <w:t>年</w:t>
      </w:r>
      <w:r>
        <w:rPr>
          <w:rFonts w:hint="eastAsia" w:ascii="宋体" w:hAnsi="宋体"/>
          <w:color w:val="auto"/>
          <w:sz w:val="24"/>
          <w:szCs w:val="24"/>
          <w:u w:val="single"/>
        </w:rPr>
        <w:t xml:space="preserve">    </w:t>
      </w:r>
      <w:r>
        <w:rPr>
          <w:rFonts w:hint="eastAsia" w:ascii="宋体" w:hAnsi="宋体"/>
          <w:color w:val="auto"/>
          <w:sz w:val="24"/>
          <w:szCs w:val="24"/>
        </w:rPr>
        <w:t>月</w:t>
      </w:r>
      <w:r>
        <w:rPr>
          <w:rFonts w:hint="eastAsia" w:ascii="宋体" w:hAnsi="宋体"/>
          <w:color w:val="auto"/>
          <w:sz w:val="24"/>
          <w:szCs w:val="24"/>
          <w:u w:val="single"/>
        </w:rPr>
        <w:t xml:space="preserve">    </w:t>
      </w:r>
      <w:r>
        <w:rPr>
          <w:rFonts w:hint="eastAsia" w:ascii="宋体" w:hAnsi="宋体"/>
          <w:color w:val="auto"/>
          <w:sz w:val="24"/>
          <w:szCs w:val="24"/>
        </w:rPr>
        <w:t>日</w:t>
      </w:r>
    </w:p>
    <w:p>
      <w:pPr>
        <w:spacing w:line="360" w:lineRule="auto"/>
        <w:rPr>
          <w:rFonts w:ascii="宋体" w:hAnsi="宋体"/>
          <w:b/>
          <w:color w:val="auto"/>
          <w:sz w:val="24"/>
        </w:rPr>
      </w:pPr>
      <w:r>
        <w:rPr>
          <w:rFonts w:ascii="宋体" w:hAnsi="宋体" w:cs="Tahoma"/>
          <w:b/>
          <w:bCs/>
          <w:color w:val="auto"/>
          <w:sz w:val="24"/>
          <w:szCs w:val="24"/>
        </w:rPr>
        <w:br w:type="page"/>
      </w:r>
      <w:r>
        <w:rPr>
          <w:rFonts w:hint="eastAsia" w:ascii="宋体" w:hAnsi="宋体"/>
          <w:b/>
          <w:color w:val="auto"/>
          <w:sz w:val="24"/>
        </w:rPr>
        <w:t>（3）以担保机构出具的担保函等非现金形式提交投标保证金（参考）</w:t>
      </w:r>
    </w:p>
    <w:p>
      <w:pPr>
        <w:spacing w:line="360" w:lineRule="auto"/>
        <w:jc w:val="center"/>
        <w:rPr>
          <w:b/>
          <w:bCs/>
          <w:color w:val="auto"/>
          <w:sz w:val="32"/>
          <w:szCs w:val="32"/>
        </w:rPr>
      </w:pPr>
      <w:r>
        <w:rPr>
          <w:b/>
          <w:bCs/>
          <w:color w:val="auto"/>
          <w:sz w:val="32"/>
          <w:szCs w:val="32"/>
        </w:rPr>
        <w:t>投标担保函</w:t>
      </w:r>
    </w:p>
    <w:p>
      <w:pPr>
        <w:rPr>
          <w:rFonts w:ascii="宋体" w:hAnsi="宋体" w:cs="Tahoma"/>
          <w:color w:val="auto"/>
          <w:sz w:val="24"/>
          <w:szCs w:val="24"/>
        </w:rPr>
      </w:pPr>
      <w:r>
        <w:rPr>
          <w:rFonts w:hint="eastAsia" w:ascii="宋体" w:hAnsi="宋体" w:cs="Tahoma"/>
          <w:color w:val="auto"/>
          <w:sz w:val="24"/>
          <w:szCs w:val="24"/>
        </w:rPr>
        <w:t>（采购人）</w:t>
      </w:r>
      <w:r>
        <w:rPr>
          <w:rFonts w:ascii="宋体" w:hAnsi="宋体" w:cs="Tahoma"/>
          <w:color w:val="auto"/>
          <w:sz w:val="24"/>
          <w:szCs w:val="24"/>
        </w:rPr>
        <w:t>：</w:t>
      </w:r>
    </w:p>
    <w:p>
      <w:pPr>
        <w:ind w:firstLine="480" w:firstLineChars="200"/>
        <w:rPr>
          <w:rFonts w:ascii="宋体" w:hAnsi="宋体"/>
          <w:color w:val="auto"/>
          <w:sz w:val="24"/>
          <w:szCs w:val="24"/>
        </w:rPr>
      </w:pPr>
      <w:r>
        <w:rPr>
          <w:rFonts w:ascii="宋体" w:hAnsi="宋体"/>
          <w:color w:val="auto"/>
          <w:sz w:val="24"/>
          <w:szCs w:val="24"/>
        </w:rPr>
        <w:t>鉴于</w:t>
      </w:r>
      <w:r>
        <w:rPr>
          <w:rFonts w:hint="eastAsia" w:ascii="宋体" w:hAnsi="宋体"/>
          <w:i/>
          <w:color w:val="auto"/>
          <w:sz w:val="24"/>
          <w:szCs w:val="24"/>
          <w:u w:val="single"/>
        </w:rPr>
        <w:t>（投标人名称）</w:t>
      </w:r>
      <w:r>
        <w:rPr>
          <w:rFonts w:ascii="宋体" w:hAnsi="宋体"/>
          <w:color w:val="auto"/>
          <w:sz w:val="24"/>
          <w:szCs w:val="24"/>
        </w:rPr>
        <w:t>（以下</w:t>
      </w:r>
      <w:r>
        <w:rPr>
          <w:rFonts w:ascii="宋体" w:hAnsi="宋体" w:cs="Tahoma"/>
          <w:color w:val="auto"/>
          <w:sz w:val="24"/>
          <w:szCs w:val="24"/>
        </w:rPr>
        <w:t>简称</w:t>
      </w:r>
      <w:r>
        <w:rPr>
          <w:rFonts w:ascii="宋体" w:hAnsi="宋体"/>
          <w:color w:val="auto"/>
          <w:sz w:val="24"/>
          <w:szCs w:val="24"/>
        </w:rPr>
        <w:t>“投标人”）拟参加编号为</w:t>
      </w:r>
      <w:r>
        <w:rPr>
          <w:rFonts w:hint="eastAsia" w:ascii="宋体" w:hAnsi="宋体"/>
          <w:color w:val="auto"/>
          <w:sz w:val="24"/>
          <w:szCs w:val="24"/>
          <w:u w:val="single"/>
          <w:lang w:eastAsia="zh-CN"/>
        </w:rPr>
        <w:t>0809-2241GZG14036</w:t>
      </w:r>
      <w:r>
        <w:rPr>
          <w:rFonts w:ascii="宋体" w:hAnsi="宋体"/>
          <w:color w:val="auto"/>
          <w:sz w:val="24"/>
          <w:szCs w:val="24"/>
        </w:rPr>
        <w:t>的</w:t>
      </w:r>
      <w:r>
        <w:rPr>
          <w:rFonts w:hint="eastAsia" w:ascii="宋体" w:hAnsi="宋体"/>
          <w:color w:val="auto"/>
          <w:sz w:val="24"/>
          <w:szCs w:val="24"/>
          <w:u w:val="single"/>
          <w:lang w:eastAsia="zh-CN"/>
        </w:rPr>
        <w:t>工业和信息化部电子第五研究所动力电池配套使用环境试验箱采购项目</w:t>
      </w:r>
      <w:r>
        <w:rPr>
          <w:rFonts w:ascii="宋体" w:hAnsi="宋体"/>
          <w:color w:val="auto"/>
          <w:sz w:val="24"/>
          <w:szCs w:val="24"/>
        </w:rPr>
        <w:t>项目（以下简称“本项目”）的投标，根据本项目招标文件，供应商参加投标时应向你方交纳投标保证金，且可以投标担保函的形交纳投标保证金。应供应商的申请，我方以保证的方式向您方提供如下投标保证金担保：</w:t>
      </w:r>
    </w:p>
    <w:p>
      <w:pPr>
        <w:ind w:firstLine="480" w:firstLineChars="200"/>
        <w:rPr>
          <w:rFonts w:ascii="宋体" w:hAnsi="宋体"/>
          <w:color w:val="auto"/>
          <w:sz w:val="24"/>
          <w:szCs w:val="24"/>
        </w:rPr>
      </w:pPr>
      <w:r>
        <w:rPr>
          <w:rFonts w:ascii="宋体" w:hAnsi="宋体"/>
          <w:color w:val="auto"/>
          <w:sz w:val="24"/>
          <w:szCs w:val="24"/>
        </w:rPr>
        <w:t>一、保证责任的情形及保证金额</w:t>
      </w:r>
    </w:p>
    <w:p>
      <w:pPr>
        <w:ind w:firstLine="480" w:firstLineChars="200"/>
        <w:rPr>
          <w:rFonts w:ascii="宋体" w:hAnsi="宋体"/>
          <w:color w:val="auto"/>
          <w:sz w:val="24"/>
          <w:szCs w:val="24"/>
        </w:rPr>
      </w:pPr>
      <w:r>
        <w:rPr>
          <w:rFonts w:ascii="宋体" w:hAnsi="宋体"/>
          <w:color w:val="auto"/>
          <w:sz w:val="24"/>
          <w:szCs w:val="24"/>
        </w:rPr>
        <w:t>（一）在投标人出现下列情形之一时，我方承担保证责任：</w:t>
      </w:r>
    </w:p>
    <w:p>
      <w:pPr>
        <w:ind w:firstLine="480" w:firstLineChars="200"/>
        <w:rPr>
          <w:rFonts w:ascii="宋体" w:hAnsi="宋体"/>
          <w:color w:val="auto"/>
          <w:sz w:val="24"/>
          <w:szCs w:val="24"/>
        </w:rPr>
      </w:pPr>
      <w:r>
        <w:rPr>
          <w:rFonts w:ascii="宋体" w:hAnsi="宋体"/>
          <w:color w:val="auto"/>
          <w:sz w:val="24"/>
          <w:szCs w:val="24"/>
        </w:rPr>
        <w:t>1.中标后投标人无正当理由不与采购人签订《政府采购合同》；</w:t>
      </w:r>
    </w:p>
    <w:p>
      <w:pPr>
        <w:ind w:firstLine="480" w:firstLineChars="200"/>
        <w:rPr>
          <w:rFonts w:ascii="宋体" w:hAnsi="宋体"/>
          <w:color w:val="auto"/>
          <w:sz w:val="24"/>
          <w:szCs w:val="24"/>
        </w:rPr>
      </w:pPr>
      <w:r>
        <w:rPr>
          <w:rFonts w:ascii="宋体" w:hAnsi="宋体"/>
          <w:color w:val="auto"/>
          <w:sz w:val="24"/>
          <w:szCs w:val="24"/>
        </w:rPr>
        <w:t>2.招标文件规定的投标应当缴纳投标保证金的其他情形。</w:t>
      </w:r>
    </w:p>
    <w:p>
      <w:pPr>
        <w:ind w:firstLine="480" w:firstLineChars="200"/>
        <w:rPr>
          <w:rFonts w:ascii="宋体" w:hAnsi="宋体"/>
          <w:color w:val="auto"/>
          <w:sz w:val="24"/>
          <w:szCs w:val="24"/>
        </w:rPr>
      </w:pPr>
      <w:r>
        <w:rPr>
          <w:rFonts w:ascii="宋体" w:hAnsi="宋体"/>
          <w:color w:val="auto"/>
          <w:sz w:val="24"/>
          <w:szCs w:val="24"/>
        </w:rPr>
        <w:t>（二）我方承担保证责任的最高金额为人民币</w:t>
      </w:r>
      <w:r>
        <w:rPr>
          <w:rFonts w:ascii="宋体" w:hAnsi="宋体"/>
          <w:color w:val="auto"/>
          <w:sz w:val="24"/>
          <w:szCs w:val="24"/>
          <w:u w:val="single"/>
        </w:rPr>
        <w:t xml:space="preserve">         </w:t>
      </w:r>
      <w:r>
        <w:rPr>
          <w:rFonts w:ascii="宋体" w:hAnsi="宋体"/>
          <w:color w:val="auto"/>
          <w:sz w:val="24"/>
          <w:szCs w:val="24"/>
        </w:rPr>
        <w:t>元（大写</w:t>
      </w:r>
      <w:r>
        <w:rPr>
          <w:rFonts w:ascii="宋体" w:hAnsi="宋体"/>
          <w:color w:val="auto"/>
          <w:sz w:val="24"/>
          <w:szCs w:val="24"/>
          <w:u w:val="single"/>
        </w:rPr>
        <w:t xml:space="preserve">        </w:t>
      </w:r>
      <w:r>
        <w:rPr>
          <w:rFonts w:ascii="宋体" w:hAnsi="宋体"/>
          <w:color w:val="auto"/>
          <w:sz w:val="24"/>
          <w:szCs w:val="24"/>
        </w:rPr>
        <w:t>元整），即本项目的投标保证金金额。</w:t>
      </w:r>
    </w:p>
    <w:p>
      <w:pPr>
        <w:ind w:firstLine="480" w:firstLineChars="200"/>
        <w:rPr>
          <w:rFonts w:ascii="宋体" w:hAnsi="宋体"/>
          <w:color w:val="auto"/>
          <w:sz w:val="24"/>
          <w:szCs w:val="24"/>
        </w:rPr>
      </w:pPr>
      <w:r>
        <w:rPr>
          <w:rFonts w:ascii="宋体" w:hAnsi="宋体"/>
          <w:color w:val="auto"/>
          <w:sz w:val="24"/>
          <w:szCs w:val="24"/>
        </w:rPr>
        <w:t>二、保证的方式及保证期间</w:t>
      </w:r>
    </w:p>
    <w:p>
      <w:pPr>
        <w:ind w:firstLine="480" w:firstLineChars="200"/>
        <w:rPr>
          <w:rFonts w:ascii="宋体" w:hAnsi="宋体"/>
          <w:color w:val="auto"/>
          <w:sz w:val="24"/>
          <w:szCs w:val="24"/>
        </w:rPr>
      </w:pPr>
      <w:r>
        <w:rPr>
          <w:rFonts w:ascii="宋体" w:hAnsi="宋体"/>
          <w:color w:val="auto"/>
          <w:sz w:val="24"/>
          <w:szCs w:val="24"/>
        </w:rPr>
        <w:t>我方保证的方式为：连带责任保证。</w:t>
      </w:r>
    </w:p>
    <w:p>
      <w:pPr>
        <w:ind w:firstLine="480" w:firstLineChars="200"/>
        <w:rPr>
          <w:rFonts w:ascii="宋体" w:hAnsi="宋体"/>
          <w:color w:val="auto"/>
          <w:sz w:val="24"/>
          <w:szCs w:val="24"/>
        </w:rPr>
      </w:pPr>
      <w:r>
        <w:rPr>
          <w:rFonts w:ascii="宋体" w:hAnsi="宋体"/>
          <w:color w:val="auto"/>
          <w:sz w:val="24"/>
          <w:szCs w:val="24"/>
        </w:rPr>
        <w:t>我方的保证期间为：自本保函生效之日起至超过投标有效期30天（如项目采购失败重招，则延长至重招之日起至超过投标有效期30天）。</w:t>
      </w:r>
    </w:p>
    <w:p>
      <w:pPr>
        <w:ind w:firstLine="480" w:firstLineChars="200"/>
        <w:rPr>
          <w:rFonts w:ascii="宋体" w:hAnsi="宋体"/>
          <w:color w:val="auto"/>
          <w:sz w:val="24"/>
          <w:szCs w:val="24"/>
        </w:rPr>
      </w:pPr>
      <w:r>
        <w:rPr>
          <w:rFonts w:ascii="宋体" w:hAnsi="宋体"/>
          <w:color w:val="auto"/>
          <w:sz w:val="24"/>
          <w:szCs w:val="24"/>
        </w:rPr>
        <w:t>三、承担保证责任的程序</w:t>
      </w:r>
    </w:p>
    <w:p>
      <w:pPr>
        <w:ind w:firstLine="480" w:firstLineChars="200"/>
        <w:rPr>
          <w:rFonts w:ascii="宋体" w:hAnsi="宋体"/>
          <w:color w:val="auto"/>
          <w:sz w:val="24"/>
          <w:szCs w:val="24"/>
        </w:rPr>
      </w:pPr>
      <w:r>
        <w:rPr>
          <w:rFonts w:ascii="宋体" w:hAnsi="宋体"/>
          <w:color w:val="auto"/>
          <w:sz w:val="24"/>
          <w:szCs w:val="24"/>
        </w:rPr>
        <w:t>1.你方要求我方承担上述第一款保证责任时，应在本保函保证期间内向我方发出书面索赔通知。索赔通知应写明要求索赔的金额，支付款项应到达的账号，并附有证明投标人发生我方应承担保责任情形的事实材料。</w:t>
      </w:r>
    </w:p>
    <w:p>
      <w:pPr>
        <w:ind w:firstLine="480" w:firstLineChars="200"/>
        <w:rPr>
          <w:rFonts w:ascii="宋体" w:hAnsi="宋体"/>
          <w:color w:val="auto"/>
          <w:sz w:val="24"/>
          <w:szCs w:val="24"/>
        </w:rPr>
      </w:pPr>
      <w:r>
        <w:rPr>
          <w:rFonts w:ascii="宋体" w:hAnsi="宋体"/>
          <w:color w:val="auto"/>
          <w:sz w:val="24"/>
          <w:szCs w:val="24"/>
        </w:rPr>
        <w:t>2.我方在收到索赔通知及相关证明材料后，在五个工作日内进行审查，符合应承担保证责任情形的，我方应按照你方的要求代投标人向你方支付投标保证金。</w:t>
      </w:r>
    </w:p>
    <w:p>
      <w:pPr>
        <w:ind w:firstLine="480" w:firstLineChars="200"/>
        <w:rPr>
          <w:rFonts w:ascii="宋体" w:hAnsi="宋体"/>
          <w:color w:val="auto"/>
          <w:sz w:val="24"/>
          <w:szCs w:val="24"/>
        </w:rPr>
      </w:pPr>
      <w:r>
        <w:rPr>
          <w:rFonts w:ascii="宋体" w:hAnsi="宋体"/>
          <w:color w:val="auto"/>
          <w:sz w:val="24"/>
          <w:szCs w:val="24"/>
        </w:rPr>
        <w:t>四、保证责任的终止</w:t>
      </w:r>
    </w:p>
    <w:p>
      <w:pPr>
        <w:ind w:firstLine="480" w:firstLineChars="200"/>
        <w:rPr>
          <w:rFonts w:ascii="宋体" w:hAnsi="宋体"/>
          <w:color w:val="auto"/>
          <w:sz w:val="24"/>
          <w:szCs w:val="24"/>
        </w:rPr>
      </w:pPr>
      <w:r>
        <w:rPr>
          <w:rFonts w:ascii="宋体" w:hAnsi="宋体"/>
          <w:color w:val="auto"/>
          <w:sz w:val="24"/>
          <w:szCs w:val="24"/>
        </w:rPr>
        <w:t>1.保证期间届满你方未向我方书面主张保证责任的，自保证期间届满次日起，我方保证责任自动终止。</w:t>
      </w:r>
    </w:p>
    <w:p>
      <w:pPr>
        <w:ind w:firstLine="480" w:firstLineChars="200"/>
        <w:rPr>
          <w:rFonts w:ascii="宋体" w:hAnsi="宋体"/>
          <w:color w:val="auto"/>
          <w:sz w:val="24"/>
          <w:szCs w:val="24"/>
        </w:rPr>
      </w:pPr>
      <w:r>
        <w:rPr>
          <w:rFonts w:ascii="宋体" w:hAnsi="宋体"/>
          <w:color w:val="auto"/>
          <w:sz w:val="24"/>
          <w:szCs w:val="24"/>
        </w:rPr>
        <w:t>2.我方按照本保函向你贵方履行了保证责任后，自我方向你贵方支付款项（支付款项从我方账户划出）之日起，保证责任终止。</w:t>
      </w:r>
    </w:p>
    <w:p>
      <w:pPr>
        <w:ind w:firstLine="480" w:firstLineChars="200"/>
        <w:rPr>
          <w:rFonts w:ascii="宋体" w:hAnsi="宋体"/>
          <w:color w:val="auto"/>
          <w:sz w:val="24"/>
          <w:szCs w:val="24"/>
        </w:rPr>
      </w:pPr>
      <w:r>
        <w:rPr>
          <w:rFonts w:ascii="宋体" w:hAnsi="宋体"/>
          <w:color w:val="auto"/>
          <w:sz w:val="24"/>
          <w:szCs w:val="24"/>
        </w:rPr>
        <w:t>3.按照法律法规的规定或出现我方保证责任终止的其它情形的，我方在本保函项目的保证责任亦终止。</w:t>
      </w:r>
    </w:p>
    <w:p>
      <w:pPr>
        <w:ind w:firstLine="480" w:firstLineChars="200"/>
        <w:rPr>
          <w:rFonts w:ascii="宋体" w:hAnsi="宋体"/>
          <w:color w:val="auto"/>
          <w:sz w:val="24"/>
          <w:szCs w:val="24"/>
        </w:rPr>
      </w:pPr>
      <w:r>
        <w:rPr>
          <w:rFonts w:ascii="宋体" w:hAnsi="宋体"/>
          <w:color w:val="auto"/>
          <w:sz w:val="24"/>
          <w:szCs w:val="24"/>
        </w:rPr>
        <w:t>五、免责条款</w:t>
      </w:r>
    </w:p>
    <w:p>
      <w:pPr>
        <w:ind w:firstLine="480" w:firstLineChars="200"/>
        <w:rPr>
          <w:rFonts w:ascii="宋体" w:hAnsi="宋体"/>
          <w:color w:val="auto"/>
          <w:sz w:val="24"/>
          <w:szCs w:val="24"/>
        </w:rPr>
      </w:pPr>
      <w:r>
        <w:rPr>
          <w:rFonts w:ascii="宋体" w:hAnsi="宋体"/>
          <w:color w:val="auto"/>
          <w:sz w:val="24"/>
          <w:szCs w:val="24"/>
        </w:rPr>
        <w:t>1.依照法律规定或你方与投标人的另行约定，全部或者部分免除投标人投标保证金义务时，我方亦免除相应的保证责任。</w:t>
      </w:r>
    </w:p>
    <w:p>
      <w:pPr>
        <w:ind w:firstLine="480" w:firstLineChars="200"/>
        <w:rPr>
          <w:rFonts w:ascii="宋体" w:hAnsi="宋体"/>
          <w:color w:val="auto"/>
          <w:sz w:val="24"/>
          <w:szCs w:val="24"/>
        </w:rPr>
      </w:pPr>
      <w:r>
        <w:rPr>
          <w:rFonts w:ascii="宋体" w:hAnsi="宋体"/>
          <w:color w:val="auto"/>
          <w:sz w:val="24"/>
          <w:szCs w:val="24"/>
        </w:rPr>
        <w:t>2.因你方原因致使投标人发生本保函第一条第（一）款约定情形的，我方不承担保证责任。</w:t>
      </w:r>
    </w:p>
    <w:p>
      <w:pPr>
        <w:ind w:firstLine="480" w:firstLineChars="200"/>
        <w:rPr>
          <w:rFonts w:ascii="宋体" w:hAnsi="宋体"/>
          <w:color w:val="auto"/>
          <w:sz w:val="24"/>
          <w:szCs w:val="24"/>
        </w:rPr>
      </w:pPr>
      <w:r>
        <w:rPr>
          <w:rFonts w:ascii="宋体" w:hAnsi="宋体"/>
          <w:color w:val="auto"/>
          <w:sz w:val="24"/>
          <w:szCs w:val="24"/>
        </w:rPr>
        <w:t>3.因不可抗力造成投标人发生本保函第一条约定情形的，我方不承担保证责任。</w:t>
      </w:r>
    </w:p>
    <w:p>
      <w:pPr>
        <w:ind w:firstLine="480" w:firstLineChars="200"/>
        <w:rPr>
          <w:rFonts w:ascii="宋体" w:hAnsi="宋体"/>
          <w:color w:val="auto"/>
          <w:sz w:val="24"/>
          <w:szCs w:val="24"/>
        </w:rPr>
      </w:pPr>
      <w:r>
        <w:rPr>
          <w:rFonts w:ascii="宋体" w:hAnsi="宋体"/>
          <w:color w:val="auto"/>
          <w:sz w:val="24"/>
          <w:szCs w:val="24"/>
        </w:rPr>
        <w:t>4.你方或其他有权机关对招标文件进行任何澄清或修改，加重我方保证责任的，我方对加重部分不承担保证责任，但该澄清或修改经我方事先书面同意的除外。</w:t>
      </w:r>
    </w:p>
    <w:p>
      <w:pPr>
        <w:ind w:firstLine="480" w:firstLineChars="200"/>
        <w:rPr>
          <w:rFonts w:ascii="宋体" w:hAnsi="宋体"/>
          <w:color w:val="auto"/>
          <w:sz w:val="24"/>
          <w:szCs w:val="24"/>
        </w:rPr>
      </w:pPr>
      <w:r>
        <w:rPr>
          <w:rFonts w:ascii="宋体" w:hAnsi="宋体"/>
          <w:color w:val="auto"/>
          <w:sz w:val="24"/>
          <w:szCs w:val="24"/>
        </w:rPr>
        <w:t>六、争议的解决</w:t>
      </w:r>
    </w:p>
    <w:p>
      <w:pPr>
        <w:ind w:firstLine="480" w:firstLineChars="200"/>
        <w:rPr>
          <w:rFonts w:ascii="宋体" w:hAnsi="宋体"/>
          <w:color w:val="auto"/>
          <w:sz w:val="24"/>
          <w:szCs w:val="24"/>
        </w:rPr>
      </w:pPr>
      <w:r>
        <w:rPr>
          <w:rFonts w:ascii="宋体" w:hAnsi="宋体"/>
          <w:color w:val="auto"/>
          <w:sz w:val="24"/>
          <w:szCs w:val="24"/>
        </w:rPr>
        <w:t>因本保函发生的纠纷，由你我双方协商解决，协商不成的，通过诉讼程序解决，</w:t>
      </w:r>
      <w:r>
        <w:rPr>
          <w:rFonts w:hint="eastAsia" w:ascii="宋体" w:hAnsi="宋体" w:cs="宋体"/>
          <w:color w:val="auto"/>
          <w:sz w:val="24"/>
          <w:szCs w:val="24"/>
          <w:cs/>
        </w:rPr>
        <w:t>委托人同意提交担保人所在地人民法院审理。</w:t>
      </w:r>
    </w:p>
    <w:p>
      <w:pPr>
        <w:ind w:firstLine="480" w:firstLineChars="200"/>
        <w:rPr>
          <w:rFonts w:ascii="宋体" w:hAnsi="宋体"/>
          <w:color w:val="auto"/>
          <w:sz w:val="24"/>
          <w:szCs w:val="24"/>
        </w:rPr>
      </w:pPr>
      <w:r>
        <w:rPr>
          <w:rFonts w:ascii="宋体" w:hAnsi="宋体"/>
          <w:color w:val="auto"/>
          <w:sz w:val="24"/>
          <w:szCs w:val="24"/>
        </w:rPr>
        <w:t>七、保函的生效</w:t>
      </w:r>
      <w:r>
        <w:rPr>
          <w:rFonts w:hint="eastAsia" w:ascii="宋体" w:hAnsi="宋体"/>
          <w:color w:val="auto"/>
          <w:sz w:val="24"/>
          <w:szCs w:val="24"/>
        </w:rPr>
        <w:t>：</w:t>
      </w:r>
      <w:r>
        <w:rPr>
          <w:rFonts w:ascii="宋体" w:hAnsi="宋体"/>
          <w:color w:val="auto"/>
          <w:sz w:val="24"/>
          <w:szCs w:val="24"/>
        </w:rPr>
        <w:t>本保函自我方加盖公章之日起生效。</w:t>
      </w:r>
    </w:p>
    <w:p>
      <w:pPr>
        <w:ind w:firstLine="0" w:firstLineChars="0"/>
        <w:rPr>
          <w:rFonts w:hint="default" w:ascii="宋体" w:hAnsi="宋体" w:eastAsia="宋体"/>
          <w:color w:val="auto"/>
          <w:sz w:val="24"/>
          <w:szCs w:val="24"/>
          <w:lang w:val="en-US" w:eastAsia="zh-CN"/>
        </w:rPr>
      </w:pPr>
      <w:r>
        <w:rPr>
          <w:rFonts w:ascii="宋体" w:hAnsi="宋体" w:cs="Tahoma"/>
          <w:color w:val="auto"/>
          <w:sz w:val="24"/>
          <w:szCs w:val="24"/>
        </w:rPr>
        <w:t>保证人：</w:t>
      </w:r>
      <w:r>
        <w:rPr>
          <w:rFonts w:hint="eastAsia" w:ascii="宋体" w:hAnsi="宋体" w:cs="Tahoma"/>
          <w:color w:val="auto"/>
          <w:sz w:val="24"/>
          <w:szCs w:val="24"/>
          <w:u w:val="single"/>
          <w:lang w:eastAsia="zh-CN"/>
        </w:rPr>
        <w:t xml:space="preserve"> </w:t>
      </w:r>
      <w:r>
        <w:rPr>
          <w:rFonts w:hint="eastAsia" w:ascii="宋体" w:hAnsi="宋体" w:cs="Tahoma"/>
          <w:color w:val="auto"/>
          <w:sz w:val="24"/>
          <w:szCs w:val="24"/>
          <w:u w:val="single"/>
          <w:lang w:val="en-US" w:eastAsia="zh-CN"/>
        </w:rPr>
        <w:t xml:space="preserve">                 </w:t>
      </w:r>
    </w:p>
    <w:p>
      <w:pPr>
        <w:wordWrap w:val="0"/>
        <w:ind w:firstLine="0" w:firstLineChars="0"/>
        <w:rPr>
          <w:rFonts w:ascii="宋体" w:hAnsi="宋体"/>
          <w:color w:val="auto"/>
          <w:sz w:val="24"/>
          <w:szCs w:val="24"/>
        </w:rPr>
      </w:pPr>
      <w:r>
        <w:rPr>
          <w:rFonts w:ascii="宋体" w:hAnsi="宋体" w:cs="Tahoma"/>
          <w:color w:val="auto"/>
          <w:sz w:val="24"/>
          <w:szCs w:val="24"/>
        </w:rPr>
        <w:t>法定代表人：</w:t>
      </w:r>
      <w:r>
        <w:rPr>
          <w:rFonts w:ascii="宋体" w:hAnsi="宋体"/>
          <w:color w:val="auto"/>
          <w:sz w:val="24"/>
          <w:szCs w:val="24"/>
          <w:u w:val="single"/>
        </w:rPr>
        <w:t xml:space="preserve">                            </w:t>
      </w:r>
      <w:r>
        <w:rPr>
          <w:rFonts w:ascii="宋体" w:hAnsi="宋体"/>
          <w:color w:val="auto"/>
          <w:sz w:val="24"/>
          <w:szCs w:val="24"/>
          <w:u w:val="none"/>
        </w:rPr>
        <w:t xml:space="preserve">   </w:t>
      </w:r>
      <w:r>
        <w:rPr>
          <w:rFonts w:hint="eastAsia" w:ascii="宋体" w:hAnsi="宋体"/>
          <w:color w:val="auto"/>
          <w:sz w:val="24"/>
          <w:szCs w:val="24"/>
          <w:u w:val="none"/>
          <w:lang w:val="en-US" w:eastAsia="zh-CN"/>
        </w:rPr>
        <w:t xml:space="preserve">       </w:t>
      </w:r>
      <w:r>
        <w:rPr>
          <w:rFonts w:ascii="宋体" w:hAnsi="宋体"/>
          <w:color w:val="auto"/>
          <w:sz w:val="24"/>
          <w:szCs w:val="24"/>
          <w:u w:val="none"/>
        </w:rPr>
        <w:t xml:space="preserve">  </w:t>
      </w:r>
      <w:r>
        <w:rPr>
          <w:rFonts w:hint="eastAsia" w:ascii="宋体" w:hAnsi="宋体" w:cs="Tahoma"/>
          <w:color w:val="auto"/>
          <w:sz w:val="24"/>
          <w:szCs w:val="24"/>
          <w:u w:val="single"/>
        </w:rPr>
        <w:t xml:space="preserve">        </w:t>
      </w:r>
      <w:r>
        <w:rPr>
          <w:rFonts w:hint="eastAsia" w:ascii="宋体" w:hAnsi="宋体" w:cs="Tahoma"/>
          <w:color w:val="auto"/>
          <w:sz w:val="24"/>
          <w:szCs w:val="24"/>
        </w:rPr>
        <w:t>年</w:t>
      </w:r>
      <w:r>
        <w:rPr>
          <w:rFonts w:hint="eastAsia" w:ascii="宋体" w:hAnsi="宋体" w:cs="Tahoma"/>
          <w:color w:val="auto"/>
          <w:sz w:val="24"/>
          <w:szCs w:val="24"/>
          <w:u w:val="single"/>
        </w:rPr>
        <w:t xml:space="preserve">    </w:t>
      </w:r>
      <w:r>
        <w:rPr>
          <w:rFonts w:hint="eastAsia" w:ascii="宋体" w:hAnsi="宋体" w:cs="Tahoma"/>
          <w:color w:val="auto"/>
          <w:sz w:val="24"/>
          <w:szCs w:val="24"/>
        </w:rPr>
        <w:t>月</w:t>
      </w:r>
      <w:r>
        <w:rPr>
          <w:rFonts w:hint="eastAsia" w:ascii="宋体" w:hAnsi="宋体" w:cs="Tahoma"/>
          <w:color w:val="auto"/>
          <w:sz w:val="24"/>
          <w:szCs w:val="24"/>
          <w:u w:val="single"/>
        </w:rPr>
        <w:t xml:space="preserve">    </w:t>
      </w:r>
      <w:r>
        <w:rPr>
          <w:rFonts w:hint="eastAsia" w:ascii="宋体" w:hAnsi="宋体" w:cs="Tahoma"/>
          <w:color w:val="auto"/>
          <w:sz w:val="24"/>
          <w:szCs w:val="24"/>
        </w:rPr>
        <w:t>日</w:t>
      </w:r>
    </w:p>
    <w:p>
      <w:pPr>
        <w:pStyle w:val="6"/>
        <w:numPr>
          <w:ilvl w:val="0"/>
          <w:numId w:val="0"/>
        </w:numPr>
        <w:ind w:left="964" w:hanging="960" w:hangingChars="400"/>
        <w:rPr>
          <w:color w:val="auto"/>
        </w:rPr>
      </w:pPr>
      <w:bookmarkStart w:id="487" w:name="_Toc22806214"/>
      <w:r>
        <w:rPr>
          <w:color w:val="auto"/>
        </w:rPr>
        <w:br w:type="page"/>
      </w:r>
      <w:r>
        <w:rPr>
          <w:color w:val="auto"/>
        </w:rPr>
        <w:t>23.2</w:t>
      </w:r>
      <w:r>
        <w:rPr>
          <w:rFonts w:hint="eastAsia"/>
          <w:color w:val="auto"/>
        </w:rPr>
        <w:t>投标保证金退还说明</w:t>
      </w:r>
      <w:bookmarkEnd w:id="487"/>
    </w:p>
    <w:p>
      <w:pPr>
        <w:spacing w:line="360" w:lineRule="auto"/>
        <w:jc w:val="center"/>
        <w:rPr>
          <w:rFonts w:ascii="宋体" w:hAnsi="宋体"/>
          <w:b/>
          <w:color w:val="auto"/>
          <w:sz w:val="32"/>
          <w:szCs w:val="32"/>
        </w:rPr>
      </w:pPr>
      <w:r>
        <w:rPr>
          <w:rFonts w:hint="eastAsia" w:ascii="宋体" w:hAnsi="宋体"/>
          <w:b/>
          <w:color w:val="auto"/>
          <w:sz w:val="32"/>
          <w:szCs w:val="32"/>
        </w:rPr>
        <w:t>投标保证金退还说明</w:t>
      </w:r>
    </w:p>
    <w:p>
      <w:pPr>
        <w:spacing w:line="360" w:lineRule="auto"/>
        <w:jc w:val="center"/>
        <w:rPr>
          <w:rFonts w:ascii="宋体" w:hAnsi="宋体"/>
          <w:color w:val="auto"/>
          <w:sz w:val="24"/>
          <w:szCs w:val="24"/>
        </w:rPr>
      </w:pPr>
      <w:r>
        <w:rPr>
          <w:rFonts w:hint="eastAsia" w:ascii="宋体" w:hAnsi="宋体"/>
          <w:color w:val="auto"/>
          <w:sz w:val="24"/>
          <w:szCs w:val="24"/>
        </w:rPr>
        <w:t>（仅适用于以支票、汇票、本票、转账等非现金形式提交投标保证金）</w:t>
      </w:r>
    </w:p>
    <w:p>
      <w:pPr>
        <w:autoSpaceDE w:val="0"/>
        <w:autoSpaceDN w:val="0"/>
        <w:spacing w:line="360" w:lineRule="auto"/>
        <w:rPr>
          <w:rFonts w:ascii="宋体" w:hAnsi="宋体"/>
          <w:color w:val="auto"/>
          <w:sz w:val="24"/>
          <w:szCs w:val="24"/>
        </w:rPr>
      </w:pPr>
      <w:r>
        <w:rPr>
          <w:rFonts w:hint="eastAsia" w:ascii="宋体" w:hAnsi="宋体"/>
          <w:color w:val="auto"/>
          <w:sz w:val="24"/>
          <w:szCs w:val="24"/>
        </w:rPr>
        <w:t>广东华伦招标有限公司：</w:t>
      </w:r>
    </w:p>
    <w:p>
      <w:pPr>
        <w:autoSpaceDE w:val="0"/>
        <w:autoSpaceDN w:val="0"/>
        <w:spacing w:line="360" w:lineRule="auto"/>
        <w:ind w:firstLine="480" w:firstLineChars="200"/>
        <w:rPr>
          <w:rFonts w:ascii="宋体" w:hAnsi="宋体"/>
          <w:color w:val="auto"/>
          <w:sz w:val="24"/>
          <w:szCs w:val="24"/>
        </w:rPr>
      </w:pPr>
      <w:r>
        <w:rPr>
          <w:rFonts w:hint="eastAsia" w:ascii="宋体" w:hAnsi="宋体"/>
          <w:color w:val="auto"/>
          <w:sz w:val="24"/>
          <w:szCs w:val="24"/>
        </w:rPr>
        <w:t>我方为“</w:t>
      </w:r>
      <w:r>
        <w:rPr>
          <w:rFonts w:hint="eastAsia" w:ascii="宋体" w:hAnsi="宋体"/>
          <w:color w:val="auto"/>
          <w:sz w:val="24"/>
          <w:szCs w:val="24"/>
          <w:u w:val="single"/>
          <w:lang w:eastAsia="zh-CN"/>
        </w:rPr>
        <w:t>工业和信息化部电子第五研究所动力电池配套使用环境试验箱采购项目</w:t>
      </w:r>
      <w:r>
        <w:rPr>
          <w:rFonts w:hint="eastAsia" w:ascii="宋体" w:hAnsi="宋体"/>
          <w:color w:val="auto"/>
          <w:sz w:val="24"/>
          <w:szCs w:val="24"/>
        </w:rPr>
        <w:t>”（采购文件编号：</w:t>
      </w:r>
      <w:r>
        <w:rPr>
          <w:rFonts w:hint="eastAsia" w:ascii="宋体" w:hAnsi="宋体"/>
          <w:color w:val="auto"/>
          <w:sz w:val="24"/>
          <w:szCs w:val="24"/>
          <w:u w:val="single"/>
          <w:lang w:eastAsia="zh-CN"/>
        </w:rPr>
        <w:t>0809-2241GZG14036</w:t>
      </w:r>
      <w:r>
        <w:rPr>
          <w:rFonts w:hint="eastAsia" w:ascii="宋体" w:hAnsi="宋体"/>
          <w:color w:val="auto"/>
          <w:sz w:val="24"/>
          <w:szCs w:val="24"/>
        </w:rPr>
        <w:t>）提交的投标保证金，在符合退还条件时请代划入下列账户：</w:t>
      </w:r>
    </w:p>
    <w:tbl>
      <w:tblPr>
        <w:tblStyle w:val="29"/>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FFFFFF"/>
        <w:tblLayout w:type="fixed"/>
        <w:tblCellMar>
          <w:top w:w="0" w:type="dxa"/>
          <w:left w:w="108" w:type="dxa"/>
          <w:bottom w:w="0" w:type="dxa"/>
          <w:right w:w="108" w:type="dxa"/>
        </w:tblCellMar>
      </w:tblPr>
      <w:tblGrid>
        <w:gridCol w:w="2008"/>
        <w:gridCol w:w="720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2" w:hRule="atLeast"/>
          <w:jc w:val="center"/>
        </w:trPr>
        <w:tc>
          <w:tcPr>
            <w:tcW w:w="200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color w:val="auto"/>
                <w:sz w:val="24"/>
                <w:szCs w:val="24"/>
              </w:rPr>
            </w:pPr>
            <w:r>
              <w:rPr>
                <w:rFonts w:hint="eastAsia" w:ascii="宋体" w:hAnsi="宋体"/>
                <w:color w:val="auto"/>
                <w:sz w:val="24"/>
                <w:szCs w:val="24"/>
              </w:rPr>
              <w:t>保证金提交方式</w:t>
            </w:r>
          </w:p>
        </w:tc>
        <w:tc>
          <w:tcPr>
            <w:tcW w:w="720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color w:val="auto"/>
                <w:sz w:val="24"/>
                <w:szCs w:val="24"/>
              </w:rPr>
            </w:pPr>
            <w:r>
              <w:rPr>
                <w:rFonts w:hint="eastAsia" w:ascii="宋体" w:hAnsi="宋体"/>
                <w:color w:val="auto"/>
                <w:sz w:val="24"/>
                <w:szCs w:val="24"/>
              </w:rPr>
              <w:t>□银行转账    □银行汇票    □银行支票   □银行本票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FFFFFF"/>
          <w:tblCellMar>
            <w:top w:w="0" w:type="dxa"/>
            <w:left w:w="108" w:type="dxa"/>
            <w:bottom w:w="0" w:type="dxa"/>
            <w:right w:w="108" w:type="dxa"/>
          </w:tblCellMar>
        </w:tblPrEx>
        <w:trPr>
          <w:trHeight w:val="137" w:hRule="atLeast"/>
          <w:jc w:val="center"/>
        </w:trPr>
        <w:tc>
          <w:tcPr>
            <w:tcW w:w="200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color w:val="auto"/>
                <w:sz w:val="24"/>
                <w:szCs w:val="24"/>
              </w:rPr>
            </w:pPr>
            <w:r>
              <w:rPr>
                <w:rFonts w:hint="eastAsia" w:ascii="宋体" w:hAnsi="宋体"/>
                <w:color w:val="auto"/>
                <w:sz w:val="24"/>
                <w:szCs w:val="24"/>
              </w:rPr>
              <w:t>开 户 人 名 称</w:t>
            </w:r>
          </w:p>
        </w:tc>
        <w:tc>
          <w:tcPr>
            <w:tcW w:w="720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FFFFFF"/>
          <w:tblCellMar>
            <w:top w:w="0" w:type="dxa"/>
            <w:left w:w="108" w:type="dxa"/>
            <w:bottom w:w="0" w:type="dxa"/>
            <w:right w:w="108" w:type="dxa"/>
          </w:tblCellMar>
        </w:tblPrEx>
        <w:trPr>
          <w:trHeight w:val="137" w:hRule="atLeast"/>
          <w:jc w:val="center"/>
        </w:trPr>
        <w:tc>
          <w:tcPr>
            <w:tcW w:w="200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color w:val="auto"/>
                <w:sz w:val="24"/>
                <w:szCs w:val="24"/>
              </w:rPr>
            </w:pPr>
            <w:r>
              <w:rPr>
                <w:rFonts w:hint="eastAsia" w:ascii="宋体" w:hAnsi="宋体"/>
                <w:color w:val="auto"/>
                <w:sz w:val="24"/>
                <w:szCs w:val="24"/>
              </w:rPr>
              <w:t>开  户  银  行</w:t>
            </w:r>
          </w:p>
        </w:tc>
        <w:tc>
          <w:tcPr>
            <w:tcW w:w="720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FFFFFF"/>
          <w:tblCellMar>
            <w:top w:w="0" w:type="dxa"/>
            <w:left w:w="108" w:type="dxa"/>
            <w:bottom w:w="0" w:type="dxa"/>
            <w:right w:w="108" w:type="dxa"/>
          </w:tblCellMar>
        </w:tblPrEx>
        <w:trPr>
          <w:trHeight w:val="70" w:hRule="atLeast"/>
          <w:jc w:val="center"/>
        </w:trPr>
        <w:tc>
          <w:tcPr>
            <w:tcW w:w="200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color w:val="auto"/>
                <w:sz w:val="24"/>
                <w:szCs w:val="24"/>
              </w:rPr>
            </w:pPr>
            <w:r>
              <w:rPr>
                <w:rFonts w:hint="eastAsia" w:ascii="宋体" w:hAnsi="宋体"/>
                <w:color w:val="auto"/>
                <w:sz w:val="24"/>
                <w:szCs w:val="24"/>
              </w:rPr>
              <w:t>银  行  账  号</w:t>
            </w:r>
          </w:p>
        </w:tc>
        <w:tc>
          <w:tcPr>
            <w:tcW w:w="720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color w:val="auto"/>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FFFFFF"/>
          <w:tblCellMar>
            <w:top w:w="0" w:type="dxa"/>
            <w:left w:w="108" w:type="dxa"/>
            <w:bottom w:w="0" w:type="dxa"/>
            <w:right w:w="108" w:type="dxa"/>
          </w:tblCellMar>
        </w:tblPrEx>
        <w:trPr>
          <w:trHeight w:val="70" w:hRule="atLeast"/>
          <w:jc w:val="center"/>
        </w:trPr>
        <w:tc>
          <w:tcPr>
            <w:tcW w:w="200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color w:val="auto"/>
                <w:sz w:val="24"/>
                <w:szCs w:val="24"/>
              </w:rPr>
            </w:pPr>
            <w:r>
              <w:rPr>
                <w:rFonts w:hint="eastAsia" w:ascii="宋体" w:hAnsi="宋体"/>
                <w:color w:val="auto"/>
                <w:sz w:val="24"/>
                <w:szCs w:val="24"/>
              </w:rPr>
              <w:t>总    金    额</w:t>
            </w:r>
          </w:p>
        </w:tc>
        <w:tc>
          <w:tcPr>
            <w:tcW w:w="720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60" w:lineRule="auto"/>
              <w:rPr>
                <w:rFonts w:ascii="宋体" w:hAnsi="宋体"/>
                <w:color w:val="auto"/>
                <w:sz w:val="24"/>
                <w:szCs w:val="24"/>
              </w:rPr>
            </w:pPr>
          </w:p>
        </w:tc>
      </w:tr>
    </w:tbl>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投标人名称（加盖公章）：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投标人法定代表人或授权代表（签字或盖章）：</w:t>
      </w:r>
      <w:r>
        <w:rPr>
          <w:rFonts w:hint="eastAsia" w:ascii="宋体" w:hAnsi="宋体"/>
          <w:color w:val="auto"/>
          <w:sz w:val="24"/>
          <w:szCs w:val="24"/>
          <w:u w:val="single"/>
        </w:rPr>
        <w:t xml:space="preserve">                 </w:t>
      </w:r>
    </w:p>
    <w:p>
      <w:pPr>
        <w:autoSpaceDE w:val="0"/>
        <w:autoSpaceDN w:val="0"/>
        <w:spacing w:line="360" w:lineRule="auto"/>
        <w:rPr>
          <w:rFonts w:ascii="宋体" w:hAnsi="宋体"/>
          <w:color w:val="auto"/>
          <w:sz w:val="24"/>
          <w:szCs w:val="24"/>
        </w:rPr>
      </w:pPr>
      <w:r>
        <w:rPr>
          <w:rFonts w:hint="eastAsia" w:ascii="宋体" w:hAnsi="宋体"/>
          <w:color w:val="auto"/>
          <w:sz w:val="24"/>
          <w:szCs w:val="24"/>
        </w:rPr>
        <w:t>日期：</w:t>
      </w:r>
      <w:r>
        <w:rPr>
          <w:rFonts w:hint="eastAsia" w:ascii="宋体" w:hAnsi="宋体"/>
          <w:color w:val="auto"/>
          <w:sz w:val="24"/>
          <w:szCs w:val="24"/>
          <w:u w:val="single"/>
        </w:rPr>
        <w:t xml:space="preserve">        </w:t>
      </w:r>
      <w:r>
        <w:rPr>
          <w:rFonts w:hint="eastAsia" w:ascii="宋体" w:hAnsi="宋体"/>
          <w:color w:val="auto"/>
          <w:sz w:val="24"/>
          <w:szCs w:val="24"/>
        </w:rPr>
        <w:t>年</w:t>
      </w:r>
      <w:r>
        <w:rPr>
          <w:rFonts w:hint="eastAsia" w:ascii="宋体" w:hAnsi="宋体"/>
          <w:color w:val="auto"/>
          <w:sz w:val="24"/>
          <w:szCs w:val="24"/>
          <w:u w:val="single"/>
        </w:rPr>
        <w:t xml:space="preserve">    </w:t>
      </w:r>
      <w:r>
        <w:rPr>
          <w:rFonts w:hint="eastAsia" w:ascii="宋体" w:hAnsi="宋体"/>
          <w:color w:val="auto"/>
          <w:sz w:val="24"/>
          <w:szCs w:val="24"/>
        </w:rPr>
        <w:t>月</w:t>
      </w:r>
      <w:r>
        <w:rPr>
          <w:rFonts w:hint="eastAsia" w:ascii="宋体" w:hAnsi="宋体"/>
          <w:color w:val="auto"/>
          <w:sz w:val="24"/>
          <w:szCs w:val="24"/>
          <w:u w:val="single"/>
        </w:rPr>
        <w:t xml:space="preserve">    </w:t>
      </w:r>
      <w:r>
        <w:rPr>
          <w:rFonts w:hint="eastAsia" w:ascii="宋体" w:hAnsi="宋体"/>
          <w:color w:val="auto"/>
          <w:sz w:val="24"/>
          <w:szCs w:val="24"/>
        </w:rPr>
        <w:t>日</w:t>
      </w:r>
    </w:p>
    <w:p>
      <w:pPr>
        <w:autoSpaceDE w:val="0"/>
        <w:autoSpaceDN w:val="0"/>
        <w:spacing w:line="360" w:lineRule="auto"/>
        <w:ind w:left="482" w:hanging="480" w:hangingChars="200"/>
        <w:rPr>
          <w:rFonts w:ascii="宋体" w:hAnsi="宋体"/>
          <w:color w:val="auto"/>
          <w:sz w:val="24"/>
          <w:szCs w:val="24"/>
        </w:rPr>
      </w:pPr>
      <w:r>
        <w:rPr>
          <w:rFonts w:hint="eastAsia" w:ascii="宋体" w:hAnsi="宋体"/>
          <w:b/>
          <w:color w:val="auto"/>
          <w:sz w:val="24"/>
          <w:szCs w:val="24"/>
        </w:rPr>
        <w:t>备注：</w:t>
      </w:r>
      <w:r>
        <w:rPr>
          <w:rFonts w:hint="eastAsia" w:ascii="宋体" w:hAnsi="宋体"/>
          <w:color w:val="auto"/>
          <w:sz w:val="24"/>
          <w:szCs w:val="24"/>
        </w:rPr>
        <w:t>采用其他形式提交投标保证金的，不须提供此说明。</w:t>
      </w:r>
    </w:p>
    <w:p>
      <w:pPr>
        <w:autoSpaceDE w:val="0"/>
        <w:autoSpaceDN w:val="0"/>
        <w:spacing w:line="360" w:lineRule="auto"/>
        <w:ind w:firstLine="480" w:firstLineChars="200"/>
        <w:rPr>
          <w:rFonts w:ascii="宋体" w:hAnsi="宋体"/>
          <w:color w:val="auto"/>
          <w:sz w:val="24"/>
          <w:szCs w:val="24"/>
        </w:rPr>
      </w:pPr>
    </w:p>
    <w:p>
      <w:pPr>
        <w:pStyle w:val="5"/>
        <w:numPr>
          <w:ilvl w:val="0"/>
          <w:numId w:val="99"/>
        </w:numPr>
        <w:tabs>
          <w:tab w:val="left" w:pos="945"/>
        </w:tabs>
        <w:spacing w:before="0" w:after="0" w:line="360" w:lineRule="auto"/>
        <w:ind w:left="0" w:firstLine="0"/>
        <w:rPr>
          <w:color w:val="auto"/>
          <w:sz w:val="28"/>
          <w:szCs w:val="28"/>
        </w:rPr>
      </w:pPr>
      <w:bookmarkStart w:id="488" w:name="_Toc54335503"/>
      <w:r>
        <w:rPr>
          <w:rFonts w:hint="eastAsia"/>
          <w:color w:val="auto"/>
          <w:sz w:val="28"/>
          <w:szCs w:val="28"/>
        </w:rPr>
        <w:br w:type="page"/>
      </w:r>
      <w:bookmarkEnd w:id="488"/>
      <w:bookmarkStart w:id="489" w:name="_Toc2351"/>
      <w:r>
        <w:rPr>
          <w:rFonts w:hint="eastAsia"/>
          <w:color w:val="auto"/>
          <w:sz w:val="28"/>
          <w:szCs w:val="28"/>
        </w:rPr>
        <w:t>开票资料说明函</w:t>
      </w:r>
      <w:bookmarkEnd w:id="489"/>
    </w:p>
    <w:p>
      <w:pPr>
        <w:spacing w:line="360" w:lineRule="auto"/>
        <w:jc w:val="center"/>
        <w:rPr>
          <w:rFonts w:ascii="宋体" w:hAnsi="宋体"/>
          <w:b/>
          <w:color w:val="auto"/>
          <w:sz w:val="32"/>
          <w:szCs w:val="32"/>
        </w:rPr>
      </w:pPr>
      <w:r>
        <w:rPr>
          <w:rFonts w:hint="eastAsia" w:ascii="宋体" w:hAnsi="宋体"/>
          <w:b/>
          <w:color w:val="auto"/>
          <w:sz w:val="32"/>
          <w:szCs w:val="32"/>
        </w:rPr>
        <w:t>开票资料说明函</w:t>
      </w:r>
    </w:p>
    <w:p>
      <w:pPr>
        <w:snapToGrid w:val="0"/>
        <w:spacing w:line="360" w:lineRule="auto"/>
        <w:rPr>
          <w:rFonts w:ascii="宋体" w:hAnsi="宋体" w:cs="宋体"/>
          <w:b/>
          <w:color w:val="auto"/>
          <w:sz w:val="24"/>
          <w:szCs w:val="24"/>
        </w:rPr>
      </w:pPr>
      <w:r>
        <w:rPr>
          <w:rFonts w:hint="eastAsia" w:ascii="宋体" w:hAnsi="宋体" w:cs="宋体"/>
          <w:b/>
          <w:color w:val="auto"/>
          <w:sz w:val="24"/>
          <w:szCs w:val="24"/>
          <w:lang w:bidi="ar"/>
        </w:rPr>
        <w:t>广东华伦招标有限公司:</w:t>
      </w:r>
    </w:p>
    <w:p>
      <w:pPr>
        <w:snapToGrid w:val="0"/>
        <w:spacing w:line="360" w:lineRule="auto"/>
        <w:ind w:firstLine="480" w:firstLineChars="200"/>
        <w:rPr>
          <w:rFonts w:ascii="宋体" w:hAnsi="宋体" w:cs="宋体"/>
          <w:color w:val="auto"/>
          <w:sz w:val="24"/>
          <w:szCs w:val="24"/>
        </w:rPr>
      </w:pPr>
      <w:r>
        <w:rPr>
          <w:rFonts w:hint="eastAsia" w:ascii="宋体" w:hAnsi="宋体" w:cs="宋体"/>
          <w:color w:val="auto"/>
          <w:sz w:val="24"/>
          <w:szCs w:val="24"/>
          <w:lang w:bidi="ar"/>
        </w:rPr>
        <w:t>本单位</w:t>
      </w:r>
      <w:r>
        <w:rPr>
          <w:rFonts w:hint="eastAsia" w:ascii="宋体" w:hAnsi="宋体" w:cs="宋体"/>
          <w:color w:val="auto"/>
          <w:sz w:val="24"/>
          <w:szCs w:val="24"/>
          <w:u w:val="single"/>
          <w:lang w:bidi="ar"/>
        </w:rPr>
        <w:t xml:space="preserve">       (供应商名称)      </w:t>
      </w:r>
      <w:r>
        <w:rPr>
          <w:rFonts w:hint="eastAsia" w:ascii="宋体" w:hAnsi="宋体" w:cs="宋体"/>
          <w:color w:val="auto"/>
          <w:sz w:val="24"/>
          <w:szCs w:val="24"/>
          <w:lang w:bidi="ar"/>
        </w:rPr>
        <w:t>在参加在贵公司举行的</w:t>
      </w:r>
      <w:r>
        <w:rPr>
          <w:rFonts w:hint="eastAsia" w:ascii="宋体" w:hAnsi="宋体" w:cs="宋体"/>
          <w:color w:val="auto"/>
          <w:sz w:val="24"/>
          <w:szCs w:val="24"/>
          <w:u w:val="single"/>
          <w:lang w:bidi="ar"/>
        </w:rPr>
        <w:t xml:space="preserve">       (项目名称)      </w:t>
      </w:r>
      <w:r>
        <w:rPr>
          <w:rFonts w:hint="eastAsia" w:ascii="宋体" w:hAnsi="宋体" w:cs="宋体"/>
          <w:color w:val="auto"/>
          <w:sz w:val="24"/>
          <w:szCs w:val="24"/>
          <w:lang w:bidi="ar"/>
        </w:rPr>
        <w:t>(采购文件编号：</w:t>
      </w:r>
      <w:r>
        <w:rPr>
          <w:rFonts w:hint="eastAsia" w:ascii="宋体" w:hAnsi="宋体" w:cs="宋体"/>
          <w:color w:val="auto"/>
          <w:sz w:val="24"/>
          <w:szCs w:val="24"/>
          <w:u w:val="single"/>
          <w:lang w:bidi="ar"/>
        </w:rPr>
        <w:t xml:space="preserve">          </w:t>
      </w:r>
      <w:r>
        <w:rPr>
          <w:rFonts w:hint="eastAsia" w:ascii="宋体" w:hAnsi="宋体" w:cs="宋体"/>
          <w:color w:val="auto"/>
          <w:sz w:val="24"/>
          <w:szCs w:val="24"/>
          <w:lang w:bidi="ar"/>
        </w:rPr>
        <w:t>)的采购中如获中标（成交），则开票类型选择（</w:t>
      </w:r>
      <w:r>
        <w:rPr>
          <w:rFonts w:hint="eastAsia" w:ascii="宋体" w:hAnsi="宋体" w:cs="宋体"/>
          <w:b/>
          <w:color w:val="auto"/>
          <w:sz w:val="24"/>
          <w:szCs w:val="24"/>
          <w:lang w:bidi="ar"/>
        </w:rPr>
        <w:t>请在对应的“□”打“√”，且只能选择其中一项）</w:t>
      </w:r>
    </w:p>
    <w:p>
      <w:pPr>
        <w:snapToGrid w:val="0"/>
        <w:spacing w:line="360" w:lineRule="auto"/>
        <w:ind w:firstLine="480" w:firstLineChars="200"/>
        <w:rPr>
          <w:rFonts w:ascii="宋体" w:hAnsi="宋体" w:cs="宋体"/>
          <w:b/>
          <w:color w:val="auto"/>
          <w:sz w:val="24"/>
          <w:szCs w:val="24"/>
          <w:u w:val="single"/>
        </w:rPr>
      </w:pPr>
      <w:r>
        <w:rPr>
          <w:rFonts w:hint="eastAsia" w:ascii="宋体" w:hAnsi="宋体" w:cs="宋体"/>
          <w:b/>
          <w:color w:val="auto"/>
          <w:sz w:val="24"/>
          <w:szCs w:val="24"/>
          <w:lang w:bidi="ar"/>
        </w:rPr>
        <w:t>□</w:t>
      </w:r>
      <w:r>
        <w:rPr>
          <w:rFonts w:hint="eastAsia" w:ascii="宋体" w:hAnsi="宋体" w:cs="宋体"/>
          <w:b/>
          <w:color w:val="auto"/>
          <w:sz w:val="24"/>
          <w:szCs w:val="24"/>
          <w:u w:val="single"/>
          <w:lang w:bidi="ar"/>
        </w:rPr>
        <w:t xml:space="preserve">增值税普通发票  </w:t>
      </w:r>
      <w:r>
        <w:rPr>
          <w:rFonts w:hint="eastAsia" w:ascii="宋体" w:hAnsi="宋体" w:cs="宋体"/>
          <w:b/>
          <w:color w:val="auto"/>
          <w:sz w:val="24"/>
          <w:szCs w:val="24"/>
          <w:lang w:bidi="ar"/>
        </w:rPr>
        <w:t xml:space="preserve"> ；</w:t>
      </w:r>
      <w:r>
        <w:rPr>
          <w:rFonts w:hint="eastAsia" w:ascii="宋体" w:hAnsi="宋体" w:cs="宋体"/>
          <w:b/>
          <w:color w:val="auto"/>
          <w:sz w:val="24"/>
          <w:szCs w:val="24"/>
          <w:u w:val="single"/>
          <w:lang w:bidi="ar"/>
        </w:rPr>
        <w:t xml:space="preserve"> </w:t>
      </w:r>
      <w:r>
        <w:rPr>
          <w:rFonts w:hint="eastAsia" w:ascii="宋体" w:hAnsi="宋体" w:cs="宋体"/>
          <w:b/>
          <w:color w:val="auto"/>
          <w:sz w:val="24"/>
          <w:szCs w:val="24"/>
          <w:lang w:bidi="ar"/>
        </w:rPr>
        <w:t>□</w:t>
      </w:r>
      <w:r>
        <w:rPr>
          <w:rFonts w:hint="eastAsia" w:ascii="宋体" w:hAnsi="宋体" w:cs="宋体"/>
          <w:b/>
          <w:color w:val="auto"/>
          <w:sz w:val="24"/>
          <w:szCs w:val="24"/>
          <w:u w:val="single"/>
          <w:lang w:bidi="ar"/>
        </w:rPr>
        <w:t>增值税专用发票。</w:t>
      </w:r>
    </w:p>
    <w:p>
      <w:pPr>
        <w:snapToGrid w:val="0"/>
        <w:spacing w:line="360" w:lineRule="auto"/>
        <w:ind w:firstLine="480" w:firstLineChars="200"/>
        <w:rPr>
          <w:rFonts w:ascii="宋体" w:hAnsi="宋体" w:cs="宋体"/>
          <w:color w:val="auto"/>
          <w:sz w:val="24"/>
          <w:szCs w:val="24"/>
        </w:rPr>
      </w:pPr>
      <w:r>
        <w:rPr>
          <w:rFonts w:hint="eastAsia" w:ascii="宋体" w:hAnsi="宋体" w:cs="宋体"/>
          <w:color w:val="auto"/>
          <w:sz w:val="24"/>
          <w:szCs w:val="24"/>
          <w:lang w:bidi="ar"/>
        </w:rPr>
        <w:t>以及我单位的开票资料如下：</w:t>
      </w: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71"/>
        <w:gridCol w:w="3763"/>
        <w:gridCol w:w="1179"/>
        <w:gridCol w:w="16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2471" w:type="dxa"/>
            <w:tcBorders>
              <w:top w:val="single" w:color="auto" w:sz="12" w:space="0"/>
              <w:left w:val="single" w:color="auto" w:sz="12" w:space="0"/>
              <w:bottom w:val="single" w:color="auto" w:sz="4" w:space="0"/>
              <w:right w:val="single" w:color="auto" w:sz="4" w:space="0"/>
            </w:tcBorders>
            <w:vAlign w:val="center"/>
          </w:tcPr>
          <w:p>
            <w:pPr>
              <w:adjustRightInd w:val="0"/>
              <w:spacing w:line="360" w:lineRule="atLeast"/>
              <w:jc w:val="center"/>
              <w:textAlignment w:val="baseline"/>
              <w:rPr>
                <w:rFonts w:ascii="宋体" w:hAnsi="宋体" w:cs="宋体"/>
                <w:color w:val="auto"/>
                <w:sz w:val="24"/>
                <w:szCs w:val="24"/>
              </w:rPr>
            </w:pPr>
            <w:r>
              <w:rPr>
                <w:rFonts w:hint="eastAsia" w:ascii="宋体" w:hAnsi="宋体" w:cs="宋体"/>
                <w:color w:val="auto"/>
                <w:sz w:val="24"/>
                <w:szCs w:val="24"/>
                <w:lang w:bidi="ar"/>
              </w:rPr>
              <w:t>单位名称</w:t>
            </w:r>
          </w:p>
        </w:tc>
        <w:tc>
          <w:tcPr>
            <w:tcW w:w="6607" w:type="dxa"/>
            <w:gridSpan w:val="3"/>
            <w:tcBorders>
              <w:top w:val="single" w:color="auto" w:sz="12" w:space="0"/>
              <w:left w:val="single" w:color="auto" w:sz="4" w:space="0"/>
              <w:bottom w:val="single" w:color="auto" w:sz="4" w:space="0"/>
              <w:right w:val="single" w:color="auto" w:sz="12" w:space="0"/>
            </w:tcBorders>
            <w:vAlign w:val="center"/>
          </w:tcPr>
          <w:p>
            <w:pPr>
              <w:adjustRightInd w:val="0"/>
              <w:spacing w:line="360" w:lineRule="atLeast"/>
              <w:jc w:val="center"/>
              <w:textAlignment w:val="baseline"/>
              <w:rPr>
                <w:rFonts w:ascii="宋体" w:hAnsi="宋体" w:cs="宋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2471" w:type="dxa"/>
            <w:tcBorders>
              <w:top w:val="single" w:color="auto" w:sz="4" w:space="0"/>
              <w:left w:val="single" w:color="auto" w:sz="12" w:space="0"/>
              <w:bottom w:val="single" w:color="auto" w:sz="4" w:space="0"/>
              <w:right w:val="single" w:color="auto" w:sz="4" w:space="0"/>
            </w:tcBorders>
            <w:vAlign w:val="center"/>
          </w:tcPr>
          <w:p>
            <w:pPr>
              <w:adjustRightInd w:val="0"/>
              <w:spacing w:line="360" w:lineRule="atLeast"/>
              <w:jc w:val="center"/>
              <w:textAlignment w:val="baseline"/>
              <w:rPr>
                <w:rFonts w:ascii="宋体" w:hAnsi="宋体" w:cs="宋体"/>
                <w:color w:val="auto"/>
                <w:sz w:val="24"/>
                <w:szCs w:val="24"/>
              </w:rPr>
            </w:pPr>
            <w:r>
              <w:rPr>
                <w:rFonts w:hint="eastAsia" w:ascii="宋体" w:hAnsi="宋体" w:cs="宋体"/>
                <w:color w:val="auto"/>
                <w:sz w:val="24"/>
                <w:szCs w:val="24"/>
                <w:lang w:bidi="ar"/>
              </w:rPr>
              <w:t>纳税人识别号</w:t>
            </w:r>
          </w:p>
        </w:tc>
        <w:tc>
          <w:tcPr>
            <w:tcW w:w="6607" w:type="dxa"/>
            <w:gridSpan w:val="3"/>
            <w:tcBorders>
              <w:top w:val="single" w:color="auto" w:sz="4" w:space="0"/>
              <w:left w:val="single" w:color="auto" w:sz="4" w:space="0"/>
              <w:bottom w:val="single" w:color="auto" w:sz="4" w:space="0"/>
              <w:right w:val="single" w:color="auto" w:sz="12" w:space="0"/>
            </w:tcBorders>
            <w:vAlign w:val="center"/>
          </w:tcPr>
          <w:p>
            <w:pPr>
              <w:adjustRightInd w:val="0"/>
              <w:spacing w:line="360" w:lineRule="atLeast"/>
              <w:jc w:val="center"/>
              <w:textAlignment w:val="baseline"/>
              <w:rPr>
                <w:rFonts w:ascii="宋体" w:hAnsi="宋体" w:cs="宋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2471" w:type="dxa"/>
            <w:tcBorders>
              <w:top w:val="single" w:color="auto" w:sz="4" w:space="0"/>
              <w:left w:val="single" w:color="auto" w:sz="12" w:space="0"/>
              <w:bottom w:val="single" w:color="auto" w:sz="4" w:space="0"/>
              <w:right w:val="single" w:color="auto" w:sz="4" w:space="0"/>
            </w:tcBorders>
            <w:vAlign w:val="center"/>
          </w:tcPr>
          <w:p>
            <w:pPr>
              <w:adjustRightInd w:val="0"/>
              <w:spacing w:line="360" w:lineRule="atLeast"/>
              <w:jc w:val="center"/>
              <w:textAlignment w:val="baseline"/>
              <w:rPr>
                <w:rFonts w:ascii="宋体" w:hAnsi="宋体" w:cs="宋体"/>
                <w:color w:val="auto"/>
                <w:sz w:val="24"/>
                <w:szCs w:val="24"/>
              </w:rPr>
            </w:pPr>
            <w:r>
              <w:rPr>
                <w:rFonts w:hint="eastAsia" w:ascii="宋体" w:hAnsi="宋体" w:cs="宋体"/>
                <w:color w:val="auto"/>
                <w:sz w:val="24"/>
                <w:szCs w:val="24"/>
                <w:lang w:bidi="ar"/>
              </w:rPr>
              <w:t>地址</w:t>
            </w:r>
          </w:p>
        </w:tc>
        <w:tc>
          <w:tcPr>
            <w:tcW w:w="6607" w:type="dxa"/>
            <w:gridSpan w:val="3"/>
            <w:tcBorders>
              <w:top w:val="single" w:color="auto" w:sz="4" w:space="0"/>
              <w:left w:val="single" w:color="auto" w:sz="4" w:space="0"/>
              <w:bottom w:val="single" w:color="auto" w:sz="4" w:space="0"/>
              <w:right w:val="single" w:color="auto" w:sz="12" w:space="0"/>
            </w:tcBorders>
            <w:vAlign w:val="center"/>
          </w:tcPr>
          <w:p>
            <w:pPr>
              <w:adjustRightInd w:val="0"/>
              <w:spacing w:line="360" w:lineRule="atLeast"/>
              <w:jc w:val="center"/>
              <w:textAlignment w:val="baseline"/>
              <w:rPr>
                <w:rFonts w:ascii="宋体" w:hAnsi="宋体" w:cs="宋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72" w:hRule="atLeast"/>
          <w:jc w:val="center"/>
        </w:trPr>
        <w:tc>
          <w:tcPr>
            <w:tcW w:w="2471" w:type="dxa"/>
            <w:tcBorders>
              <w:top w:val="single" w:color="auto" w:sz="4" w:space="0"/>
              <w:left w:val="single" w:color="auto" w:sz="12" w:space="0"/>
              <w:bottom w:val="single" w:color="auto" w:sz="4" w:space="0"/>
              <w:right w:val="single" w:color="auto" w:sz="4" w:space="0"/>
            </w:tcBorders>
            <w:vAlign w:val="center"/>
          </w:tcPr>
          <w:p>
            <w:pPr>
              <w:adjustRightInd w:val="0"/>
              <w:spacing w:line="360" w:lineRule="atLeast"/>
              <w:jc w:val="center"/>
              <w:textAlignment w:val="baseline"/>
              <w:rPr>
                <w:rFonts w:hint="eastAsia" w:ascii="宋体" w:hAnsi="宋体" w:eastAsia="宋体" w:cs="宋体"/>
                <w:color w:val="auto"/>
                <w:sz w:val="24"/>
                <w:szCs w:val="24"/>
                <w:lang w:eastAsia="zh-CN" w:bidi="ar"/>
              </w:rPr>
            </w:pPr>
            <w:r>
              <w:rPr>
                <w:rFonts w:hint="eastAsia" w:ascii="宋体" w:hAnsi="宋体" w:cs="宋体"/>
                <w:color w:val="auto"/>
                <w:sz w:val="24"/>
                <w:szCs w:val="24"/>
                <w:lang w:bidi="ar"/>
              </w:rPr>
              <w:t>开户银行</w:t>
            </w:r>
          </w:p>
          <w:p>
            <w:pPr>
              <w:adjustRightInd w:val="0"/>
              <w:spacing w:line="360" w:lineRule="atLeast"/>
              <w:jc w:val="center"/>
              <w:textAlignment w:val="baseline"/>
              <w:rPr>
                <w:rFonts w:ascii="宋体" w:hAnsi="宋体" w:cs="宋体"/>
                <w:color w:val="auto"/>
                <w:sz w:val="24"/>
                <w:szCs w:val="24"/>
              </w:rPr>
            </w:pPr>
            <w:r>
              <w:rPr>
                <w:rFonts w:hint="eastAsia" w:ascii="宋体" w:hAnsi="宋体" w:cs="宋体"/>
                <w:color w:val="auto"/>
                <w:sz w:val="24"/>
                <w:szCs w:val="24"/>
                <w:lang w:bidi="ar"/>
              </w:rPr>
              <w:t>（具体到XX银行XX支行）</w:t>
            </w:r>
          </w:p>
        </w:tc>
        <w:tc>
          <w:tcPr>
            <w:tcW w:w="3763"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tLeast"/>
              <w:jc w:val="center"/>
              <w:textAlignment w:val="baseline"/>
              <w:rPr>
                <w:rFonts w:ascii="宋体" w:hAnsi="宋体" w:cs="宋体"/>
                <w:color w:val="auto"/>
                <w:sz w:val="24"/>
                <w:szCs w:val="24"/>
              </w:rPr>
            </w:pPr>
          </w:p>
        </w:tc>
        <w:tc>
          <w:tcPr>
            <w:tcW w:w="1179"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tLeast"/>
              <w:jc w:val="center"/>
              <w:textAlignment w:val="baseline"/>
              <w:rPr>
                <w:rFonts w:ascii="宋体" w:hAnsi="宋体" w:cs="宋体"/>
                <w:color w:val="auto"/>
                <w:sz w:val="24"/>
                <w:szCs w:val="24"/>
              </w:rPr>
            </w:pPr>
            <w:r>
              <w:rPr>
                <w:rFonts w:hint="eastAsia" w:ascii="宋体" w:hAnsi="宋体" w:cs="宋体"/>
                <w:color w:val="auto"/>
                <w:sz w:val="24"/>
                <w:szCs w:val="24"/>
                <w:lang w:bidi="ar"/>
              </w:rPr>
              <w:t>联系电话</w:t>
            </w:r>
          </w:p>
        </w:tc>
        <w:tc>
          <w:tcPr>
            <w:tcW w:w="1665" w:type="dxa"/>
            <w:tcBorders>
              <w:top w:val="single" w:color="auto" w:sz="4" w:space="0"/>
              <w:left w:val="single" w:color="auto" w:sz="4" w:space="0"/>
              <w:bottom w:val="single" w:color="auto" w:sz="4" w:space="0"/>
              <w:right w:val="single" w:color="auto" w:sz="12" w:space="0"/>
            </w:tcBorders>
            <w:vAlign w:val="center"/>
          </w:tcPr>
          <w:p>
            <w:pPr>
              <w:adjustRightInd w:val="0"/>
              <w:spacing w:line="360" w:lineRule="atLeast"/>
              <w:jc w:val="center"/>
              <w:textAlignment w:val="baseline"/>
              <w:rPr>
                <w:rFonts w:ascii="宋体" w:hAnsi="宋体" w:cs="宋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2471" w:type="dxa"/>
            <w:tcBorders>
              <w:top w:val="single" w:color="auto" w:sz="4" w:space="0"/>
              <w:left w:val="single" w:color="auto" w:sz="12" w:space="0"/>
              <w:bottom w:val="single" w:color="auto" w:sz="4" w:space="0"/>
              <w:right w:val="single" w:color="auto" w:sz="4" w:space="0"/>
            </w:tcBorders>
            <w:vAlign w:val="center"/>
          </w:tcPr>
          <w:p>
            <w:pPr>
              <w:adjustRightInd w:val="0"/>
              <w:spacing w:line="360" w:lineRule="atLeast"/>
              <w:jc w:val="center"/>
              <w:textAlignment w:val="baseline"/>
              <w:rPr>
                <w:rFonts w:ascii="宋体" w:hAnsi="宋体" w:cs="宋体"/>
                <w:color w:val="auto"/>
                <w:sz w:val="24"/>
                <w:szCs w:val="24"/>
              </w:rPr>
            </w:pPr>
            <w:r>
              <w:rPr>
                <w:rFonts w:hint="eastAsia" w:ascii="宋体" w:hAnsi="宋体" w:cs="宋体"/>
                <w:color w:val="auto"/>
                <w:sz w:val="24"/>
                <w:szCs w:val="24"/>
                <w:lang w:bidi="ar"/>
              </w:rPr>
              <w:t>账    号</w:t>
            </w:r>
          </w:p>
        </w:tc>
        <w:tc>
          <w:tcPr>
            <w:tcW w:w="3763"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tLeast"/>
              <w:jc w:val="center"/>
              <w:textAlignment w:val="baseline"/>
              <w:rPr>
                <w:rFonts w:ascii="宋体" w:hAnsi="宋体" w:cs="宋体"/>
                <w:color w:val="auto"/>
                <w:sz w:val="24"/>
                <w:szCs w:val="24"/>
              </w:rPr>
            </w:pPr>
          </w:p>
        </w:tc>
        <w:tc>
          <w:tcPr>
            <w:tcW w:w="1179" w:type="dxa"/>
            <w:tcBorders>
              <w:top w:val="single" w:color="auto" w:sz="4" w:space="0"/>
              <w:left w:val="single" w:color="auto" w:sz="4" w:space="0"/>
              <w:bottom w:val="single" w:color="auto" w:sz="4" w:space="0"/>
              <w:right w:val="single" w:color="auto" w:sz="4" w:space="0"/>
            </w:tcBorders>
            <w:vAlign w:val="center"/>
          </w:tcPr>
          <w:p>
            <w:pPr>
              <w:adjustRightInd w:val="0"/>
              <w:spacing w:line="360" w:lineRule="atLeast"/>
              <w:jc w:val="center"/>
              <w:textAlignment w:val="baseline"/>
              <w:rPr>
                <w:rFonts w:ascii="宋体" w:hAnsi="宋体" w:cs="宋体"/>
                <w:color w:val="auto"/>
                <w:sz w:val="24"/>
                <w:szCs w:val="24"/>
              </w:rPr>
            </w:pPr>
            <w:r>
              <w:rPr>
                <w:rFonts w:hint="eastAsia" w:ascii="宋体" w:hAnsi="宋体" w:cs="宋体"/>
                <w:color w:val="auto"/>
                <w:sz w:val="24"/>
                <w:szCs w:val="24"/>
                <w:lang w:bidi="ar"/>
              </w:rPr>
              <w:t>联系人</w:t>
            </w:r>
          </w:p>
        </w:tc>
        <w:tc>
          <w:tcPr>
            <w:tcW w:w="1665" w:type="dxa"/>
            <w:tcBorders>
              <w:top w:val="single" w:color="auto" w:sz="4" w:space="0"/>
              <w:left w:val="single" w:color="auto" w:sz="4" w:space="0"/>
              <w:bottom w:val="single" w:color="auto" w:sz="4" w:space="0"/>
              <w:right w:val="single" w:color="auto" w:sz="12" w:space="0"/>
            </w:tcBorders>
            <w:vAlign w:val="center"/>
          </w:tcPr>
          <w:p>
            <w:pPr>
              <w:adjustRightInd w:val="0"/>
              <w:spacing w:line="360" w:lineRule="atLeast"/>
              <w:jc w:val="center"/>
              <w:textAlignment w:val="baseline"/>
              <w:rPr>
                <w:rFonts w:ascii="宋体" w:hAnsi="宋体" w:cs="宋体"/>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3" w:hRule="atLeast"/>
          <w:jc w:val="center"/>
        </w:trPr>
        <w:tc>
          <w:tcPr>
            <w:tcW w:w="9078" w:type="dxa"/>
            <w:gridSpan w:val="4"/>
            <w:tcBorders>
              <w:top w:val="single" w:color="auto" w:sz="4" w:space="0"/>
              <w:left w:val="single" w:color="auto" w:sz="12" w:space="0"/>
              <w:bottom w:val="single" w:color="auto" w:sz="12" w:space="0"/>
              <w:right w:val="single" w:color="auto" w:sz="12" w:space="0"/>
            </w:tcBorders>
            <w:vAlign w:val="center"/>
          </w:tcPr>
          <w:p>
            <w:pPr>
              <w:adjustRightInd w:val="0"/>
              <w:spacing w:line="360" w:lineRule="atLeast"/>
              <w:textAlignment w:val="baseline"/>
              <w:rPr>
                <w:rFonts w:ascii="宋体" w:hAnsi="宋体" w:cs="宋体"/>
                <w:b/>
                <w:color w:val="auto"/>
                <w:sz w:val="24"/>
                <w:szCs w:val="24"/>
              </w:rPr>
            </w:pPr>
            <w:r>
              <w:rPr>
                <w:rFonts w:hint="eastAsia" w:ascii="宋体" w:hAnsi="宋体" w:cs="宋体"/>
                <w:b/>
                <w:color w:val="auto"/>
                <w:sz w:val="24"/>
                <w:szCs w:val="24"/>
                <w:lang w:bidi="ar"/>
              </w:rPr>
              <w:t>附件：一般纳税人资格认定税务通知书或其他可证明具有该项资格证明文件的复印件。（加盖公章）</w:t>
            </w:r>
          </w:p>
        </w:tc>
      </w:tr>
    </w:tbl>
    <w:p>
      <w:pPr>
        <w:spacing w:line="360" w:lineRule="auto"/>
        <w:ind w:firstLine="480" w:firstLineChars="200"/>
        <w:rPr>
          <w:rFonts w:ascii="宋体" w:hAnsi="宋体"/>
          <w:color w:val="auto"/>
          <w:sz w:val="24"/>
          <w:szCs w:val="24"/>
        </w:rPr>
      </w:pPr>
      <w:r>
        <w:rPr>
          <w:rFonts w:hint="eastAsia" w:ascii="宋体" w:hAnsi="宋体" w:cs="宋体"/>
          <w:color w:val="auto"/>
          <w:sz w:val="24"/>
          <w:szCs w:val="24"/>
          <w:lang w:bidi="ar"/>
        </w:rPr>
        <w:t>投标（响应）截止日，如我单位未按该要求填写、未提供有效的开票资料、未确认开具发票类型或确认的发票类型有误，则视为</w:t>
      </w:r>
      <w:r>
        <w:rPr>
          <w:rFonts w:hint="eastAsia" w:ascii="宋体" w:hAnsi="宋体" w:cs="宋体"/>
          <w:b/>
          <w:color w:val="auto"/>
          <w:sz w:val="24"/>
          <w:szCs w:val="24"/>
          <w:u w:val="single"/>
          <w:lang w:bidi="ar"/>
        </w:rPr>
        <w:t>开具增值税普通发票</w:t>
      </w:r>
      <w:r>
        <w:rPr>
          <w:rFonts w:hint="eastAsia" w:ascii="宋体" w:hAnsi="宋体" w:cs="宋体"/>
          <w:color w:val="auto"/>
          <w:sz w:val="24"/>
          <w:szCs w:val="24"/>
          <w:lang w:bidi="ar"/>
        </w:rPr>
        <w:t>。同意</w:t>
      </w:r>
      <w:r>
        <w:rPr>
          <w:rFonts w:hint="eastAsia" w:ascii="宋体" w:hAnsi="宋体" w:cs="宋体"/>
          <w:b/>
          <w:color w:val="auto"/>
          <w:sz w:val="24"/>
          <w:szCs w:val="24"/>
          <w:lang w:bidi="ar"/>
        </w:rPr>
        <w:t>广东华伦招标有限公司</w:t>
      </w:r>
      <w:r>
        <w:rPr>
          <w:rFonts w:hint="eastAsia" w:ascii="宋体" w:hAnsi="宋体" w:cs="宋体"/>
          <w:color w:val="auto"/>
          <w:sz w:val="24"/>
          <w:szCs w:val="24"/>
          <w:lang w:bidi="ar"/>
        </w:rPr>
        <w:t>不予更换发票类型，并愿承担由此引起的一切后果。</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lang w:bidi="ar"/>
        </w:rPr>
        <w:t xml:space="preserve"> </w:t>
      </w:r>
    </w:p>
    <w:p>
      <w:pPr>
        <w:snapToGrid w:val="0"/>
        <w:spacing w:line="520" w:lineRule="exact"/>
        <w:ind w:left="780" w:right="480"/>
        <w:jc w:val="center"/>
        <w:rPr>
          <w:rFonts w:ascii="宋体" w:hAnsi="宋体" w:cs="宋体"/>
          <w:color w:val="auto"/>
          <w:sz w:val="24"/>
          <w:szCs w:val="24"/>
        </w:rPr>
      </w:pPr>
      <w:r>
        <w:rPr>
          <w:rFonts w:hint="eastAsia" w:ascii="宋体" w:hAnsi="宋体" w:cs="宋体"/>
          <w:color w:val="auto"/>
          <w:sz w:val="24"/>
          <w:szCs w:val="24"/>
          <w:lang w:bidi="ar"/>
        </w:rPr>
        <w:t>供应商名称（单位盖</w:t>
      </w:r>
      <w:r>
        <w:rPr>
          <w:rFonts w:hint="eastAsia" w:ascii="宋体" w:hAnsi="宋体" w:cs="宋体"/>
          <w:color w:val="auto"/>
          <w:spacing w:val="4"/>
          <w:sz w:val="24"/>
          <w:szCs w:val="24"/>
          <w:lang w:bidi="ar"/>
        </w:rPr>
        <w:t>公章</w:t>
      </w:r>
      <w:r>
        <w:rPr>
          <w:rFonts w:hint="eastAsia" w:ascii="宋体" w:hAnsi="宋体" w:cs="宋体"/>
          <w:color w:val="auto"/>
          <w:sz w:val="24"/>
          <w:szCs w:val="24"/>
          <w:lang w:bidi="ar"/>
        </w:rPr>
        <w:t>）：</w:t>
      </w:r>
    </w:p>
    <w:p>
      <w:pPr>
        <w:snapToGrid w:val="0"/>
        <w:spacing w:line="520" w:lineRule="exact"/>
        <w:ind w:firstLine="4800" w:firstLineChars="2000"/>
        <w:rPr>
          <w:rFonts w:ascii="宋体" w:hAnsi="宋体" w:cs="宋体"/>
          <w:color w:val="auto"/>
          <w:sz w:val="24"/>
          <w:szCs w:val="24"/>
        </w:rPr>
      </w:pPr>
      <w:r>
        <w:rPr>
          <w:rFonts w:hint="eastAsia" w:ascii="宋体" w:hAnsi="宋体" w:cs="宋体"/>
          <w:color w:val="auto"/>
          <w:sz w:val="24"/>
          <w:szCs w:val="24"/>
          <w:lang w:bidi="ar"/>
        </w:rPr>
        <w:t>供应商地址：</w:t>
      </w: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autoSpaceDE w:val="0"/>
        <w:autoSpaceDN w:val="0"/>
        <w:spacing w:line="360" w:lineRule="auto"/>
        <w:rPr>
          <w:rFonts w:ascii="宋体" w:hAnsi="宋体"/>
          <w:color w:val="auto"/>
          <w:sz w:val="24"/>
          <w:szCs w:val="24"/>
        </w:rPr>
      </w:pPr>
    </w:p>
    <w:p>
      <w:pPr>
        <w:pStyle w:val="5"/>
        <w:numPr>
          <w:ilvl w:val="0"/>
          <w:numId w:val="99"/>
        </w:numPr>
        <w:tabs>
          <w:tab w:val="left" w:pos="945"/>
        </w:tabs>
        <w:spacing w:before="0" w:after="0" w:line="360" w:lineRule="auto"/>
        <w:ind w:left="0" w:firstLine="0"/>
        <w:rPr>
          <w:rFonts w:ascii="宋体" w:hAnsi="宋体"/>
          <w:color w:val="auto"/>
          <w:szCs w:val="24"/>
        </w:rPr>
      </w:pPr>
      <w:bookmarkStart w:id="490" w:name="_Toc12945"/>
      <w:r>
        <w:rPr>
          <w:rFonts w:hint="eastAsia" w:ascii="宋体" w:hAnsi="宋体"/>
          <w:color w:val="auto"/>
          <w:szCs w:val="24"/>
        </w:rPr>
        <w:t>其他附件（如有）</w:t>
      </w:r>
      <w:bookmarkEnd w:id="490"/>
    </w:p>
    <w:p>
      <w:pPr>
        <w:autoSpaceDE w:val="0"/>
        <w:autoSpaceDN w:val="0"/>
        <w:spacing w:line="360" w:lineRule="auto"/>
        <w:rPr>
          <w:rFonts w:ascii="宋体" w:hAnsi="宋体"/>
          <w:color w:val="auto"/>
          <w:sz w:val="24"/>
          <w:szCs w:val="24"/>
        </w:rPr>
      </w:pPr>
      <w:r>
        <w:rPr>
          <w:rFonts w:hint="eastAsia" w:ascii="宋体" w:hAnsi="宋体"/>
          <w:color w:val="auto"/>
          <w:sz w:val="24"/>
          <w:szCs w:val="24"/>
        </w:rPr>
        <w:t>请提供附件详细清单并标注附件所在页码范围（格式及内容自定）。</w:t>
      </w:r>
    </w:p>
    <w:sectPr>
      <w:footerReference r:id="rId6" w:type="default"/>
      <w:pgSz w:w="11906" w:h="16838"/>
      <w:pgMar w:top="1134" w:right="1134" w:bottom="1134" w:left="1134" w:header="567" w:footer="737" w:gutter="454"/>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Helvetica Neue">
    <w:altName w:val="Arial"/>
    <w:panose1 w:val="00000000000000000000"/>
    <w:charset w:val="00"/>
    <w:family w:val="roman"/>
    <w:pitch w:val="default"/>
    <w:sig w:usb0="00000000" w:usb1="00000000" w:usb2="00000000" w:usb3="00000000" w:csb0="00040001" w:csb1="00000000"/>
  </w:font>
  <w:font w:name="Arial Unicode MS">
    <w:panose1 w:val="020B0604020202020204"/>
    <w:charset w:val="86"/>
    <w:family w:val="roman"/>
    <w:pitch w:val="default"/>
    <w:sig w:usb0="FFFFFFFF" w:usb1="E9FFFFFF" w:usb2="0000003F" w:usb3="00000000" w:csb0="603F01FF" w:csb1="FFFF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top w:val="single" w:color="auto" w:sz="4" w:space="1"/>
      </w:pBdr>
      <w:tabs>
        <w:tab w:val="center" w:pos="4678"/>
        <w:tab w:val="right" w:pos="9214"/>
        <w:tab w:val="clear" w:pos="4153"/>
        <w:tab w:val="clear" w:pos="8306"/>
      </w:tabs>
      <w:ind w:firstLine="270" w:firstLineChars="150"/>
      <w:rPr>
        <w:rFonts w:ascii="宋体" w:hAnsi="宋体"/>
      </w:rPr>
    </w:pPr>
    <w:r>
      <w:rPr>
        <w:rFonts w:ascii="宋体" w:hAnsi="宋体"/>
      </w:rPr>
      <w:pict>
        <v:shape id="_x0000_s1041" o:spid="_x0000_s1041" o:spt="75" type="#_x0000_t75" style="position:absolute;left:0pt;margin-left:0pt;margin-top:0.95pt;height:11.25pt;width:11.25pt;mso-wrap-distance-bottom:0pt;mso-wrap-distance-left:9pt;mso-wrap-distance-right:9pt;mso-wrap-distance-top:0pt;z-index:251659264;mso-width-relative:page;mso-height-relative:page;" filled="f" o:preferrelative="t" stroked="f" coordsize="21600,21600" o:allowoverlap="f">
          <v:path/>
          <v:fill on="f" focussize="0,0"/>
          <v:stroke on="f" joinstyle="miter"/>
          <v:imagedata r:id="rId1" o:title="LOGO20190523（终稿）"/>
          <o:lock v:ext="edit" aspectratio="t"/>
          <w10:wrap type="square"/>
        </v:shape>
      </w:pict>
    </w:r>
    <w:r>
      <w:rPr>
        <w:rFonts w:hint="eastAsia" w:ascii="宋体" w:hAnsi="宋体"/>
      </w:rPr>
      <w:t>广东华伦招标有限公司</w:t>
    </w:r>
    <w:r>
      <w:rPr>
        <w:rFonts w:hint="eastAsia" w:ascii="宋体" w:hAnsi="宋体"/>
      </w:rPr>
      <w:tab/>
    </w: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6</w:t>
    </w:r>
    <w:r>
      <w:rPr>
        <w:rFonts w:ascii="宋体" w:hAnsi="宋体"/>
      </w:rPr>
      <w:fldChar w:fldCharType="end"/>
    </w:r>
    <w:r>
      <w:rPr>
        <w:rFonts w:hint="eastAsia" w:ascii="宋体" w:hAnsi="宋体"/>
      </w:rPr>
      <w:tab/>
    </w:r>
    <w:r>
      <w:fldChar w:fldCharType="begin"/>
    </w:r>
    <w:r>
      <w:instrText xml:space="preserve"> HYPERLINK "http://www.gdhualun.com.cn/" </w:instrText>
    </w:r>
    <w:r>
      <w:fldChar w:fldCharType="separate"/>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top w:val="single" w:color="auto" w:sz="4" w:space="1"/>
      </w:pBdr>
      <w:tabs>
        <w:tab w:val="center" w:pos="4678"/>
        <w:tab w:val="right" w:pos="9214"/>
        <w:tab w:val="clear" w:pos="4153"/>
        <w:tab w:val="clear" w:pos="8306"/>
      </w:tabs>
      <w:ind w:firstLine="270" w:firstLineChars="150"/>
      <w:rPr>
        <w:rFonts w:ascii="宋体" w:hAnsi="宋体"/>
      </w:rPr>
    </w:pPr>
    <w:r>
      <w:rPr>
        <w:rFonts w:ascii="宋体" w:hAnsi="宋体"/>
      </w:rPr>
      <w:pict>
        <v:shape id="_x0000_s1043" o:spid="_x0000_s1043" o:spt="75" type="#_x0000_t75" style="position:absolute;left:0pt;margin-left:0pt;margin-top:0.95pt;height:11.25pt;width:11.25pt;mso-wrap-distance-bottom:0pt;mso-wrap-distance-left:9pt;mso-wrap-distance-right:9pt;mso-wrap-distance-top:0pt;z-index:251659264;mso-width-relative:page;mso-height-relative:page;" filled="f" o:preferrelative="t" stroked="f" coordsize="21600,21600" o:allowoverlap="f">
          <v:path/>
          <v:fill on="f" focussize="0,0"/>
          <v:stroke on="f" joinstyle="miter"/>
          <v:imagedata r:id="rId1" o:title="LOGO20190523（终稿）"/>
          <o:lock v:ext="edit" aspectratio="t"/>
          <w10:wrap type="square"/>
        </v:shape>
      </w:pict>
    </w:r>
    <w:r>
      <w:rPr>
        <w:rFonts w:hint="eastAsia" w:ascii="宋体" w:hAnsi="宋体"/>
      </w:rPr>
      <w:t>广东华伦招标有限公司</w:t>
    </w:r>
    <w:r>
      <w:rPr>
        <w:rFonts w:hint="eastAsia" w:ascii="宋体" w:hAnsi="宋体"/>
      </w:rPr>
      <w:tab/>
    </w:r>
    <w:r>
      <w:rPr>
        <w:rFonts w:ascii="宋体" w:hAnsi="宋体"/>
      </w:rPr>
      <w:tab/>
    </w: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78</w:t>
    </w:r>
    <w:r>
      <w:rPr>
        <w:rFonts w:ascii="宋体" w:hAnsi="宋体"/>
      </w:rPr>
      <w:fldChar w:fldCharType="end"/>
    </w:r>
    <w:r>
      <w:rPr>
        <w:rFonts w:hint="eastAsia" w:ascii="宋体" w:hAnsi="宋体"/>
      </w:rPr>
      <w:tab/>
    </w:r>
    <w:r>
      <w:fldChar w:fldCharType="begin"/>
    </w:r>
    <w:r>
      <w:instrText xml:space="preserve"> HYPERLINK "http://www.gdhualun.com.cn/" </w:instrText>
    </w:r>
    <w:r>
      <w:fldChar w:fldCharType="separate"/>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top w:val="single" w:color="auto" w:sz="4" w:space="1"/>
      </w:pBdr>
      <w:tabs>
        <w:tab w:val="center" w:pos="4678"/>
        <w:tab w:val="right" w:pos="9214"/>
        <w:tab w:val="clear" w:pos="4153"/>
        <w:tab w:val="clear" w:pos="8306"/>
      </w:tabs>
      <w:ind w:firstLine="270" w:firstLineChars="150"/>
      <w:rPr>
        <w:rFonts w:ascii="宋体" w:hAnsi="宋体"/>
      </w:rPr>
    </w:pPr>
    <w:r>
      <w:rPr>
        <w:rFonts w:ascii="宋体" w:hAnsi="宋体"/>
      </w:rPr>
      <w:pict>
        <v:shape id="_x0000_s1044" o:spid="_x0000_s1044" o:spt="75" type="#_x0000_t75" style="position:absolute;left:0pt;margin-left:0pt;margin-top:0.95pt;height:11.25pt;width:11.25pt;mso-wrap-distance-bottom:0pt;mso-wrap-distance-left:9pt;mso-wrap-distance-right:9pt;mso-wrap-distance-top:0pt;z-index:251659264;mso-width-relative:page;mso-height-relative:page;" filled="f" o:preferrelative="t" stroked="f" coordsize="21600,21600" o:allowoverlap="f">
          <v:path/>
          <v:fill on="f" focussize="0,0"/>
          <v:stroke on="f" joinstyle="miter"/>
          <v:imagedata r:id="rId1" o:title="LOGO20190523（终稿）"/>
          <o:lock v:ext="edit" aspectratio="t"/>
          <w10:wrap type="square"/>
        </v:shape>
      </w:pict>
    </w:r>
    <w:r>
      <w:rPr>
        <w:rFonts w:hint="eastAsia" w:ascii="宋体" w:hAnsi="宋体"/>
      </w:rPr>
      <w:t>广东华伦招标有限公司</w:t>
    </w:r>
    <w:r>
      <w:rPr>
        <w:rFonts w:hint="eastAsia" w:ascii="宋体" w:hAnsi="宋体"/>
      </w:rPr>
      <w:tab/>
    </w:r>
    <w:r>
      <w:rPr>
        <w:rFonts w:ascii="宋体" w:hAnsi="宋体"/>
      </w:rPr>
      <w:tab/>
    </w: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lang w:val="zh-CN"/>
      </w:rPr>
      <w:t>155</w:t>
    </w:r>
    <w:r>
      <w:rPr>
        <w:rFonts w:ascii="宋体" w:hAnsi="宋体"/>
      </w:rPr>
      <w:fldChar w:fldCharType="end"/>
    </w:r>
    <w:r>
      <w:rPr>
        <w:rFonts w:hint="eastAsia" w:ascii="宋体" w:hAnsi="宋体"/>
      </w:rPr>
      <w:tab/>
    </w:r>
    <w:r>
      <w:fldChar w:fldCharType="begin"/>
    </w:r>
    <w:r>
      <w:instrText xml:space="preserve"> HYPERLINK "http://www.gdhualun.com.cn/" </w:instrText>
    </w:r>
    <w:r>
      <w:fldChar w:fldCharType="separate"/>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599"/>
        <w:tab w:val="right" w:pos="9198"/>
        <w:tab w:val="clear" w:pos="4153"/>
        <w:tab w:val="clear" w:pos="8306"/>
      </w:tabs>
      <w:jc w:val="both"/>
      <w:rPr>
        <w:rFonts w:ascii="宋体" w:hAnsi="宋体"/>
      </w:rPr>
    </w:pPr>
    <w:r>
      <w:rPr>
        <w:rFonts w:hint="eastAsia" w:ascii="宋体" w:hAnsi="宋体"/>
      </w:rPr>
      <w:t>采购项目名称：</w:t>
    </w:r>
    <w:r>
      <w:rPr>
        <w:rFonts w:hint="eastAsia" w:ascii="宋体" w:hAnsi="宋体"/>
        <w:color w:val="0000FF"/>
        <w:lang w:eastAsia="zh-CN"/>
      </w:rPr>
      <w:t>工业和信息化部电子第五研究所动力电池配套使用环境试验箱采购项目</w:t>
    </w:r>
    <w:r>
      <w:rPr>
        <w:rFonts w:hint="eastAsia" w:ascii="宋体" w:hAnsi="宋体"/>
      </w:rPr>
      <w:t>招标文件</w:t>
    </w:r>
    <w:r>
      <w:rPr>
        <w:rFonts w:hint="eastAsia" w:ascii="宋体" w:hAnsi="宋体"/>
      </w:rPr>
      <w:tab/>
    </w:r>
  </w:p>
  <w:p>
    <w:pPr>
      <w:pStyle w:val="19"/>
      <w:tabs>
        <w:tab w:val="center" w:pos="4599"/>
        <w:tab w:val="right" w:pos="9198"/>
        <w:tab w:val="clear" w:pos="4153"/>
        <w:tab w:val="clear" w:pos="8306"/>
      </w:tabs>
      <w:jc w:val="both"/>
      <w:rPr>
        <w:rFonts w:hint="eastAsia" w:ascii="宋体" w:hAnsi="宋体" w:eastAsia="宋体"/>
        <w:lang w:eastAsia="zh-CN"/>
      </w:rPr>
    </w:pPr>
    <w:r>
      <w:rPr>
        <w:rFonts w:hint="eastAsia" w:ascii="宋体" w:hAnsi="宋体"/>
      </w:rPr>
      <w:t>采购文件编号：</w:t>
    </w:r>
    <w:r>
      <w:rPr>
        <w:rFonts w:hint="eastAsia" w:ascii="宋体" w:hAnsi="宋体"/>
        <w:color w:val="0000FF"/>
        <w:lang w:eastAsia="zh-CN"/>
      </w:rPr>
      <w:t>0809-2241GZG14036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C20D67"/>
    <w:multiLevelType w:val="multilevel"/>
    <w:tmpl w:val="91C20D67"/>
    <w:lvl w:ilvl="0" w:tentative="0">
      <w:start w:val="1"/>
      <w:numFmt w:val="decimal"/>
      <w:lvlText w:val="%1"/>
      <w:lvlJc w:val="left"/>
      <w:pPr>
        <w:tabs>
          <w:tab w:val="left" w:pos="360"/>
        </w:tabs>
        <w:ind w:left="360" w:hanging="360"/>
      </w:pPr>
      <w:rPr>
        <w:rFonts w:hint="default"/>
      </w:rPr>
    </w:lvl>
    <w:lvl w:ilvl="1" w:tentative="0">
      <w:start w:val="1"/>
      <w:numFmt w:val="decimal"/>
      <w:lvlText w:val="%1.%2"/>
      <w:lvlJc w:val="left"/>
      <w:pPr>
        <w:tabs>
          <w:tab w:val="left" w:pos="360"/>
        </w:tabs>
        <w:ind w:left="360" w:hanging="36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080"/>
        </w:tabs>
        <w:ind w:left="1080" w:hanging="108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440"/>
        </w:tabs>
        <w:ind w:left="1440" w:hanging="1440"/>
      </w:pPr>
      <w:rPr>
        <w:rFonts w:hint="default"/>
      </w:rPr>
    </w:lvl>
  </w:abstractNum>
  <w:abstractNum w:abstractNumId="1">
    <w:nsid w:val="ADC9CBFA"/>
    <w:multiLevelType w:val="singleLevel"/>
    <w:tmpl w:val="ADC9CBFA"/>
    <w:lvl w:ilvl="0" w:tentative="0">
      <w:start w:val="1"/>
      <w:numFmt w:val="decimal"/>
      <w:lvlText w:val="%1."/>
      <w:lvlJc w:val="left"/>
      <w:pPr>
        <w:ind w:left="425" w:hanging="425"/>
      </w:pPr>
      <w:rPr>
        <w:rFonts w:hint="default"/>
      </w:rPr>
    </w:lvl>
  </w:abstractNum>
  <w:abstractNum w:abstractNumId="2">
    <w:nsid w:val="BE59FECE"/>
    <w:multiLevelType w:val="multilevel"/>
    <w:tmpl w:val="BE59FECE"/>
    <w:lvl w:ilvl="0" w:tentative="0">
      <w:start w:val="5"/>
      <w:numFmt w:val="decimal"/>
      <w:lvlText w:val="%1."/>
      <w:lvlJc w:val="left"/>
      <w:pPr>
        <w:ind w:left="1930" w:hanging="425"/>
      </w:pPr>
      <w:rPr>
        <w:rFonts w:hint="default"/>
      </w:rPr>
    </w:lvl>
    <w:lvl w:ilvl="1" w:tentative="0">
      <w:start w:val="1"/>
      <w:numFmt w:val="decimal"/>
      <w:lvlText w:val="%1.%2."/>
      <w:lvlJc w:val="left"/>
      <w:pPr>
        <w:ind w:left="2355" w:hanging="453"/>
      </w:pPr>
      <w:rPr>
        <w:rFonts w:hint="default"/>
      </w:rPr>
    </w:lvl>
    <w:lvl w:ilvl="2" w:tentative="0">
      <w:start w:val="1"/>
      <w:numFmt w:val="decimal"/>
      <w:lvlText w:val="%1.%2.%3."/>
      <w:lvlJc w:val="left"/>
      <w:pPr>
        <w:ind w:left="3013" w:hanging="708"/>
      </w:pPr>
      <w:rPr>
        <w:rFonts w:hint="default"/>
      </w:rPr>
    </w:lvl>
    <w:lvl w:ilvl="3" w:tentative="0">
      <w:start w:val="1"/>
      <w:numFmt w:val="decimal"/>
      <w:lvlText w:val="%1.%2.%3.%4."/>
      <w:lvlJc w:val="left"/>
      <w:pPr>
        <w:ind w:left="3558" w:hanging="853"/>
      </w:pPr>
      <w:rPr>
        <w:rFonts w:hint="default"/>
      </w:rPr>
    </w:lvl>
    <w:lvl w:ilvl="4" w:tentative="0">
      <w:start w:val="1"/>
      <w:numFmt w:val="decimal"/>
      <w:lvlText w:val="%1.%2.%3.%4.%5."/>
      <w:lvlJc w:val="left"/>
      <w:pPr>
        <w:ind w:left="4000" w:hanging="895"/>
      </w:pPr>
      <w:rPr>
        <w:rFonts w:hint="default"/>
      </w:rPr>
    </w:lvl>
    <w:lvl w:ilvl="5" w:tentative="0">
      <w:start w:val="1"/>
      <w:numFmt w:val="decimal"/>
      <w:lvlText w:val="%1.%2.%3.%4.%5.%6."/>
      <w:lvlJc w:val="left"/>
      <w:pPr>
        <w:ind w:left="4641" w:hanging="1136"/>
      </w:pPr>
      <w:rPr>
        <w:rFonts w:hint="default"/>
      </w:rPr>
    </w:lvl>
    <w:lvl w:ilvl="6" w:tentative="0">
      <w:start w:val="1"/>
      <w:numFmt w:val="decimal"/>
      <w:lvlText w:val="%1.%2.%3.%4.%5.%6.%7."/>
      <w:lvlJc w:val="left"/>
      <w:pPr>
        <w:ind w:left="5178" w:hanging="1273"/>
      </w:pPr>
      <w:rPr>
        <w:rFonts w:hint="default"/>
      </w:rPr>
    </w:lvl>
    <w:lvl w:ilvl="7" w:tentative="0">
      <w:start w:val="1"/>
      <w:numFmt w:val="decimal"/>
      <w:lvlText w:val="%1.%2.%3.%4.%5.%6.%7.%8."/>
      <w:lvlJc w:val="left"/>
      <w:pPr>
        <w:ind w:left="5723" w:hanging="1418"/>
      </w:pPr>
      <w:rPr>
        <w:rFonts w:hint="default"/>
      </w:rPr>
    </w:lvl>
    <w:lvl w:ilvl="8" w:tentative="0">
      <w:start w:val="1"/>
      <w:numFmt w:val="decimal"/>
      <w:lvlText w:val="%1.%2.%3.%4.%5.%6.%7.%8.%9."/>
      <w:lvlJc w:val="left"/>
      <w:pPr>
        <w:ind w:left="6153" w:hanging="1448"/>
      </w:pPr>
      <w:rPr>
        <w:rFonts w:hint="default"/>
      </w:rPr>
    </w:lvl>
  </w:abstractNum>
  <w:abstractNum w:abstractNumId="3">
    <w:nsid w:val="FC2253CC"/>
    <w:multiLevelType w:val="singleLevel"/>
    <w:tmpl w:val="FC2253CC"/>
    <w:lvl w:ilvl="0" w:tentative="0">
      <w:start w:val="1"/>
      <w:numFmt w:val="chineseCounting"/>
      <w:suff w:val="nothing"/>
      <w:lvlText w:val="（%1）"/>
      <w:lvlJc w:val="left"/>
      <w:pPr>
        <w:ind w:left="0" w:firstLine="420"/>
      </w:pPr>
      <w:rPr>
        <w:rFonts w:hint="eastAsia"/>
        <w:sz w:val="24"/>
        <w:szCs w:val="24"/>
      </w:rPr>
    </w:lvl>
  </w:abstractNum>
  <w:abstractNum w:abstractNumId="4">
    <w:nsid w:val="00000040"/>
    <w:multiLevelType w:val="multilevel"/>
    <w:tmpl w:val="00000040"/>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5">
    <w:nsid w:val="031B5A53"/>
    <w:multiLevelType w:val="multilevel"/>
    <w:tmpl w:val="031B5A53"/>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4A971D6"/>
    <w:multiLevelType w:val="multilevel"/>
    <w:tmpl w:val="04A971D6"/>
    <w:lvl w:ilvl="0" w:tentative="0">
      <w:start w:val="27"/>
      <w:numFmt w:val="decimal"/>
      <w:lvlText w:val="%1."/>
      <w:lvlJc w:val="left"/>
      <w:pPr>
        <w:ind w:left="425" w:hanging="425"/>
      </w:pPr>
      <w:rPr>
        <w:rFonts w:hint="eastAsia"/>
        <w:strike w:val="0"/>
      </w:rPr>
    </w:lvl>
    <w:lvl w:ilvl="1" w:tentative="0">
      <w:start w:val="1"/>
      <w:numFmt w:val="decimal"/>
      <w:lvlText w:val="22.%2."/>
      <w:lvlJc w:val="left"/>
      <w:pPr>
        <w:ind w:left="567" w:hanging="567"/>
      </w:pPr>
      <w:rPr>
        <w:rFonts w:hint="eastAsia"/>
      </w:rPr>
    </w:lvl>
    <w:lvl w:ilvl="2" w:tentative="0">
      <w:start w:val="1"/>
      <w:numFmt w:val="decimal"/>
      <w:lvlText w:val="20.3.%3"/>
      <w:lvlJc w:val="left"/>
      <w:pPr>
        <w:ind w:left="709"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
    <w:nsid w:val="059C4F6F"/>
    <w:multiLevelType w:val="multilevel"/>
    <w:tmpl w:val="059C4F6F"/>
    <w:lvl w:ilvl="0" w:tentative="0">
      <w:start w:val="1"/>
      <w:numFmt w:val="decimal"/>
      <w:lvlText w:val="%1."/>
      <w:lvlJc w:val="left"/>
      <w:pPr>
        <w:ind w:left="425" w:hanging="425"/>
      </w:pPr>
      <w:rPr>
        <w:rFonts w:hint="eastAsia"/>
      </w:rPr>
    </w:lvl>
    <w:lvl w:ilvl="1" w:tentative="0">
      <w:start w:val="1"/>
      <w:numFmt w:val="decimal"/>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
    <w:nsid w:val="08C804EA"/>
    <w:multiLevelType w:val="multilevel"/>
    <w:tmpl w:val="08C804EA"/>
    <w:lvl w:ilvl="0" w:tentative="0">
      <w:start w:val="1"/>
      <w:numFmt w:val="decimal"/>
      <w:lvlText w:val="8.%1."/>
      <w:lvlJc w:val="left"/>
      <w:pPr>
        <w:ind w:left="1260" w:hanging="420"/>
      </w:pPr>
      <w:rPr>
        <w:rFonts w:hint="eastAsia" w:ascii="宋体" w:hAnsi="宋体" w:eastAsia="宋体"/>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9">
    <w:nsid w:val="09220F56"/>
    <w:multiLevelType w:val="multilevel"/>
    <w:tmpl w:val="09220F56"/>
    <w:lvl w:ilvl="0" w:tentative="0">
      <w:start w:val="4"/>
      <w:numFmt w:val="decimal"/>
      <w:lvlText w:val="%1."/>
      <w:lvlJc w:val="left"/>
      <w:pPr>
        <w:ind w:left="425" w:hanging="425"/>
      </w:pPr>
      <w:rPr>
        <w:rFonts w:hint="eastAsia" w:ascii="宋体" w:hAnsi="宋体" w:eastAsia="宋体"/>
      </w:rPr>
    </w:lvl>
    <w:lvl w:ilvl="1" w:tentative="0">
      <w:start w:val="1"/>
      <w:numFmt w:val="decimal"/>
      <w:lvlText w:val="%1.%2."/>
      <w:lvlJc w:val="left"/>
      <w:pPr>
        <w:ind w:left="2268" w:hanging="567"/>
      </w:pPr>
      <w:rPr>
        <w:rFonts w:hint="eastAsia" w:ascii="宋体" w:hAnsi="宋体" w:eastAsia="宋体"/>
        <w:color w:val="auto"/>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0">
    <w:nsid w:val="09C85D5F"/>
    <w:multiLevelType w:val="multilevel"/>
    <w:tmpl w:val="09C85D5F"/>
    <w:lvl w:ilvl="0" w:tentative="0">
      <w:start w:val="27"/>
      <w:numFmt w:val="decimal"/>
      <w:lvlText w:val="%1."/>
      <w:lvlJc w:val="left"/>
      <w:pPr>
        <w:ind w:left="425" w:hanging="425"/>
      </w:pPr>
      <w:rPr>
        <w:rFonts w:hint="eastAsia"/>
        <w:strike w:val="0"/>
      </w:rPr>
    </w:lvl>
    <w:lvl w:ilvl="1" w:tentative="0">
      <w:start w:val="1"/>
      <w:numFmt w:val="decimal"/>
      <w:lvlText w:val="25.%2."/>
      <w:lvlJc w:val="left"/>
      <w:pPr>
        <w:ind w:left="567" w:hanging="567"/>
      </w:pPr>
      <w:rPr>
        <w:rFonts w:hint="eastAsia"/>
      </w:rPr>
    </w:lvl>
    <w:lvl w:ilvl="2" w:tentative="0">
      <w:start w:val="27"/>
      <w:numFmt w:val="decimal"/>
      <w:lvlText w:val="25.1.%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1">
    <w:nsid w:val="0B990D93"/>
    <w:multiLevelType w:val="multilevel"/>
    <w:tmpl w:val="0B990D93"/>
    <w:lvl w:ilvl="0" w:tentative="0">
      <w:start w:val="1"/>
      <w:numFmt w:val="decimal"/>
      <w:lvlText w:val="7.%1"/>
      <w:lvlJc w:val="left"/>
      <w:pPr>
        <w:ind w:left="1129"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E017E85"/>
    <w:multiLevelType w:val="multilevel"/>
    <w:tmpl w:val="0E017E85"/>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0E340F9E"/>
    <w:multiLevelType w:val="multilevel"/>
    <w:tmpl w:val="0E340F9E"/>
    <w:lvl w:ilvl="0" w:tentative="0">
      <w:start w:val="34"/>
      <w:numFmt w:val="decimal"/>
      <w:lvlText w:val="%1."/>
      <w:lvlJc w:val="left"/>
      <w:pPr>
        <w:ind w:left="425" w:hanging="425"/>
      </w:pPr>
      <w:rPr>
        <w:rFonts w:hint="eastAsia"/>
        <w:strike w:val="0"/>
      </w:rPr>
    </w:lvl>
    <w:lvl w:ilvl="1" w:tentative="0">
      <w:start w:val="1"/>
      <w:numFmt w:val="decimal"/>
      <w:lvlText w:val="28.%2."/>
      <w:lvlJc w:val="left"/>
      <w:pPr>
        <w:ind w:left="6663"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4">
    <w:nsid w:val="115C2C52"/>
    <w:multiLevelType w:val="multilevel"/>
    <w:tmpl w:val="115C2C52"/>
    <w:lvl w:ilvl="0" w:tentative="0">
      <w:start w:val="1"/>
      <w:numFmt w:val="decimal"/>
      <w:lvlText w:val="%1."/>
      <w:lvlJc w:val="left"/>
      <w:pPr>
        <w:tabs>
          <w:tab w:val="left" w:pos="360"/>
        </w:tabs>
        <w:ind w:left="360" w:hanging="360"/>
      </w:pPr>
      <w:rPr>
        <w:rFonts w:hint="default"/>
      </w:rPr>
    </w:lvl>
    <w:lvl w:ilvl="1" w:tentative="0">
      <w:start w:val="5"/>
      <w:numFmt w:val="decimal"/>
      <w:isLgl/>
      <w:lvlText w:val="%1.%2"/>
      <w:lvlJc w:val="left"/>
      <w:pPr>
        <w:tabs>
          <w:tab w:val="left" w:pos="360"/>
        </w:tabs>
        <w:ind w:left="360" w:hanging="360"/>
      </w:pPr>
      <w:rPr>
        <w:rFonts w:hint="default"/>
      </w:rPr>
    </w:lvl>
    <w:lvl w:ilvl="2" w:tentative="0">
      <w:start w:val="1"/>
      <w:numFmt w:val="decimal"/>
      <w:isLgl/>
      <w:lvlText w:val="%1.%2.%3"/>
      <w:lvlJc w:val="left"/>
      <w:pPr>
        <w:tabs>
          <w:tab w:val="left" w:pos="720"/>
        </w:tabs>
        <w:ind w:left="720" w:hanging="720"/>
      </w:pPr>
      <w:rPr>
        <w:rFonts w:hint="default"/>
      </w:rPr>
    </w:lvl>
    <w:lvl w:ilvl="3" w:tentative="0">
      <w:start w:val="1"/>
      <w:numFmt w:val="decimal"/>
      <w:isLgl/>
      <w:lvlText w:val="%1.%2.%3.%4"/>
      <w:lvlJc w:val="left"/>
      <w:pPr>
        <w:tabs>
          <w:tab w:val="left" w:pos="720"/>
        </w:tabs>
        <w:ind w:left="720" w:hanging="720"/>
      </w:pPr>
      <w:rPr>
        <w:rFonts w:hint="default"/>
      </w:rPr>
    </w:lvl>
    <w:lvl w:ilvl="4" w:tentative="0">
      <w:start w:val="1"/>
      <w:numFmt w:val="decimal"/>
      <w:isLgl/>
      <w:lvlText w:val="%1.%2.%3.%4.%5"/>
      <w:lvlJc w:val="left"/>
      <w:pPr>
        <w:tabs>
          <w:tab w:val="left" w:pos="1080"/>
        </w:tabs>
        <w:ind w:left="1080" w:hanging="1080"/>
      </w:pPr>
      <w:rPr>
        <w:rFonts w:hint="default"/>
      </w:rPr>
    </w:lvl>
    <w:lvl w:ilvl="5" w:tentative="0">
      <w:start w:val="1"/>
      <w:numFmt w:val="decimal"/>
      <w:isLgl/>
      <w:lvlText w:val="%1.%2.%3.%4.%5.%6"/>
      <w:lvlJc w:val="left"/>
      <w:pPr>
        <w:tabs>
          <w:tab w:val="left" w:pos="1080"/>
        </w:tabs>
        <w:ind w:left="1080" w:hanging="1080"/>
      </w:pPr>
      <w:rPr>
        <w:rFonts w:hint="default"/>
      </w:rPr>
    </w:lvl>
    <w:lvl w:ilvl="6" w:tentative="0">
      <w:start w:val="1"/>
      <w:numFmt w:val="decimal"/>
      <w:isLgl/>
      <w:lvlText w:val="%1.%2.%3.%4.%5.%6.%7"/>
      <w:lvlJc w:val="left"/>
      <w:pPr>
        <w:tabs>
          <w:tab w:val="left" w:pos="1440"/>
        </w:tabs>
        <w:ind w:left="1440" w:hanging="1440"/>
      </w:pPr>
      <w:rPr>
        <w:rFonts w:hint="default"/>
      </w:rPr>
    </w:lvl>
    <w:lvl w:ilvl="7" w:tentative="0">
      <w:start w:val="1"/>
      <w:numFmt w:val="decimal"/>
      <w:isLgl/>
      <w:lvlText w:val="%1.%2.%3.%4.%5.%6.%7.%8"/>
      <w:lvlJc w:val="left"/>
      <w:pPr>
        <w:tabs>
          <w:tab w:val="left" w:pos="1440"/>
        </w:tabs>
        <w:ind w:left="1440" w:hanging="1440"/>
      </w:pPr>
      <w:rPr>
        <w:rFonts w:hint="default"/>
      </w:rPr>
    </w:lvl>
    <w:lvl w:ilvl="8" w:tentative="0">
      <w:start w:val="1"/>
      <w:numFmt w:val="decimal"/>
      <w:isLgl/>
      <w:lvlText w:val="%1.%2.%3.%4.%5.%6.%7.%8.%9"/>
      <w:lvlJc w:val="left"/>
      <w:pPr>
        <w:tabs>
          <w:tab w:val="left" w:pos="1800"/>
        </w:tabs>
        <w:ind w:left="1800" w:hanging="1800"/>
      </w:pPr>
      <w:rPr>
        <w:rFonts w:hint="default"/>
      </w:rPr>
    </w:lvl>
  </w:abstractNum>
  <w:abstractNum w:abstractNumId="15">
    <w:nsid w:val="11E649B7"/>
    <w:multiLevelType w:val="multilevel"/>
    <w:tmpl w:val="11E649B7"/>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14F93CBD"/>
    <w:multiLevelType w:val="multilevel"/>
    <w:tmpl w:val="14F93CB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168A66FF"/>
    <w:multiLevelType w:val="multilevel"/>
    <w:tmpl w:val="168A66FF"/>
    <w:lvl w:ilvl="0" w:tentative="0">
      <w:start w:val="32"/>
      <w:numFmt w:val="decimal"/>
      <w:lvlText w:val="%1."/>
      <w:lvlJc w:val="left"/>
      <w:pPr>
        <w:ind w:left="425" w:hanging="425"/>
      </w:pPr>
      <w:rPr>
        <w:rFonts w:hint="eastAsia"/>
        <w:strike w:val="0"/>
      </w:rPr>
    </w:lvl>
    <w:lvl w:ilvl="1" w:tentative="0">
      <w:start w:val="3"/>
      <w:numFmt w:val="decimal"/>
      <w:lvlText w:val="%1.%2."/>
      <w:lvlJc w:val="left"/>
      <w:pPr>
        <w:ind w:left="567" w:hanging="567"/>
      </w:pPr>
      <w:rPr>
        <w:rFonts w:hint="eastAsia"/>
      </w:rPr>
    </w:lvl>
    <w:lvl w:ilvl="2" w:tentative="0">
      <w:start w:val="1"/>
      <w:numFmt w:val="decimal"/>
      <w:lvlText w:val="25.5.%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8">
    <w:nsid w:val="17704C10"/>
    <w:multiLevelType w:val="multilevel"/>
    <w:tmpl w:val="17704C10"/>
    <w:lvl w:ilvl="0" w:tentative="0">
      <w:start w:val="1"/>
      <w:numFmt w:val="decimal"/>
      <w:lvlText w:val="6.%1."/>
      <w:lvlJc w:val="left"/>
      <w:pPr>
        <w:ind w:left="1740" w:hanging="420"/>
      </w:pPr>
      <w:rPr>
        <w:rFonts w:hint="eastAsia" w:ascii="宋体" w:hAnsi="宋体" w:eastAsia="宋体"/>
      </w:rPr>
    </w:lvl>
    <w:lvl w:ilvl="1" w:tentative="0">
      <w:start w:val="1"/>
      <w:numFmt w:val="lowerLetter"/>
      <w:lvlText w:val="%2)"/>
      <w:lvlJc w:val="left"/>
      <w:pPr>
        <w:ind w:left="2160" w:hanging="420"/>
      </w:pPr>
    </w:lvl>
    <w:lvl w:ilvl="2" w:tentative="0">
      <w:start w:val="1"/>
      <w:numFmt w:val="lowerRoman"/>
      <w:lvlText w:val="%3."/>
      <w:lvlJc w:val="right"/>
      <w:pPr>
        <w:ind w:left="2580" w:hanging="420"/>
      </w:pPr>
    </w:lvl>
    <w:lvl w:ilvl="3" w:tentative="0">
      <w:start w:val="1"/>
      <w:numFmt w:val="decimal"/>
      <w:lvlText w:val="%4."/>
      <w:lvlJc w:val="left"/>
      <w:pPr>
        <w:ind w:left="3000" w:hanging="420"/>
      </w:pPr>
    </w:lvl>
    <w:lvl w:ilvl="4" w:tentative="0">
      <w:start w:val="1"/>
      <w:numFmt w:val="lowerLetter"/>
      <w:lvlText w:val="%5)"/>
      <w:lvlJc w:val="left"/>
      <w:pPr>
        <w:ind w:left="3420" w:hanging="420"/>
      </w:pPr>
    </w:lvl>
    <w:lvl w:ilvl="5" w:tentative="0">
      <w:start w:val="1"/>
      <w:numFmt w:val="lowerRoman"/>
      <w:lvlText w:val="%6."/>
      <w:lvlJc w:val="right"/>
      <w:pPr>
        <w:ind w:left="3840" w:hanging="420"/>
      </w:pPr>
    </w:lvl>
    <w:lvl w:ilvl="6" w:tentative="0">
      <w:start w:val="1"/>
      <w:numFmt w:val="decimal"/>
      <w:lvlText w:val="%7."/>
      <w:lvlJc w:val="left"/>
      <w:pPr>
        <w:ind w:left="4260" w:hanging="420"/>
      </w:pPr>
    </w:lvl>
    <w:lvl w:ilvl="7" w:tentative="0">
      <w:start w:val="1"/>
      <w:numFmt w:val="lowerLetter"/>
      <w:lvlText w:val="%8)"/>
      <w:lvlJc w:val="left"/>
      <w:pPr>
        <w:ind w:left="4680" w:hanging="420"/>
      </w:pPr>
    </w:lvl>
    <w:lvl w:ilvl="8" w:tentative="0">
      <w:start w:val="1"/>
      <w:numFmt w:val="lowerRoman"/>
      <w:lvlText w:val="%9."/>
      <w:lvlJc w:val="right"/>
      <w:pPr>
        <w:ind w:left="5100" w:hanging="420"/>
      </w:pPr>
    </w:lvl>
  </w:abstractNum>
  <w:abstractNum w:abstractNumId="19">
    <w:nsid w:val="1901005F"/>
    <w:multiLevelType w:val="multilevel"/>
    <w:tmpl w:val="1901005F"/>
    <w:lvl w:ilvl="0" w:tentative="0">
      <w:start w:val="7"/>
      <w:numFmt w:val="decimal"/>
      <w:lvlText w:val="%1."/>
      <w:lvlJc w:val="left"/>
      <w:pPr>
        <w:ind w:left="425" w:hanging="425"/>
      </w:pPr>
      <w:rPr>
        <w:rFonts w:hint="eastAsia"/>
      </w:rPr>
    </w:lvl>
    <w:lvl w:ilvl="1" w:tentative="0">
      <w:start w:val="1"/>
      <w:numFmt w:val="decimal"/>
      <w:lvlText w:val="13.%2."/>
      <w:lvlJc w:val="left"/>
      <w:pPr>
        <w:ind w:left="1418" w:hanging="567"/>
      </w:pPr>
      <w:rPr>
        <w:rFonts w:hint="eastAsia" w:ascii="宋体" w:hAnsi="宋体" w:eastAsia="宋体"/>
        <w:strike w:val="0"/>
      </w:rPr>
    </w:lvl>
    <w:lvl w:ilvl="2" w:tentative="0">
      <w:start w:val="1"/>
      <w:numFmt w:val="decimal"/>
      <w:lvlText w:val="11.3.%3"/>
      <w:lvlJc w:val="left"/>
      <w:pPr>
        <w:ind w:left="709"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0">
    <w:nsid w:val="198D59A8"/>
    <w:multiLevelType w:val="multilevel"/>
    <w:tmpl w:val="198D59A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1C89651F"/>
    <w:multiLevelType w:val="multilevel"/>
    <w:tmpl w:val="1C89651F"/>
    <w:lvl w:ilvl="0" w:tentative="0">
      <w:start w:val="7"/>
      <w:numFmt w:val="decimal"/>
      <w:lvlText w:val="%1."/>
      <w:lvlJc w:val="left"/>
      <w:pPr>
        <w:ind w:left="425" w:hanging="425"/>
      </w:pPr>
      <w:rPr>
        <w:rFonts w:hint="eastAsia"/>
      </w:rPr>
    </w:lvl>
    <w:lvl w:ilvl="1" w:tentative="0">
      <w:start w:val="1"/>
      <w:numFmt w:val="decimal"/>
      <w:lvlText w:val="15.%2."/>
      <w:lvlJc w:val="left"/>
      <w:pPr>
        <w:ind w:left="1418" w:hanging="567"/>
      </w:pPr>
      <w:rPr>
        <w:rFonts w:hint="eastAsia" w:ascii="宋体" w:hAnsi="宋体" w:eastAsia="宋体"/>
        <w:strike w:val="0"/>
      </w:rPr>
    </w:lvl>
    <w:lvl w:ilvl="2" w:tentative="0">
      <w:start w:val="1"/>
      <w:numFmt w:val="decimal"/>
      <w:lvlText w:val="14.2.%3."/>
      <w:lvlJc w:val="left"/>
      <w:pPr>
        <w:ind w:left="1560"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2">
    <w:nsid w:val="1DF03A4C"/>
    <w:multiLevelType w:val="multilevel"/>
    <w:tmpl w:val="1DF03A4C"/>
    <w:lvl w:ilvl="0" w:tentative="0">
      <w:start w:val="7"/>
      <w:numFmt w:val="decimal"/>
      <w:lvlText w:val="%1."/>
      <w:lvlJc w:val="left"/>
      <w:pPr>
        <w:ind w:left="425" w:hanging="425"/>
      </w:pPr>
      <w:rPr>
        <w:rFonts w:hint="eastAsia"/>
      </w:rPr>
    </w:lvl>
    <w:lvl w:ilvl="1" w:tentative="0">
      <w:start w:val="1"/>
      <w:numFmt w:val="decimal"/>
      <w:lvlText w:val="18.%2"/>
      <w:lvlJc w:val="left"/>
      <w:pPr>
        <w:ind w:left="1418" w:hanging="567"/>
      </w:pPr>
      <w:rPr>
        <w:rFonts w:hint="eastAsia" w:ascii="宋体" w:hAnsi="宋体" w:eastAsia="宋体"/>
        <w:strike w:val="0"/>
      </w:rPr>
    </w:lvl>
    <w:lvl w:ilvl="2" w:tentative="0">
      <w:start w:val="1"/>
      <w:numFmt w:val="decimal"/>
      <w:lvlText w:val="14.2.%3."/>
      <w:lvlJc w:val="left"/>
      <w:pPr>
        <w:ind w:left="1560"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3">
    <w:nsid w:val="1F2D3D91"/>
    <w:multiLevelType w:val="multilevel"/>
    <w:tmpl w:val="1F2D3D91"/>
    <w:lvl w:ilvl="0" w:tentative="0">
      <w:start w:val="1"/>
      <w:numFmt w:val="decimalEnclosedCircle"/>
      <w:lvlText w:val="%1"/>
      <w:lvlJc w:val="left"/>
      <w:pPr>
        <w:ind w:left="1347" w:hanging="420"/>
      </w:pPr>
      <w:rPr>
        <w:rFonts w:hint="default"/>
      </w:rPr>
    </w:lvl>
    <w:lvl w:ilvl="1" w:tentative="0">
      <w:start w:val="1"/>
      <w:numFmt w:val="lowerLetter"/>
      <w:lvlText w:val="%2)"/>
      <w:lvlJc w:val="left"/>
      <w:pPr>
        <w:ind w:left="1767" w:hanging="420"/>
      </w:pPr>
    </w:lvl>
    <w:lvl w:ilvl="2" w:tentative="0">
      <w:start w:val="1"/>
      <w:numFmt w:val="lowerRoman"/>
      <w:lvlText w:val="%3."/>
      <w:lvlJc w:val="right"/>
      <w:pPr>
        <w:ind w:left="2187" w:hanging="420"/>
      </w:pPr>
    </w:lvl>
    <w:lvl w:ilvl="3" w:tentative="0">
      <w:start w:val="1"/>
      <w:numFmt w:val="decimal"/>
      <w:lvlText w:val="%4."/>
      <w:lvlJc w:val="left"/>
      <w:pPr>
        <w:ind w:left="2607" w:hanging="420"/>
      </w:pPr>
    </w:lvl>
    <w:lvl w:ilvl="4" w:tentative="0">
      <w:start w:val="1"/>
      <w:numFmt w:val="lowerLetter"/>
      <w:lvlText w:val="%5)"/>
      <w:lvlJc w:val="left"/>
      <w:pPr>
        <w:ind w:left="3027" w:hanging="420"/>
      </w:pPr>
    </w:lvl>
    <w:lvl w:ilvl="5" w:tentative="0">
      <w:start w:val="1"/>
      <w:numFmt w:val="lowerRoman"/>
      <w:lvlText w:val="%6."/>
      <w:lvlJc w:val="right"/>
      <w:pPr>
        <w:ind w:left="3447" w:hanging="420"/>
      </w:pPr>
    </w:lvl>
    <w:lvl w:ilvl="6" w:tentative="0">
      <w:start w:val="1"/>
      <w:numFmt w:val="decimal"/>
      <w:lvlText w:val="%7."/>
      <w:lvlJc w:val="left"/>
      <w:pPr>
        <w:ind w:left="3867" w:hanging="420"/>
      </w:pPr>
    </w:lvl>
    <w:lvl w:ilvl="7" w:tentative="0">
      <w:start w:val="1"/>
      <w:numFmt w:val="lowerLetter"/>
      <w:lvlText w:val="%8)"/>
      <w:lvlJc w:val="left"/>
      <w:pPr>
        <w:ind w:left="4287" w:hanging="420"/>
      </w:pPr>
    </w:lvl>
    <w:lvl w:ilvl="8" w:tentative="0">
      <w:start w:val="1"/>
      <w:numFmt w:val="lowerRoman"/>
      <w:lvlText w:val="%9."/>
      <w:lvlJc w:val="right"/>
      <w:pPr>
        <w:ind w:left="4707" w:hanging="420"/>
      </w:pPr>
    </w:lvl>
  </w:abstractNum>
  <w:abstractNum w:abstractNumId="24">
    <w:nsid w:val="20093FEB"/>
    <w:multiLevelType w:val="multilevel"/>
    <w:tmpl w:val="20093FE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222D4EAC"/>
    <w:multiLevelType w:val="multilevel"/>
    <w:tmpl w:val="222D4EAC"/>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252E0B0A"/>
    <w:multiLevelType w:val="multilevel"/>
    <w:tmpl w:val="252E0B0A"/>
    <w:lvl w:ilvl="0" w:tentative="0">
      <w:start w:val="1"/>
      <w:numFmt w:val="decimal"/>
      <w:lvlText w:val="10.%1."/>
      <w:lvlJc w:val="left"/>
      <w:pPr>
        <w:ind w:left="990" w:hanging="420"/>
      </w:pPr>
      <w:rPr>
        <w:rFonts w:hint="eastAsia" w:ascii="宋体" w:hAnsi="宋体" w:eastAsia="宋体"/>
      </w:rPr>
    </w:lvl>
    <w:lvl w:ilvl="1" w:tentative="0">
      <w:start w:val="1"/>
      <w:numFmt w:val="lowerLetter"/>
      <w:lvlText w:val="%2)"/>
      <w:lvlJc w:val="left"/>
      <w:pPr>
        <w:ind w:left="1410" w:hanging="420"/>
      </w:pPr>
    </w:lvl>
    <w:lvl w:ilvl="2" w:tentative="0">
      <w:start w:val="1"/>
      <w:numFmt w:val="lowerRoman"/>
      <w:lvlText w:val="%3."/>
      <w:lvlJc w:val="right"/>
      <w:pPr>
        <w:ind w:left="1830" w:hanging="420"/>
      </w:pPr>
    </w:lvl>
    <w:lvl w:ilvl="3" w:tentative="0">
      <w:start w:val="1"/>
      <w:numFmt w:val="decimal"/>
      <w:lvlText w:val="%4."/>
      <w:lvlJc w:val="left"/>
      <w:pPr>
        <w:ind w:left="2250" w:hanging="420"/>
      </w:pPr>
    </w:lvl>
    <w:lvl w:ilvl="4" w:tentative="0">
      <w:start w:val="1"/>
      <w:numFmt w:val="lowerLetter"/>
      <w:lvlText w:val="%5)"/>
      <w:lvlJc w:val="left"/>
      <w:pPr>
        <w:ind w:left="2670" w:hanging="420"/>
      </w:pPr>
    </w:lvl>
    <w:lvl w:ilvl="5" w:tentative="0">
      <w:start w:val="1"/>
      <w:numFmt w:val="lowerRoman"/>
      <w:lvlText w:val="%6."/>
      <w:lvlJc w:val="right"/>
      <w:pPr>
        <w:ind w:left="3090" w:hanging="420"/>
      </w:pPr>
    </w:lvl>
    <w:lvl w:ilvl="6" w:tentative="0">
      <w:start w:val="1"/>
      <w:numFmt w:val="decimal"/>
      <w:lvlText w:val="%7."/>
      <w:lvlJc w:val="left"/>
      <w:pPr>
        <w:ind w:left="3510" w:hanging="420"/>
      </w:pPr>
    </w:lvl>
    <w:lvl w:ilvl="7" w:tentative="0">
      <w:start w:val="1"/>
      <w:numFmt w:val="lowerLetter"/>
      <w:lvlText w:val="%8)"/>
      <w:lvlJc w:val="left"/>
      <w:pPr>
        <w:ind w:left="3930" w:hanging="420"/>
      </w:pPr>
    </w:lvl>
    <w:lvl w:ilvl="8" w:tentative="0">
      <w:start w:val="1"/>
      <w:numFmt w:val="lowerRoman"/>
      <w:lvlText w:val="%9."/>
      <w:lvlJc w:val="right"/>
      <w:pPr>
        <w:ind w:left="4350" w:hanging="420"/>
      </w:pPr>
    </w:lvl>
  </w:abstractNum>
  <w:abstractNum w:abstractNumId="27">
    <w:nsid w:val="259E6301"/>
    <w:multiLevelType w:val="multilevel"/>
    <w:tmpl w:val="259E6301"/>
    <w:lvl w:ilvl="0" w:tentative="0">
      <w:start w:val="1"/>
      <w:numFmt w:val="decimal"/>
      <w:lvlText w:val="1.%1."/>
      <w:lvlJc w:val="left"/>
      <w:pPr>
        <w:ind w:left="1129"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271E712C"/>
    <w:multiLevelType w:val="multilevel"/>
    <w:tmpl w:val="271E712C"/>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28E1012D"/>
    <w:multiLevelType w:val="multilevel"/>
    <w:tmpl w:val="28E1012D"/>
    <w:lvl w:ilvl="0" w:tentative="0">
      <w:start w:val="27"/>
      <w:numFmt w:val="decimal"/>
      <w:lvlText w:val="%1."/>
      <w:lvlJc w:val="left"/>
      <w:pPr>
        <w:ind w:left="425" w:hanging="425"/>
      </w:pPr>
      <w:rPr>
        <w:rFonts w:hint="eastAsia"/>
        <w:strike w:val="0"/>
      </w:rPr>
    </w:lvl>
    <w:lvl w:ilvl="1" w:tentative="0">
      <w:start w:val="1"/>
      <w:numFmt w:val="decimal"/>
      <w:lvlText w:val="25.%2."/>
      <w:lvlJc w:val="left"/>
      <w:pPr>
        <w:ind w:left="567" w:hanging="567"/>
      </w:pPr>
      <w:rPr>
        <w:rFonts w:hint="eastAsia"/>
      </w:rPr>
    </w:lvl>
    <w:lvl w:ilvl="2" w:tentative="0">
      <w:start w:val="1"/>
      <w:numFmt w:val="decimal"/>
      <w:lvlText w:val="25.3.%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0">
    <w:nsid w:val="2ACF0A4A"/>
    <w:multiLevelType w:val="multilevel"/>
    <w:tmpl w:val="2ACF0A4A"/>
    <w:lvl w:ilvl="0" w:tentative="0">
      <w:start w:val="1"/>
      <w:numFmt w:val="decimal"/>
      <w:lvlText w:val="9.1.%1"/>
      <w:lvlJc w:val="left"/>
      <w:pPr>
        <w:ind w:left="735" w:hanging="420"/>
      </w:pPr>
      <w:rPr>
        <w:rFonts w:hint="eastAsia" w:ascii="宋体" w:hAnsi="宋体" w:eastAsia="宋体"/>
      </w:rPr>
    </w:lvl>
    <w:lvl w:ilvl="1" w:tentative="0">
      <w:start w:val="1"/>
      <w:numFmt w:val="lowerLetter"/>
      <w:lvlText w:val="%2)"/>
      <w:lvlJc w:val="left"/>
      <w:pPr>
        <w:ind w:left="1155" w:hanging="420"/>
      </w:pPr>
    </w:lvl>
    <w:lvl w:ilvl="2" w:tentative="0">
      <w:start w:val="1"/>
      <w:numFmt w:val="lowerRoman"/>
      <w:lvlText w:val="%3."/>
      <w:lvlJc w:val="right"/>
      <w:pPr>
        <w:ind w:left="1575" w:hanging="420"/>
      </w:pPr>
    </w:lvl>
    <w:lvl w:ilvl="3" w:tentative="0">
      <w:start w:val="1"/>
      <w:numFmt w:val="decimal"/>
      <w:lvlText w:val="%4."/>
      <w:lvlJc w:val="left"/>
      <w:pPr>
        <w:ind w:left="1995" w:hanging="420"/>
      </w:pPr>
    </w:lvl>
    <w:lvl w:ilvl="4" w:tentative="0">
      <w:start w:val="1"/>
      <w:numFmt w:val="lowerLetter"/>
      <w:lvlText w:val="%5)"/>
      <w:lvlJc w:val="left"/>
      <w:pPr>
        <w:ind w:left="2415" w:hanging="420"/>
      </w:pPr>
    </w:lvl>
    <w:lvl w:ilvl="5" w:tentative="0">
      <w:start w:val="1"/>
      <w:numFmt w:val="lowerRoman"/>
      <w:lvlText w:val="%6."/>
      <w:lvlJc w:val="right"/>
      <w:pPr>
        <w:ind w:left="2835" w:hanging="420"/>
      </w:pPr>
    </w:lvl>
    <w:lvl w:ilvl="6" w:tentative="0">
      <w:start w:val="1"/>
      <w:numFmt w:val="decimal"/>
      <w:lvlText w:val="%7."/>
      <w:lvlJc w:val="left"/>
      <w:pPr>
        <w:ind w:left="3255" w:hanging="420"/>
      </w:pPr>
    </w:lvl>
    <w:lvl w:ilvl="7" w:tentative="0">
      <w:start w:val="1"/>
      <w:numFmt w:val="lowerLetter"/>
      <w:lvlText w:val="%8)"/>
      <w:lvlJc w:val="left"/>
      <w:pPr>
        <w:ind w:left="3675" w:hanging="420"/>
      </w:pPr>
    </w:lvl>
    <w:lvl w:ilvl="8" w:tentative="0">
      <w:start w:val="1"/>
      <w:numFmt w:val="lowerRoman"/>
      <w:lvlText w:val="%9."/>
      <w:lvlJc w:val="right"/>
      <w:pPr>
        <w:ind w:left="4095" w:hanging="420"/>
      </w:pPr>
    </w:lvl>
  </w:abstractNum>
  <w:abstractNum w:abstractNumId="31">
    <w:nsid w:val="2BCA2BE3"/>
    <w:multiLevelType w:val="multilevel"/>
    <w:tmpl w:val="2BCA2BE3"/>
    <w:lvl w:ilvl="0" w:tentative="0">
      <w:start w:val="1"/>
      <w:numFmt w:val="decimal"/>
      <w:lvlText w:val="2.1.%1"/>
      <w:lvlJc w:val="left"/>
      <w:pPr>
        <w:ind w:left="1380" w:hanging="420"/>
      </w:pPr>
      <w:rPr>
        <w:rFonts w:hint="eastAsia"/>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32">
    <w:nsid w:val="2D960AC2"/>
    <w:multiLevelType w:val="multilevel"/>
    <w:tmpl w:val="2D960AC2"/>
    <w:lvl w:ilvl="0" w:tentative="0">
      <w:start w:val="27"/>
      <w:numFmt w:val="decimal"/>
      <w:lvlText w:val="%1."/>
      <w:lvlJc w:val="left"/>
      <w:pPr>
        <w:ind w:left="425" w:hanging="425"/>
      </w:pPr>
      <w:rPr>
        <w:rFonts w:hint="eastAsia"/>
        <w:strike w:val="0"/>
      </w:rPr>
    </w:lvl>
    <w:lvl w:ilvl="1" w:tentative="0">
      <w:start w:val="1"/>
      <w:numFmt w:val="decimal"/>
      <w:lvlText w:val="24.%2."/>
      <w:lvlJc w:val="left"/>
      <w:pPr>
        <w:ind w:left="567" w:hanging="567"/>
      </w:pPr>
      <w:rPr>
        <w:rFonts w:hint="eastAsia"/>
      </w:rPr>
    </w:lvl>
    <w:lvl w:ilvl="2" w:tentative="0">
      <w:start w:val="1"/>
      <w:numFmt w:val="decimal"/>
      <w:lvlText w:val="20.3.%3"/>
      <w:lvlJc w:val="left"/>
      <w:pPr>
        <w:ind w:left="709"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3">
    <w:nsid w:val="2EAE07DF"/>
    <w:multiLevelType w:val="multilevel"/>
    <w:tmpl w:val="2EAE07DF"/>
    <w:lvl w:ilvl="0" w:tentative="0">
      <w:start w:val="7"/>
      <w:numFmt w:val="decimal"/>
      <w:lvlText w:val="%1."/>
      <w:lvlJc w:val="left"/>
      <w:pPr>
        <w:ind w:left="425" w:hanging="425"/>
      </w:pPr>
      <w:rPr>
        <w:rFonts w:hint="eastAsia"/>
      </w:rPr>
    </w:lvl>
    <w:lvl w:ilvl="1" w:tentative="0">
      <w:start w:val="1"/>
      <w:numFmt w:val="decimal"/>
      <w:lvlText w:val="19.%2."/>
      <w:lvlJc w:val="left"/>
      <w:pPr>
        <w:ind w:left="1418" w:hanging="567"/>
      </w:pPr>
      <w:rPr>
        <w:rFonts w:hint="eastAsia" w:ascii="宋体" w:hAnsi="宋体" w:eastAsia="宋体"/>
        <w:strike w:val="0"/>
      </w:rPr>
    </w:lvl>
    <w:lvl w:ilvl="2" w:tentative="0">
      <w:start w:val="1"/>
      <w:numFmt w:val="decimal"/>
      <w:lvlText w:val="14.2.%3."/>
      <w:lvlJc w:val="left"/>
      <w:pPr>
        <w:ind w:left="1560"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4">
    <w:nsid w:val="33935800"/>
    <w:multiLevelType w:val="multilevel"/>
    <w:tmpl w:val="33935800"/>
    <w:lvl w:ilvl="0" w:tentative="0">
      <w:start w:val="7"/>
      <w:numFmt w:val="decimal"/>
      <w:lvlText w:val="%1."/>
      <w:lvlJc w:val="left"/>
      <w:pPr>
        <w:ind w:left="425" w:hanging="425"/>
      </w:pPr>
      <w:rPr>
        <w:rFonts w:hint="eastAsia"/>
      </w:rPr>
    </w:lvl>
    <w:lvl w:ilvl="1" w:tentative="0">
      <w:start w:val="1"/>
      <w:numFmt w:val="decimal"/>
      <w:lvlText w:val="12.%2."/>
      <w:lvlJc w:val="left"/>
      <w:pPr>
        <w:ind w:left="1418" w:hanging="567"/>
      </w:pPr>
      <w:rPr>
        <w:rFonts w:hint="eastAsia" w:ascii="宋体" w:hAnsi="宋体" w:eastAsia="宋体"/>
        <w:strike w:val="0"/>
      </w:rPr>
    </w:lvl>
    <w:lvl w:ilvl="2" w:tentative="0">
      <w:start w:val="1"/>
      <w:numFmt w:val="decimal"/>
      <w:lvlText w:val="11.3.%3"/>
      <w:lvlJc w:val="left"/>
      <w:pPr>
        <w:ind w:left="709"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5">
    <w:nsid w:val="36EB04D5"/>
    <w:multiLevelType w:val="multilevel"/>
    <w:tmpl w:val="36EB04D5"/>
    <w:lvl w:ilvl="0" w:tentative="0">
      <w:start w:val="2"/>
      <w:numFmt w:val="japaneseCounting"/>
      <w:lvlText w:val="%1、"/>
      <w:lvlJc w:val="left"/>
      <w:pPr>
        <w:ind w:left="510" w:hanging="51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378E1379"/>
    <w:multiLevelType w:val="multilevel"/>
    <w:tmpl w:val="378E1379"/>
    <w:lvl w:ilvl="0" w:tentative="0">
      <w:start w:val="27"/>
      <w:numFmt w:val="decimal"/>
      <w:lvlText w:val="%1."/>
      <w:lvlJc w:val="left"/>
      <w:pPr>
        <w:ind w:left="425" w:hanging="425"/>
      </w:pPr>
      <w:rPr>
        <w:rFonts w:hint="eastAsia"/>
        <w:strike w:val="0"/>
      </w:rPr>
    </w:lvl>
    <w:lvl w:ilvl="1" w:tentative="0">
      <w:start w:val="1"/>
      <w:numFmt w:val="decimal"/>
      <w:lvlText w:val="21.%2."/>
      <w:lvlJc w:val="left"/>
      <w:pPr>
        <w:ind w:left="567" w:hanging="567"/>
      </w:pPr>
      <w:rPr>
        <w:rFonts w:hint="eastAsia"/>
      </w:rPr>
    </w:lvl>
    <w:lvl w:ilvl="2" w:tentative="0">
      <w:start w:val="1"/>
      <w:numFmt w:val="decimal"/>
      <w:lvlText w:val="20.3.%3"/>
      <w:lvlJc w:val="left"/>
      <w:pPr>
        <w:ind w:left="709"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7">
    <w:nsid w:val="378F3178"/>
    <w:multiLevelType w:val="multilevel"/>
    <w:tmpl w:val="378F3178"/>
    <w:lvl w:ilvl="0" w:tentative="0">
      <w:start w:val="7"/>
      <w:numFmt w:val="decimal"/>
      <w:lvlText w:val="%1."/>
      <w:lvlJc w:val="left"/>
      <w:pPr>
        <w:ind w:left="425" w:hanging="425"/>
      </w:pPr>
      <w:rPr>
        <w:rFonts w:hint="eastAsia"/>
      </w:rPr>
    </w:lvl>
    <w:lvl w:ilvl="1" w:tentative="0">
      <w:start w:val="1"/>
      <w:numFmt w:val="decimal"/>
      <w:lvlText w:val="8.%2."/>
      <w:lvlJc w:val="left"/>
      <w:pPr>
        <w:ind w:left="1418" w:hanging="567"/>
      </w:pPr>
      <w:rPr>
        <w:rFonts w:hint="eastAsia"/>
        <w:strike w:val="0"/>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8">
    <w:nsid w:val="3A6A2A34"/>
    <w:multiLevelType w:val="multilevel"/>
    <w:tmpl w:val="3A6A2A34"/>
    <w:lvl w:ilvl="0" w:tentative="0">
      <w:start w:val="7"/>
      <w:numFmt w:val="decimal"/>
      <w:lvlText w:val="%1."/>
      <w:lvlJc w:val="left"/>
      <w:pPr>
        <w:ind w:left="425" w:hanging="425"/>
      </w:pPr>
      <w:rPr>
        <w:rFonts w:hint="eastAsia"/>
      </w:rPr>
    </w:lvl>
    <w:lvl w:ilvl="1" w:tentative="0">
      <w:start w:val="1"/>
      <w:numFmt w:val="decimal"/>
      <w:lvlText w:val="14.%2."/>
      <w:lvlJc w:val="left"/>
      <w:pPr>
        <w:ind w:left="1418" w:hanging="567"/>
      </w:pPr>
      <w:rPr>
        <w:rFonts w:hint="eastAsia" w:ascii="宋体" w:hAnsi="宋体" w:eastAsia="宋体"/>
        <w:strike w:val="0"/>
      </w:rPr>
    </w:lvl>
    <w:lvl w:ilvl="2" w:tentative="0">
      <w:start w:val="7"/>
      <w:numFmt w:val="decimal"/>
      <w:lvlText w:val="14.2.%3."/>
      <w:lvlJc w:val="left"/>
      <w:pPr>
        <w:ind w:left="1560"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9">
    <w:nsid w:val="3A8259D5"/>
    <w:multiLevelType w:val="multilevel"/>
    <w:tmpl w:val="3A8259D5"/>
    <w:lvl w:ilvl="0" w:tentative="0">
      <w:start w:val="7"/>
      <w:numFmt w:val="decimal"/>
      <w:lvlText w:val="%1."/>
      <w:lvlJc w:val="left"/>
      <w:pPr>
        <w:ind w:left="425" w:hanging="425"/>
      </w:pPr>
      <w:rPr>
        <w:rFonts w:hint="eastAsia"/>
      </w:rPr>
    </w:lvl>
    <w:lvl w:ilvl="1" w:tentative="0">
      <w:start w:val="1"/>
      <w:numFmt w:val="decimal"/>
      <w:lvlText w:val="3.%2"/>
      <w:lvlJc w:val="left"/>
      <w:pPr>
        <w:ind w:left="1418" w:hanging="567"/>
      </w:pPr>
      <w:rPr>
        <w:rFonts w:hint="eastAsia" w:ascii="宋体" w:hAnsi="宋体" w:eastAsia="宋体"/>
        <w:strike w:val="0"/>
      </w:rPr>
    </w:lvl>
    <w:lvl w:ilvl="2" w:tentative="0">
      <w:start w:val="1"/>
      <w:numFmt w:val="decimal"/>
      <w:lvlText w:val="14.2.%3."/>
      <w:lvlJc w:val="left"/>
      <w:pPr>
        <w:ind w:left="1560"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40">
    <w:nsid w:val="3AE06F97"/>
    <w:multiLevelType w:val="multilevel"/>
    <w:tmpl w:val="3AE06F97"/>
    <w:lvl w:ilvl="0" w:tentative="0">
      <w:start w:val="1"/>
      <w:numFmt w:val="decimal"/>
      <w:lvlText w:val="%1."/>
      <w:lvlJc w:val="left"/>
      <w:pPr>
        <w:ind w:left="390" w:hanging="39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3D52314A"/>
    <w:multiLevelType w:val="multilevel"/>
    <w:tmpl w:val="3D52314A"/>
    <w:lvl w:ilvl="0" w:tentative="0">
      <w:start w:val="1"/>
      <w:numFmt w:val="decimalEnclosedCircle"/>
      <w:lvlText w:val="%1_x0001_"/>
      <w:lvlJc w:val="left"/>
      <w:pPr>
        <w:ind w:left="1320" w:hanging="360"/>
      </w:pPr>
      <w:rPr>
        <w:rFonts w:hint="default"/>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42">
    <w:nsid w:val="3D9C18E8"/>
    <w:multiLevelType w:val="singleLevel"/>
    <w:tmpl w:val="3D9C18E8"/>
    <w:lvl w:ilvl="0" w:tentative="0">
      <w:start w:val="1"/>
      <w:numFmt w:val="chineseCounting"/>
      <w:suff w:val="nothing"/>
      <w:lvlText w:val="（%1）"/>
      <w:lvlJc w:val="left"/>
      <w:pPr>
        <w:ind w:left="0" w:firstLine="420"/>
      </w:pPr>
      <w:rPr>
        <w:rFonts w:hint="eastAsia"/>
      </w:rPr>
    </w:lvl>
  </w:abstractNum>
  <w:abstractNum w:abstractNumId="43">
    <w:nsid w:val="3E656BC7"/>
    <w:multiLevelType w:val="multilevel"/>
    <w:tmpl w:val="3E656BC7"/>
    <w:lvl w:ilvl="0" w:tentative="0">
      <w:start w:val="1"/>
      <w:numFmt w:val="chineseCountingThousand"/>
      <w:lvlText w:val="%1、"/>
      <w:lvlJc w:val="left"/>
      <w:pPr>
        <w:ind w:left="425" w:hanging="425"/>
      </w:pPr>
      <w:rPr>
        <w:rFonts w:hint="eastAsia"/>
        <w:b w:val="0"/>
        <w:color w:val="auto"/>
        <w:sz w:val="24"/>
        <w:szCs w:val="24"/>
      </w:rPr>
    </w:lvl>
    <w:lvl w:ilvl="1" w:tentative="0">
      <w:start w:val="1"/>
      <w:numFmt w:val="decimal"/>
      <w:lvlText w:val="%2."/>
      <w:lvlJc w:val="left"/>
      <w:pPr>
        <w:ind w:left="567" w:hanging="567"/>
      </w:pPr>
      <w:rPr>
        <w:rFonts w:hint="eastAsia" w:ascii="宋体" w:hAnsi="宋体" w:eastAsia="宋体"/>
        <w:b w:val="0"/>
        <w:strike w:val="0"/>
        <w:color w:val="auto"/>
        <w:sz w:val="24"/>
        <w:szCs w:val="24"/>
      </w:rPr>
    </w:lvl>
    <w:lvl w:ilvl="2" w:tentative="0">
      <w:start w:val="1"/>
      <w:numFmt w:val="decimal"/>
      <w:lvlText w:val="（%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4">
    <w:nsid w:val="3EB85428"/>
    <w:multiLevelType w:val="multilevel"/>
    <w:tmpl w:val="3EB85428"/>
    <w:lvl w:ilvl="0" w:tentative="0">
      <w:start w:val="1"/>
      <w:numFmt w:val="decimal"/>
      <w:lvlText w:val="%1."/>
      <w:lvlJc w:val="left"/>
      <w:pPr>
        <w:ind w:left="420" w:hanging="420"/>
      </w:pPr>
      <w:rPr>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41675BFA"/>
    <w:multiLevelType w:val="multilevel"/>
    <w:tmpl w:val="41675BFA"/>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6">
    <w:nsid w:val="447E5889"/>
    <w:multiLevelType w:val="multilevel"/>
    <w:tmpl w:val="447E5889"/>
    <w:lvl w:ilvl="0" w:tentative="0">
      <w:start w:val="7"/>
      <w:numFmt w:val="decimal"/>
      <w:lvlText w:val="%1."/>
      <w:lvlJc w:val="left"/>
      <w:pPr>
        <w:ind w:left="425" w:hanging="425"/>
      </w:pPr>
      <w:rPr>
        <w:rFonts w:hint="eastAsia"/>
      </w:rPr>
    </w:lvl>
    <w:lvl w:ilvl="1" w:tentative="0">
      <w:start w:val="1"/>
      <w:numFmt w:val="decimal"/>
      <w:lvlText w:val="10.%2."/>
      <w:lvlJc w:val="left"/>
      <w:pPr>
        <w:ind w:left="1418" w:hanging="567"/>
      </w:pPr>
      <w:rPr>
        <w:rFonts w:hint="eastAsia" w:ascii="宋体" w:hAnsi="宋体" w:eastAsia="宋体"/>
        <w:strike w:val="0"/>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47">
    <w:nsid w:val="44FB0E84"/>
    <w:multiLevelType w:val="multilevel"/>
    <w:tmpl w:val="44FB0E8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
    <w:nsid w:val="4541E6CA"/>
    <w:multiLevelType w:val="multilevel"/>
    <w:tmpl w:val="4541E6CA"/>
    <w:lvl w:ilvl="0" w:tentative="0">
      <w:start w:val="1"/>
      <w:numFmt w:val="decimal"/>
      <w:lvlText w:val="%1."/>
      <w:lvlJc w:val="left"/>
      <w:pPr>
        <w:ind w:left="2106" w:hanging="420"/>
      </w:pPr>
      <w:rPr>
        <w:rFonts w:hint="eastAsia"/>
      </w:rPr>
    </w:lvl>
    <w:lvl w:ilvl="1" w:tentative="0">
      <w:start w:val="1"/>
      <w:numFmt w:val="lowerLetter"/>
      <w:lvlText w:val="%2)"/>
      <w:lvlJc w:val="left"/>
      <w:pPr>
        <w:ind w:left="2526" w:hanging="420"/>
      </w:pPr>
    </w:lvl>
    <w:lvl w:ilvl="2" w:tentative="0">
      <w:start w:val="1"/>
      <w:numFmt w:val="lowerRoman"/>
      <w:lvlText w:val="%3."/>
      <w:lvlJc w:val="right"/>
      <w:pPr>
        <w:ind w:left="2946" w:hanging="420"/>
      </w:pPr>
    </w:lvl>
    <w:lvl w:ilvl="3" w:tentative="0">
      <w:start w:val="1"/>
      <w:numFmt w:val="decimal"/>
      <w:lvlText w:val="%4."/>
      <w:lvlJc w:val="left"/>
      <w:pPr>
        <w:ind w:left="3366" w:hanging="420"/>
      </w:pPr>
    </w:lvl>
    <w:lvl w:ilvl="4" w:tentative="0">
      <w:start w:val="1"/>
      <w:numFmt w:val="lowerLetter"/>
      <w:lvlText w:val="%5)"/>
      <w:lvlJc w:val="left"/>
      <w:pPr>
        <w:ind w:left="3786" w:hanging="420"/>
      </w:pPr>
    </w:lvl>
    <w:lvl w:ilvl="5" w:tentative="0">
      <w:start w:val="1"/>
      <w:numFmt w:val="lowerRoman"/>
      <w:lvlText w:val="%6."/>
      <w:lvlJc w:val="right"/>
      <w:pPr>
        <w:ind w:left="4206" w:hanging="420"/>
      </w:pPr>
    </w:lvl>
    <w:lvl w:ilvl="6" w:tentative="0">
      <w:start w:val="1"/>
      <w:numFmt w:val="decimal"/>
      <w:lvlText w:val="%7."/>
      <w:lvlJc w:val="left"/>
      <w:pPr>
        <w:ind w:left="4626" w:hanging="420"/>
      </w:pPr>
    </w:lvl>
    <w:lvl w:ilvl="7" w:tentative="0">
      <w:start w:val="1"/>
      <w:numFmt w:val="lowerLetter"/>
      <w:lvlText w:val="%8)"/>
      <w:lvlJc w:val="left"/>
      <w:pPr>
        <w:ind w:left="5046" w:hanging="420"/>
      </w:pPr>
    </w:lvl>
    <w:lvl w:ilvl="8" w:tentative="0">
      <w:start w:val="1"/>
      <w:numFmt w:val="lowerRoman"/>
      <w:lvlText w:val="%9."/>
      <w:lvlJc w:val="right"/>
      <w:pPr>
        <w:ind w:left="5466" w:hanging="420"/>
      </w:pPr>
    </w:lvl>
  </w:abstractNum>
  <w:abstractNum w:abstractNumId="49">
    <w:nsid w:val="47780582"/>
    <w:multiLevelType w:val="multilevel"/>
    <w:tmpl w:val="47780582"/>
    <w:lvl w:ilvl="0" w:tentative="0">
      <w:start w:val="27"/>
      <w:numFmt w:val="decimal"/>
      <w:lvlText w:val="%1."/>
      <w:lvlJc w:val="left"/>
      <w:pPr>
        <w:ind w:left="425" w:hanging="425"/>
      </w:pPr>
      <w:rPr>
        <w:rFonts w:hint="eastAsia"/>
        <w:strike w:val="0"/>
      </w:rPr>
    </w:lvl>
    <w:lvl w:ilvl="1" w:tentative="0">
      <w:start w:val="1"/>
      <w:numFmt w:val="decimal"/>
      <w:lvlText w:val="20.%2"/>
      <w:lvlJc w:val="left"/>
      <w:pPr>
        <w:ind w:left="567" w:hanging="567"/>
      </w:pPr>
      <w:rPr>
        <w:rFonts w:hint="eastAsia" w:ascii="宋体" w:hAnsi="宋体" w:eastAsia="宋体"/>
      </w:rPr>
    </w:lvl>
    <w:lvl w:ilvl="2" w:tentative="0">
      <w:start w:val="1"/>
      <w:numFmt w:val="decimal"/>
      <w:lvlText w:val="20.3.%3"/>
      <w:lvlJc w:val="left"/>
      <w:pPr>
        <w:ind w:left="709"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0">
    <w:nsid w:val="47EA2369"/>
    <w:multiLevelType w:val="multilevel"/>
    <w:tmpl w:val="47EA2369"/>
    <w:lvl w:ilvl="0" w:tentative="0">
      <w:start w:val="1"/>
      <w:numFmt w:val="japaneseCounting"/>
      <w:lvlText w:val="%1、"/>
      <w:lvlJc w:val="left"/>
      <w:pPr>
        <w:ind w:left="720" w:hanging="72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
    <w:nsid w:val="4A182DBC"/>
    <w:multiLevelType w:val="multilevel"/>
    <w:tmpl w:val="4A182DBC"/>
    <w:lvl w:ilvl="0" w:tentative="0">
      <w:start w:val="27"/>
      <w:numFmt w:val="decimal"/>
      <w:lvlText w:val="%1."/>
      <w:lvlJc w:val="left"/>
      <w:pPr>
        <w:ind w:left="425" w:hanging="425"/>
      </w:pPr>
      <w:rPr>
        <w:rFonts w:hint="eastAsia"/>
        <w:strike w:val="0"/>
      </w:rPr>
    </w:lvl>
    <w:lvl w:ilvl="1" w:tentative="0">
      <w:start w:val="1"/>
      <w:numFmt w:val="decimal"/>
      <w:lvlText w:val="25.%2."/>
      <w:lvlJc w:val="left"/>
      <w:pPr>
        <w:ind w:left="567" w:hanging="567"/>
      </w:pPr>
      <w:rPr>
        <w:rFonts w:hint="eastAsia"/>
      </w:rPr>
    </w:lvl>
    <w:lvl w:ilvl="2" w:tentative="0">
      <w:start w:val="1"/>
      <w:numFmt w:val="decimal"/>
      <w:lvlText w:val="25.1.%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2">
    <w:nsid w:val="4A276D22"/>
    <w:multiLevelType w:val="multilevel"/>
    <w:tmpl w:val="4A276D22"/>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3">
    <w:nsid w:val="4AA136EC"/>
    <w:multiLevelType w:val="multilevel"/>
    <w:tmpl w:val="4AA136E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
    <w:nsid w:val="4CD12045"/>
    <w:multiLevelType w:val="multilevel"/>
    <w:tmpl w:val="4CD12045"/>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5">
    <w:nsid w:val="4D3B24F7"/>
    <w:multiLevelType w:val="multilevel"/>
    <w:tmpl w:val="4D3B24F7"/>
    <w:lvl w:ilvl="0" w:tentative="0">
      <w:start w:val="1"/>
      <w:numFmt w:val="decimal"/>
      <w:lvlText w:val="%1."/>
      <w:lvlJc w:val="left"/>
      <w:pPr>
        <w:ind w:left="3964" w:hanging="420"/>
      </w:pPr>
    </w:lvl>
    <w:lvl w:ilvl="1" w:tentative="0">
      <w:start w:val="1"/>
      <w:numFmt w:val="lowerLetter"/>
      <w:lvlText w:val="%2)"/>
      <w:lvlJc w:val="left"/>
      <w:pPr>
        <w:ind w:left="4384" w:hanging="420"/>
      </w:pPr>
    </w:lvl>
    <w:lvl w:ilvl="2" w:tentative="0">
      <w:start w:val="1"/>
      <w:numFmt w:val="lowerRoman"/>
      <w:lvlText w:val="%3."/>
      <w:lvlJc w:val="right"/>
      <w:pPr>
        <w:ind w:left="4804" w:hanging="420"/>
      </w:pPr>
    </w:lvl>
    <w:lvl w:ilvl="3" w:tentative="0">
      <w:start w:val="1"/>
      <w:numFmt w:val="decimal"/>
      <w:lvlText w:val="%4."/>
      <w:lvlJc w:val="left"/>
      <w:pPr>
        <w:ind w:left="5224" w:hanging="420"/>
      </w:pPr>
    </w:lvl>
    <w:lvl w:ilvl="4" w:tentative="0">
      <w:start w:val="1"/>
      <w:numFmt w:val="lowerLetter"/>
      <w:lvlText w:val="%5)"/>
      <w:lvlJc w:val="left"/>
      <w:pPr>
        <w:ind w:left="5644" w:hanging="420"/>
      </w:pPr>
    </w:lvl>
    <w:lvl w:ilvl="5" w:tentative="0">
      <w:start w:val="1"/>
      <w:numFmt w:val="lowerRoman"/>
      <w:lvlText w:val="%6."/>
      <w:lvlJc w:val="right"/>
      <w:pPr>
        <w:ind w:left="6064" w:hanging="420"/>
      </w:pPr>
    </w:lvl>
    <w:lvl w:ilvl="6" w:tentative="0">
      <w:start w:val="1"/>
      <w:numFmt w:val="decimal"/>
      <w:lvlText w:val="%7."/>
      <w:lvlJc w:val="left"/>
      <w:pPr>
        <w:ind w:left="6484" w:hanging="420"/>
      </w:pPr>
    </w:lvl>
    <w:lvl w:ilvl="7" w:tentative="0">
      <w:start w:val="1"/>
      <w:numFmt w:val="lowerLetter"/>
      <w:lvlText w:val="%8)"/>
      <w:lvlJc w:val="left"/>
      <w:pPr>
        <w:ind w:left="6904" w:hanging="420"/>
      </w:pPr>
    </w:lvl>
    <w:lvl w:ilvl="8" w:tentative="0">
      <w:start w:val="1"/>
      <w:numFmt w:val="lowerRoman"/>
      <w:lvlText w:val="%9."/>
      <w:lvlJc w:val="right"/>
      <w:pPr>
        <w:ind w:left="7324" w:hanging="420"/>
      </w:pPr>
    </w:lvl>
  </w:abstractNum>
  <w:abstractNum w:abstractNumId="56">
    <w:nsid w:val="4DF57024"/>
    <w:multiLevelType w:val="multilevel"/>
    <w:tmpl w:val="4DF57024"/>
    <w:lvl w:ilvl="0" w:tentative="0">
      <w:start w:val="1"/>
      <w:numFmt w:val="decimal"/>
      <w:lvlText w:val="%1."/>
      <w:lvlJc w:val="left"/>
      <w:pPr>
        <w:ind w:left="2836" w:hanging="425"/>
      </w:pPr>
      <w:rPr>
        <w:rFonts w:hint="eastAsia"/>
      </w:rPr>
    </w:lvl>
    <w:lvl w:ilvl="1" w:tentative="0">
      <w:start w:val="1"/>
      <w:numFmt w:val="decimal"/>
      <w:lvlText w:val="%1.%2."/>
      <w:lvlJc w:val="left"/>
      <w:pPr>
        <w:ind w:left="2978" w:hanging="567"/>
      </w:pPr>
      <w:rPr>
        <w:rFonts w:hint="eastAsia"/>
        <w:strike w:val="0"/>
      </w:rPr>
    </w:lvl>
    <w:lvl w:ilvl="2" w:tentative="0">
      <w:start w:val="1"/>
      <w:numFmt w:val="decimal"/>
      <w:lvlText w:val="%1.%2.%3."/>
      <w:lvlJc w:val="left"/>
      <w:pPr>
        <w:ind w:left="5955" w:hanging="709"/>
      </w:pPr>
      <w:rPr>
        <w:rFonts w:hint="eastAsia"/>
      </w:rPr>
    </w:lvl>
    <w:lvl w:ilvl="3" w:tentative="0">
      <w:start w:val="1"/>
      <w:numFmt w:val="decimal"/>
      <w:lvlText w:val="%1.%2.%3.%4."/>
      <w:lvlJc w:val="left"/>
      <w:pPr>
        <w:ind w:left="3262" w:hanging="851"/>
      </w:pPr>
      <w:rPr>
        <w:rFonts w:hint="eastAsia"/>
      </w:rPr>
    </w:lvl>
    <w:lvl w:ilvl="4" w:tentative="0">
      <w:start w:val="1"/>
      <w:numFmt w:val="decimal"/>
      <w:lvlText w:val="%1.%2.%3.%4.%5."/>
      <w:lvlJc w:val="left"/>
      <w:pPr>
        <w:ind w:left="3403" w:hanging="992"/>
      </w:pPr>
      <w:rPr>
        <w:rFonts w:hint="eastAsia"/>
      </w:rPr>
    </w:lvl>
    <w:lvl w:ilvl="5" w:tentative="0">
      <w:start w:val="1"/>
      <w:numFmt w:val="decimal"/>
      <w:lvlText w:val="%1.%2.%3.%4.%5.%6."/>
      <w:lvlJc w:val="left"/>
      <w:pPr>
        <w:ind w:left="3545" w:hanging="1134"/>
      </w:pPr>
      <w:rPr>
        <w:rFonts w:hint="eastAsia"/>
      </w:rPr>
    </w:lvl>
    <w:lvl w:ilvl="6" w:tentative="0">
      <w:start w:val="1"/>
      <w:numFmt w:val="decimal"/>
      <w:lvlText w:val="%1.%2.%3.%4.%5.%6.%7."/>
      <w:lvlJc w:val="left"/>
      <w:pPr>
        <w:ind w:left="3687" w:hanging="1276"/>
      </w:pPr>
      <w:rPr>
        <w:rFonts w:hint="eastAsia"/>
      </w:rPr>
    </w:lvl>
    <w:lvl w:ilvl="7" w:tentative="0">
      <w:start w:val="1"/>
      <w:numFmt w:val="decimal"/>
      <w:lvlText w:val="%1.%2.%3.%4.%5.%6.%7.%8."/>
      <w:lvlJc w:val="left"/>
      <w:pPr>
        <w:ind w:left="3829" w:hanging="1418"/>
      </w:pPr>
      <w:rPr>
        <w:rFonts w:hint="eastAsia"/>
      </w:rPr>
    </w:lvl>
    <w:lvl w:ilvl="8" w:tentative="0">
      <w:start w:val="1"/>
      <w:numFmt w:val="decimal"/>
      <w:lvlText w:val="%1.%2.%3.%4.%5.%6.%7.%8.%9."/>
      <w:lvlJc w:val="left"/>
      <w:pPr>
        <w:ind w:left="3970" w:hanging="1559"/>
      </w:pPr>
      <w:rPr>
        <w:rFonts w:hint="eastAsia"/>
      </w:rPr>
    </w:lvl>
  </w:abstractNum>
  <w:abstractNum w:abstractNumId="57">
    <w:nsid w:val="4E7932C7"/>
    <w:multiLevelType w:val="multilevel"/>
    <w:tmpl w:val="4E7932C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8">
    <w:nsid w:val="4F122B6C"/>
    <w:multiLevelType w:val="multilevel"/>
    <w:tmpl w:val="4F122B6C"/>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20"/>
        </w:tabs>
        <w:ind w:left="720" w:hanging="720"/>
      </w:pPr>
      <w:rPr>
        <w:rFonts w:hint="default"/>
      </w:rPr>
    </w:lvl>
    <w:lvl w:ilvl="2" w:tentative="0">
      <w:start w:val="1"/>
      <w:numFmt w:val="decimal"/>
      <w:isLgl/>
      <w:lvlText w:val="%1.%2.%3."/>
      <w:lvlJc w:val="left"/>
      <w:pPr>
        <w:tabs>
          <w:tab w:val="left" w:pos="720"/>
        </w:tabs>
        <w:ind w:left="720" w:hanging="720"/>
      </w:pPr>
      <w:rPr>
        <w:rFonts w:hint="default"/>
      </w:rPr>
    </w:lvl>
    <w:lvl w:ilvl="3" w:tentative="0">
      <w:start w:val="1"/>
      <w:numFmt w:val="decimal"/>
      <w:isLgl/>
      <w:lvlText w:val="%1.%2.%3.%4."/>
      <w:lvlJc w:val="left"/>
      <w:pPr>
        <w:tabs>
          <w:tab w:val="left" w:pos="1080"/>
        </w:tabs>
        <w:ind w:left="1080" w:hanging="1080"/>
      </w:pPr>
      <w:rPr>
        <w:rFonts w:hint="default"/>
      </w:rPr>
    </w:lvl>
    <w:lvl w:ilvl="4" w:tentative="0">
      <w:start w:val="1"/>
      <w:numFmt w:val="decimal"/>
      <w:isLgl/>
      <w:lvlText w:val="%1.%2.%3.%4.%5."/>
      <w:lvlJc w:val="left"/>
      <w:pPr>
        <w:tabs>
          <w:tab w:val="left" w:pos="1080"/>
        </w:tabs>
        <w:ind w:left="1080" w:hanging="1080"/>
      </w:pPr>
      <w:rPr>
        <w:rFonts w:hint="default"/>
      </w:rPr>
    </w:lvl>
    <w:lvl w:ilvl="5" w:tentative="0">
      <w:start w:val="1"/>
      <w:numFmt w:val="decimal"/>
      <w:isLgl/>
      <w:lvlText w:val="%1.%2.%3.%4.%5.%6."/>
      <w:lvlJc w:val="left"/>
      <w:pPr>
        <w:tabs>
          <w:tab w:val="left" w:pos="1440"/>
        </w:tabs>
        <w:ind w:left="1440" w:hanging="1440"/>
      </w:pPr>
      <w:rPr>
        <w:rFonts w:hint="default"/>
      </w:rPr>
    </w:lvl>
    <w:lvl w:ilvl="6" w:tentative="0">
      <w:start w:val="1"/>
      <w:numFmt w:val="decimal"/>
      <w:isLgl/>
      <w:lvlText w:val="%1.%2.%3.%4.%5.%6.%7."/>
      <w:lvlJc w:val="left"/>
      <w:pPr>
        <w:tabs>
          <w:tab w:val="left" w:pos="1800"/>
        </w:tabs>
        <w:ind w:left="1800" w:hanging="1800"/>
      </w:pPr>
      <w:rPr>
        <w:rFonts w:hint="default"/>
      </w:rPr>
    </w:lvl>
    <w:lvl w:ilvl="7" w:tentative="0">
      <w:start w:val="1"/>
      <w:numFmt w:val="decimal"/>
      <w:isLgl/>
      <w:lvlText w:val="%1.%2.%3.%4.%5.%6.%7.%8."/>
      <w:lvlJc w:val="left"/>
      <w:pPr>
        <w:tabs>
          <w:tab w:val="left" w:pos="1800"/>
        </w:tabs>
        <w:ind w:left="1800" w:hanging="1800"/>
      </w:pPr>
      <w:rPr>
        <w:rFonts w:hint="default"/>
      </w:rPr>
    </w:lvl>
    <w:lvl w:ilvl="8" w:tentative="0">
      <w:start w:val="1"/>
      <w:numFmt w:val="decimal"/>
      <w:isLgl/>
      <w:lvlText w:val="%1.%2.%3.%4.%5.%6.%7.%8.%9."/>
      <w:lvlJc w:val="left"/>
      <w:pPr>
        <w:tabs>
          <w:tab w:val="left" w:pos="2160"/>
        </w:tabs>
        <w:ind w:left="2160" w:hanging="2160"/>
      </w:pPr>
      <w:rPr>
        <w:rFonts w:hint="default"/>
      </w:rPr>
    </w:lvl>
  </w:abstractNum>
  <w:abstractNum w:abstractNumId="59">
    <w:nsid w:val="4FEE25B1"/>
    <w:multiLevelType w:val="multilevel"/>
    <w:tmpl w:val="4FEE25B1"/>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20"/>
        </w:tabs>
        <w:ind w:left="720" w:hanging="720"/>
      </w:pPr>
      <w:rPr>
        <w:rFonts w:hint="default"/>
      </w:rPr>
    </w:lvl>
    <w:lvl w:ilvl="2" w:tentative="0">
      <w:start w:val="1"/>
      <w:numFmt w:val="decimal"/>
      <w:isLgl/>
      <w:lvlText w:val="%1.%2.%3."/>
      <w:lvlJc w:val="left"/>
      <w:pPr>
        <w:tabs>
          <w:tab w:val="left" w:pos="720"/>
        </w:tabs>
        <w:ind w:left="720" w:hanging="720"/>
      </w:pPr>
      <w:rPr>
        <w:rFonts w:hint="default"/>
      </w:rPr>
    </w:lvl>
    <w:lvl w:ilvl="3" w:tentative="0">
      <w:start w:val="1"/>
      <w:numFmt w:val="decimal"/>
      <w:isLgl/>
      <w:lvlText w:val="%1.%2.%3.%4."/>
      <w:lvlJc w:val="left"/>
      <w:pPr>
        <w:tabs>
          <w:tab w:val="left" w:pos="1080"/>
        </w:tabs>
        <w:ind w:left="1080" w:hanging="1080"/>
      </w:pPr>
      <w:rPr>
        <w:rFonts w:hint="default"/>
      </w:rPr>
    </w:lvl>
    <w:lvl w:ilvl="4" w:tentative="0">
      <w:start w:val="1"/>
      <w:numFmt w:val="decimal"/>
      <w:isLgl/>
      <w:lvlText w:val="%1.%2.%3.%4.%5."/>
      <w:lvlJc w:val="left"/>
      <w:pPr>
        <w:tabs>
          <w:tab w:val="left" w:pos="1080"/>
        </w:tabs>
        <w:ind w:left="1080" w:hanging="1080"/>
      </w:pPr>
      <w:rPr>
        <w:rFonts w:hint="default"/>
      </w:rPr>
    </w:lvl>
    <w:lvl w:ilvl="5" w:tentative="0">
      <w:start w:val="1"/>
      <w:numFmt w:val="decimal"/>
      <w:isLgl/>
      <w:lvlText w:val="%1.%2.%3.%4.%5.%6."/>
      <w:lvlJc w:val="left"/>
      <w:pPr>
        <w:tabs>
          <w:tab w:val="left" w:pos="1440"/>
        </w:tabs>
        <w:ind w:left="1440" w:hanging="1440"/>
      </w:pPr>
      <w:rPr>
        <w:rFonts w:hint="default"/>
      </w:rPr>
    </w:lvl>
    <w:lvl w:ilvl="6" w:tentative="0">
      <w:start w:val="1"/>
      <w:numFmt w:val="decimal"/>
      <w:isLgl/>
      <w:lvlText w:val="%1.%2.%3.%4.%5.%6.%7."/>
      <w:lvlJc w:val="left"/>
      <w:pPr>
        <w:tabs>
          <w:tab w:val="left" w:pos="1800"/>
        </w:tabs>
        <w:ind w:left="1800" w:hanging="1800"/>
      </w:pPr>
      <w:rPr>
        <w:rFonts w:hint="default"/>
      </w:rPr>
    </w:lvl>
    <w:lvl w:ilvl="7" w:tentative="0">
      <w:start w:val="1"/>
      <w:numFmt w:val="decimal"/>
      <w:isLgl/>
      <w:lvlText w:val="%1.%2.%3.%4.%5.%6.%7.%8."/>
      <w:lvlJc w:val="left"/>
      <w:pPr>
        <w:tabs>
          <w:tab w:val="left" w:pos="1800"/>
        </w:tabs>
        <w:ind w:left="1800" w:hanging="1800"/>
      </w:pPr>
      <w:rPr>
        <w:rFonts w:hint="default"/>
      </w:rPr>
    </w:lvl>
    <w:lvl w:ilvl="8" w:tentative="0">
      <w:start w:val="1"/>
      <w:numFmt w:val="decimal"/>
      <w:isLgl/>
      <w:lvlText w:val="%1.%2.%3.%4.%5.%6.%7.%8.%9."/>
      <w:lvlJc w:val="left"/>
      <w:pPr>
        <w:tabs>
          <w:tab w:val="left" w:pos="2160"/>
        </w:tabs>
        <w:ind w:left="2160" w:hanging="2160"/>
      </w:pPr>
      <w:rPr>
        <w:rFonts w:hint="default"/>
      </w:rPr>
    </w:lvl>
  </w:abstractNum>
  <w:abstractNum w:abstractNumId="60">
    <w:nsid w:val="51ED3C48"/>
    <w:multiLevelType w:val="multilevel"/>
    <w:tmpl w:val="51ED3C48"/>
    <w:lvl w:ilvl="0" w:tentative="0">
      <w:start w:val="1"/>
      <w:numFmt w:val="decimal"/>
      <w:lvlText w:val="%1."/>
      <w:lvlJc w:val="left"/>
      <w:pPr>
        <w:ind w:left="390" w:hanging="39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1">
    <w:nsid w:val="53F23C31"/>
    <w:multiLevelType w:val="multilevel"/>
    <w:tmpl w:val="53F23C31"/>
    <w:lvl w:ilvl="0" w:tentative="0">
      <w:start w:val="1"/>
      <w:numFmt w:val="decimal"/>
      <w:lvlText w:val="4.%1."/>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62">
    <w:nsid w:val="54AC1158"/>
    <w:multiLevelType w:val="multilevel"/>
    <w:tmpl w:val="54AC1158"/>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3">
    <w:nsid w:val="54CE29EE"/>
    <w:multiLevelType w:val="multilevel"/>
    <w:tmpl w:val="54CE29EE"/>
    <w:lvl w:ilvl="0" w:tentative="0">
      <w:start w:val="1"/>
      <w:numFmt w:val="decimal"/>
      <w:lvlText w:val="   %1"/>
      <w:lvlJc w:val="center"/>
      <w:pPr>
        <w:ind w:left="846" w:hanging="420"/>
      </w:pPr>
      <w:rPr>
        <w:rFonts w:hint="eastAsia" w:ascii="宋体" w:eastAsia="宋体"/>
        <w:b w:val="0"/>
        <w:i w:val="0"/>
        <w:sz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64">
    <w:nsid w:val="56BC2449"/>
    <w:multiLevelType w:val="multilevel"/>
    <w:tmpl w:val="56BC2449"/>
    <w:lvl w:ilvl="0" w:tentative="0">
      <w:start w:val="1"/>
      <w:numFmt w:val="decimalEnclosedCircle"/>
      <w:lvlText w:val="%1"/>
      <w:lvlJc w:val="left"/>
      <w:pPr>
        <w:ind w:left="1347" w:hanging="420"/>
      </w:pPr>
      <w:rPr>
        <w:rFonts w:hint="default"/>
      </w:rPr>
    </w:lvl>
    <w:lvl w:ilvl="1" w:tentative="0">
      <w:start w:val="1"/>
      <w:numFmt w:val="lowerLetter"/>
      <w:lvlText w:val="%2)"/>
      <w:lvlJc w:val="left"/>
      <w:pPr>
        <w:ind w:left="1767" w:hanging="420"/>
      </w:pPr>
    </w:lvl>
    <w:lvl w:ilvl="2" w:tentative="0">
      <w:start w:val="1"/>
      <w:numFmt w:val="lowerRoman"/>
      <w:lvlText w:val="%3."/>
      <w:lvlJc w:val="right"/>
      <w:pPr>
        <w:ind w:left="2187" w:hanging="420"/>
      </w:pPr>
    </w:lvl>
    <w:lvl w:ilvl="3" w:tentative="0">
      <w:start w:val="1"/>
      <w:numFmt w:val="decimal"/>
      <w:lvlText w:val="%4."/>
      <w:lvlJc w:val="left"/>
      <w:pPr>
        <w:ind w:left="2607" w:hanging="420"/>
      </w:pPr>
    </w:lvl>
    <w:lvl w:ilvl="4" w:tentative="0">
      <w:start w:val="1"/>
      <w:numFmt w:val="lowerLetter"/>
      <w:lvlText w:val="%5)"/>
      <w:lvlJc w:val="left"/>
      <w:pPr>
        <w:ind w:left="3027" w:hanging="420"/>
      </w:pPr>
    </w:lvl>
    <w:lvl w:ilvl="5" w:tentative="0">
      <w:start w:val="1"/>
      <w:numFmt w:val="lowerRoman"/>
      <w:lvlText w:val="%6."/>
      <w:lvlJc w:val="right"/>
      <w:pPr>
        <w:ind w:left="3447" w:hanging="420"/>
      </w:pPr>
    </w:lvl>
    <w:lvl w:ilvl="6" w:tentative="0">
      <w:start w:val="1"/>
      <w:numFmt w:val="decimal"/>
      <w:lvlText w:val="%7."/>
      <w:lvlJc w:val="left"/>
      <w:pPr>
        <w:ind w:left="3867" w:hanging="420"/>
      </w:pPr>
    </w:lvl>
    <w:lvl w:ilvl="7" w:tentative="0">
      <w:start w:val="1"/>
      <w:numFmt w:val="lowerLetter"/>
      <w:lvlText w:val="%8)"/>
      <w:lvlJc w:val="left"/>
      <w:pPr>
        <w:ind w:left="4287" w:hanging="420"/>
      </w:pPr>
    </w:lvl>
    <w:lvl w:ilvl="8" w:tentative="0">
      <w:start w:val="1"/>
      <w:numFmt w:val="lowerRoman"/>
      <w:lvlText w:val="%9."/>
      <w:lvlJc w:val="right"/>
      <w:pPr>
        <w:ind w:left="4707" w:hanging="420"/>
      </w:pPr>
    </w:lvl>
  </w:abstractNum>
  <w:abstractNum w:abstractNumId="65">
    <w:nsid w:val="576F0F0B"/>
    <w:multiLevelType w:val="multilevel"/>
    <w:tmpl w:val="576F0F0B"/>
    <w:lvl w:ilvl="0" w:tentative="0">
      <w:start w:val="1"/>
      <w:numFmt w:val="decimal"/>
      <w:lvlText w:val="   %1"/>
      <w:lvlJc w:val="center"/>
      <w:pPr>
        <w:ind w:left="420" w:hanging="420"/>
      </w:pPr>
      <w:rPr>
        <w:rFonts w:hint="eastAsia" w:ascii="宋体" w:eastAsia="宋体"/>
        <w:b w:val="0"/>
        <w:i w:val="0"/>
        <w:sz w:val="24"/>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66">
    <w:nsid w:val="5E8260BB"/>
    <w:multiLevelType w:val="multilevel"/>
    <w:tmpl w:val="5E8260BB"/>
    <w:lvl w:ilvl="0" w:tentative="0">
      <w:start w:val="1"/>
      <w:numFmt w:val="decimal"/>
      <w:lvlText w:val="5.%1."/>
      <w:lvlJc w:val="left"/>
      <w:pPr>
        <w:ind w:left="4389"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7">
    <w:nsid w:val="5EA11D7B"/>
    <w:multiLevelType w:val="multilevel"/>
    <w:tmpl w:val="5EA11D7B"/>
    <w:lvl w:ilvl="0" w:tentative="0">
      <w:start w:val="1"/>
      <w:numFmt w:val="decimal"/>
      <w:lvlText w:val="%1."/>
      <w:lvlJc w:val="left"/>
      <w:pPr>
        <w:ind w:left="600" w:hanging="600"/>
      </w:pPr>
      <w:rPr>
        <w:rFonts w:hint="default"/>
      </w:r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8">
    <w:nsid w:val="5EEE28B4"/>
    <w:multiLevelType w:val="multilevel"/>
    <w:tmpl w:val="5EEE28B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9">
    <w:nsid w:val="60014F7D"/>
    <w:multiLevelType w:val="multilevel"/>
    <w:tmpl w:val="60014F7D"/>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0">
    <w:nsid w:val="609F7F9C"/>
    <w:multiLevelType w:val="multilevel"/>
    <w:tmpl w:val="609F7F9C"/>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1">
    <w:nsid w:val="60E872B5"/>
    <w:multiLevelType w:val="multilevel"/>
    <w:tmpl w:val="60E872B5"/>
    <w:lvl w:ilvl="0" w:tentative="0">
      <w:start w:val="7"/>
      <w:numFmt w:val="decimal"/>
      <w:lvlText w:val="%1."/>
      <w:lvlJc w:val="left"/>
      <w:pPr>
        <w:ind w:left="425" w:hanging="425"/>
      </w:pPr>
      <w:rPr>
        <w:rFonts w:hint="eastAsia"/>
      </w:rPr>
    </w:lvl>
    <w:lvl w:ilvl="1" w:tentative="0">
      <w:start w:val="1"/>
      <w:numFmt w:val="decimal"/>
      <w:lvlText w:val="3.%2"/>
      <w:lvlJc w:val="left"/>
      <w:pPr>
        <w:ind w:left="1418" w:hanging="567"/>
      </w:pPr>
      <w:rPr>
        <w:rFonts w:hint="eastAsia" w:ascii="宋体" w:hAnsi="宋体" w:eastAsia="宋体"/>
        <w:strike w:val="0"/>
      </w:rPr>
    </w:lvl>
    <w:lvl w:ilvl="2" w:tentative="0">
      <w:start w:val="1"/>
      <w:numFmt w:val="decimal"/>
      <w:lvlText w:val="14.2.%3."/>
      <w:lvlJc w:val="left"/>
      <w:pPr>
        <w:ind w:left="1560"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2">
    <w:nsid w:val="627B4480"/>
    <w:multiLevelType w:val="multilevel"/>
    <w:tmpl w:val="627B4480"/>
    <w:lvl w:ilvl="0" w:tentative="0">
      <w:start w:val="32"/>
      <w:numFmt w:val="decimal"/>
      <w:lvlText w:val="%1."/>
      <w:lvlJc w:val="left"/>
      <w:pPr>
        <w:ind w:left="425" w:hanging="425"/>
      </w:pPr>
      <w:rPr>
        <w:rFonts w:hint="eastAsia"/>
        <w:strike w:val="0"/>
      </w:rPr>
    </w:lvl>
    <w:lvl w:ilvl="1" w:tentative="0">
      <w:start w:val="1"/>
      <w:numFmt w:val="decimal"/>
      <w:lvlText w:val="26.%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3">
    <w:nsid w:val="64C2248D"/>
    <w:multiLevelType w:val="multilevel"/>
    <w:tmpl w:val="64C2248D"/>
    <w:lvl w:ilvl="0" w:tentative="0">
      <w:start w:val="3"/>
      <w:numFmt w:val="decimal"/>
      <w:pStyle w:val="5"/>
      <w:lvlText w:val="%1."/>
      <w:lvlJc w:val="left"/>
      <w:pPr>
        <w:ind w:left="425" w:hanging="425"/>
      </w:pPr>
      <w:rPr>
        <w:rFonts w:hint="eastAsia" w:ascii="宋体" w:hAnsi="宋体" w:eastAsia="宋体"/>
      </w:rPr>
    </w:lvl>
    <w:lvl w:ilvl="1" w:tentative="0">
      <w:start w:val="1"/>
      <w:numFmt w:val="decimal"/>
      <w:pStyle w:val="6"/>
      <w:lvlText w:val="%1.%2."/>
      <w:lvlJc w:val="left"/>
      <w:pPr>
        <w:ind w:left="2268" w:hanging="567"/>
      </w:pPr>
      <w:rPr>
        <w:rFonts w:hint="eastAsia" w:ascii="宋体" w:hAnsi="宋体" w:eastAsia="宋体"/>
        <w:color w:val="auto"/>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4">
    <w:nsid w:val="657B6F92"/>
    <w:multiLevelType w:val="multilevel"/>
    <w:tmpl w:val="657B6F92"/>
    <w:lvl w:ilvl="0" w:tentative="0">
      <w:start w:val="7"/>
      <w:numFmt w:val="decimal"/>
      <w:lvlText w:val="%1."/>
      <w:lvlJc w:val="left"/>
      <w:pPr>
        <w:ind w:left="425" w:hanging="425"/>
      </w:pPr>
      <w:rPr>
        <w:rFonts w:hint="eastAsia"/>
      </w:rPr>
    </w:lvl>
    <w:lvl w:ilvl="1" w:tentative="0">
      <w:start w:val="1"/>
      <w:numFmt w:val="decimal"/>
      <w:lvlText w:val="11.%2."/>
      <w:lvlJc w:val="left"/>
      <w:pPr>
        <w:ind w:left="1418" w:hanging="567"/>
      </w:pPr>
      <w:rPr>
        <w:rFonts w:hint="eastAsia" w:ascii="宋体" w:hAnsi="宋体" w:eastAsia="宋体"/>
        <w:strike w:val="0"/>
      </w:rPr>
    </w:lvl>
    <w:lvl w:ilvl="2" w:tentative="0">
      <w:start w:val="1"/>
      <w:numFmt w:val="decimal"/>
      <w:lvlText w:val="11.3.%3"/>
      <w:lvlJc w:val="left"/>
      <w:pPr>
        <w:ind w:left="709"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5">
    <w:nsid w:val="65885632"/>
    <w:multiLevelType w:val="multilevel"/>
    <w:tmpl w:val="65885632"/>
    <w:lvl w:ilvl="0" w:tentative="0">
      <w:start w:val="1"/>
      <w:numFmt w:val="chineseCountingThousand"/>
      <w:lvlText w:val="%1、"/>
      <w:lvlJc w:val="left"/>
      <w:pPr>
        <w:ind w:left="989" w:hanging="705"/>
      </w:pPr>
      <w:rPr>
        <w:rFonts w:hint="eastAsia" w:ascii="宋体" w:eastAsia="宋体"/>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76">
    <w:nsid w:val="65AF3934"/>
    <w:multiLevelType w:val="multilevel"/>
    <w:tmpl w:val="65AF3934"/>
    <w:lvl w:ilvl="0" w:tentative="0">
      <w:start w:val="1"/>
      <w:numFmt w:val="decimal"/>
      <w:lvlText w:val="%1."/>
      <w:lvlJc w:val="left"/>
      <w:pPr>
        <w:ind w:left="2106" w:hanging="420"/>
      </w:pPr>
      <w:rPr>
        <w:rFonts w:hint="eastAsia"/>
      </w:rPr>
    </w:lvl>
    <w:lvl w:ilvl="1" w:tentative="0">
      <w:start w:val="1"/>
      <w:numFmt w:val="lowerLetter"/>
      <w:lvlText w:val="%2)"/>
      <w:lvlJc w:val="left"/>
      <w:pPr>
        <w:ind w:left="2526" w:hanging="420"/>
      </w:pPr>
    </w:lvl>
    <w:lvl w:ilvl="2" w:tentative="0">
      <w:start w:val="1"/>
      <w:numFmt w:val="lowerRoman"/>
      <w:lvlText w:val="%3."/>
      <w:lvlJc w:val="right"/>
      <w:pPr>
        <w:ind w:left="2946" w:hanging="420"/>
      </w:pPr>
    </w:lvl>
    <w:lvl w:ilvl="3" w:tentative="0">
      <w:start w:val="1"/>
      <w:numFmt w:val="decimal"/>
      <w:lvlText w:val="%4."/>
      <w:lvlJc w:val="left"/>
      <w:pPr>
        <w:ind w:left="3366" w:hanging="420"/>
      </w:pPr>
    </w:lvl>
    <w:lvl w:ilvl="4" w:tentative="0">
      <w:start w:val="1"/>
      <w:numFmt w:val="lowerLetter"/>
      <w:lvlText w:val="%5)"/>
      <w:lvlJc w:val="left"/>
      <w:pPr>
        <w:ind w:left="3786" w:hanging="420"/>
      </w:pPr>
    </w:lvl>
    <w:lvl w:ilvl="5" w:tentative="0">
      <w:start w:val="1"/>
      <w:numFmt w:val="lowerRoman"/>
      <w:lvlText w:val="%6."/>
      <w:lvlJc w:val="right"/>
      <w:pPr>
        <w:ind w:left="4206" w:hanging="420"/>
      </w:pPr>
    </w:lvl>
    <w:lvl w:ilvl="6" w:tentative="0">
      <w:start w:val="1"/>
      <w:numFmt w:val="decimal"/>
      <w:lvlText w:val="%7."/>
      <w:lvlJc w:val="left"/>
      <w:pPr>
        <w:ind w:left="4626" w:hanging="420"/>
      </w:pPr>
    </w:lvl>
    <w:lvl w:ilvl="7" w:tentative="0">
      <w:start w:val="1"/>
      <w:numFmt w:val="lowerLetter"/>
      <w:lvlText w:val="%8)"/>
      <w:lvlJc w:val="left"/>
      <w:pPr>
        <w:ind w:left="5046" w:hanging="420"/>
      </w:pPr>
    </w:lvl>
    <w:lvl w:ilvl="8" w:tentative="0">
      <w:start w:val="1"/>
      <w:numFmt w:val="lowerRoman"/>
      <w:lvlText w:val="%9."/>
      <w:lvlJc w:val="right"/>
      <w:pPr>
        <w:ind w:left="5466" w:hanging="420"/>
      </w:pPr>
    </w:lvl>
  </w:abstractNum>
  <w:abstractNum w:abstractNumId="77">
    <w:nsid w:val="65B94491"/>
    <w:multiLevelType w:val="multilevel"/>
    <w:tmpl w:val="65B94491"/>
    <w:lvl w:ilvl="0" w:tentative="0">
      <w:start w:val="1"/>
      <w:numFmt w:val="decimal"/>
      <w:lvlText w:val="%1."/>
      <w:lvlJc w:val="left"/>
      <w:pPr>
        <w:ind w:left="425" w:hanging="425"/>
      </w:pPr>
      <w:rPr>
        <w:rFonts w:hint="eastAsia"/>
      </w:rPr>
    </w:lvl>
    <w:lvl w:ilvl="1" w:tentative="0">
      <w:start w:val="1"/>
      <w:numFmt w:val="decimal"/>
      <w:lvlText w:val="9.%2."/>
      <w:lvlJc w:val="left"/>
      <w:pPr>
        <w:ind w:left="1418" w:hanging="567"/>
      </w:pPr>
      <w:rPr>
        <w:rFonts w:hint="eastAsia" w:ascii="宋体" w:hAnsi="宋体" w:eastAsia="宋体"/>
        <w:b w:val="0"/>
        <w:strike w:val="0"/>
        <w:sz w:val="24"/>
        <w:szCs w:val="24"/>
      </w:rPr>
    </w:lvl>
    <w:lvl w:ilvl="2" w:tentative="0">
      <w:start w:val="1"/>
      <w:numFmt w:val="decimal"/>
      <w:lvlText w:val="9.2.%3"/>
      <w:lvlJc w:val="left"/>
      <w:pPr>
        <w:ind w:left="709"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8">
    <w:nsid w:val="65F8297E"/>
    <w:multiLevelType w:val="multilevel"/>
    <w:tmpl w:val="65F8297E"/>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9">
    <w:nsid w:val="6724183A"/>
    <w:multiLevelType w:val="multilevel"/>
    <w:tmpl w:val="6724183A"/>
    <w:lvl w:ilvl="0" w:tentative="0">
      <w:start w:val="7"/>
      <w:numFmt w:val="decimal"/>
      <w:lvlText w:val="%1."/>
      <w:lvlJc w:val="left"/>
      <w:pPr>
        <w:ind w:left="425" w:hanging="425"/>
      </w:pPr>
      <w:rPr>
        <w:rFonts w:hint="eastAsia"/>
      </w:rPr>
    </w:lvl>
    <w:lvl w:ilvl="1" w:tentative="0">
      <w:start w:val="1"/>
      <w:numFmt w:val="decimal"/>
      <w:lvlText w:val="16.%2."/>
      <w:lvlJc w:val="left"/>
      <w:pPr>
        <w:ind w:left="1418" w:hanging="567"/>
      </w:pPr>
      <w:rPr>
        <w:rFonts w:hint="eastAsia" w:ascii="宋体" w:hAnsi="宋体" w:eastAsia="宋体"/>
        <w:strike w:val="0"/>
      </w:rPr>
    </w:lvl>
    <w:lvl w:ilvl="2" w:tentative="0">
      <w:start w:val="1"/>
      <w:numFmt w:val="decimal"/>
      <w:lvlText w:val="14.2.%3."/>
      <w:lvlJc w:val="left"/>
      <w:pPr>
        <w:ind w:left="1560"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0">
    <w:nsid w:val="693F6B0A"/>
    <w:multiLevelType w:val="multilevel"/>
    <w:tmpl w:val="693F6B0A"/>
    <w:lvl w:ilvl="0" w:tentative="0">
      <w:start w:val="32"/>
      <w:numFmt w:val="decimal"/>
      <w:lvlText w:val="%1."/>
      <w:lvlJc w:val="left"/>
      <w:pPr>
        <w:ind w:left="425" w:hanging="425"/>
      </w:pPr>
      <w:rPr>
        <w:rFonts w:hint="eastAsia"/>
        <w:strike w:val="0"/>
      </w:rPr>
    </w:lvl>
    <w:lvl w:ilvl="1" w:tentative="0">
      <w:start w:val="1"/>
      <w:numFmt w:val="decimal"/>
      <w:lvlText w:val="27.%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1">
    <w:nsid w:val="695F2D7C"/>
    <w:multiLevelType w:val="multilevel"/>
    <w:tmpl w:val="695F2D7C"/>
    <w:lvl w:ilvl="0" w:tentative="0">
      <w:start w:val="7"/>
      <w:numFmt w:val="decimal"/>
      <w:lvlText w:val="%1."/>
      <w:lvlJc w:val="left"/>
      <w:pPr>
        <w:ind w:left="425" w:hanging="425"/>
      </w:pPr>
      <w:rPr>
        <w:rFonts w:hint="eastAsia"/>
      </w:rPr>
    </w:lvl>
    <w:lvl w:ilvl="1" w:tentative="0">
      <w:start w:val="1"/>
      <w:numFmt w:val="decimal"/>
      <w:lvlText w:val="17.%2."/>
      <w:lvlJc w:val="left"/>
      <w:pPr>
        <w:ind w:left="1418" w:hanging="567"/>
      </w:pPr>
      <w:rPr>
        <w:rFonts w:hint="eastAsia" w:ascii="宋体" w:hAnsi="宋体" w:eastAsia="宋体"/>
        <w:strike w:val="0"/>
      </w:rPr>
    </w:lvl>
    <w:lvl w:ilvl="2" w:tentative="0">
      <w:start w:val="1"/>
      <w:numFmt w:val="decimal"/>
      <w:lvlText w:val="14.2.%3."/>
      <w:lvlJc w:val="left"/>
      <w:pPr>
        <w:ind w:left="1560"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2">
    <w:nsid w:val="6AF32A2A"/>
    <w:multiLevelType w:val="multilevel"/>
    <w:tmpl w:val="6AF32A2A"/>
    <w:lvl w:ilvl="0" w:tentative="0">
      <w:start w:val="1"/>
      <w:numFmt w:val="decimal"/>
      <w:lvlText w:val="2.%1"/>
      <w:lvlJc w:val="left"/>
      <w:pPr>
        <w:tabs>
          <w:tab w:val="left" w:pos="567"/>
        </w:tabs>
        <w:ind w:left="567" w:hanging="567"/>
      </w:pPr>
      <w:rPr>
        <w:rFonts w:hint="eastAsia" w:ascii="Times New Roman" w:hAnsi="Times New Roman" w:eastAsia="宋体"/>
      </w:rPr>
    </w:lvl>
    <w:lvl w:ilvl="1" w:tentative="0">
      <w:start w:val="1"/>
      <w:numFmt w:val="decimal"/>
      <w:lvlText w:val="%2"/>
      <w:lvlJc w:val="left"/>
      <w:pPr>
        <w:tabs>
          <w:tab w:val="left" w:pos="170"/>
        </w:tabs>
        <w:ind w:left="170" w:hanging="170"/>
      </w:pPr>
      <w:rPr>
        <w:rFonts w:hint="default" w:ascii="宋体" w:hAnsi="宋体" w:eastAsia="宋体" w:cs="Times New Roman"/>
        <w:spacing w:val="-20"/>
        <w:kern w:val="2"/>
        <w:position w:val="0"/>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3">
    <w:nsid w:val="6B4513FD"/>
    <w:multiLevelType w:val="multilevel"/>
    <w:tmpl w:val="6B4513FD"/>
    <w:lvl w:ilvl="0" w:tentative="0">
      <w:start w:val="1"/>
      <w:numFmt w:val="decimal"/>
      <w:lvlText w:val="%1."/>
      <w:lvlJc w:val="left"/>
      <w:pPr>
        <w:ind w:left="2106" w:hanging="420"/>
      </w:pPr>
      <w:rPr>
        <w:rFonts w:hint="eastAsia"/>
      </w:rPr>
    </w:lvl>
    <w:lvl w:ilvl="1" w:tentative="0">
      <w:start w:val="1"/>
      <w:numFmt w:val="lowerLetter"/>
      <w:lvlText w:val="%2)"/>
      <w:lvlJc w:val="left"/>
      <w:pPr>
        <w:ind w:left="2526" w:hanging="420"/>
      </w:pPr>
    </w:lvl>
    <w:lvl w:ilvl="2" w:tentative="0">
      <w:start w:val="1"/>
      <w:numFmt w:val="lowerRoman"/>
      <w:lvlText w:val="%3."/>
      <w:lvlJc w:val="right"/>
      <w:pPr>
        <w:ind w:left="2946" w:hanging="420"/>
      </w:pPr>
    </w:lvl>
    <w:lvl w:ilvl="3" w:tentative="0">
      <w:start w:val="1"/>
      <w:numFmt w:val="decimal"/>
      <w:lvlText w:val="%4."/>
      <w:lvlJc w:val="left"/>
      <w:pPr>
        <w:ind w:left="3366" w:hanging="420"/>
      </w:pPr>
    </w:lvl>
    <w:lvl w:ilvl="4" w:tentative="0">
      <w:start w:val="1"/>
      <w:numFmt w:val="lowerLetter"/>
      <w:lvlText w:val="%5)"/>
      <w:lvlJc w:val="left"/>
      <w:pPr>
        <w:ind w:left="3786" w:hanging="420"/>
      </w:pPr>
    </w:lvl>
    <w:lvl w:ilvl="5" w:tentative="0">
      <w:start w:val="1"/>
      <w:numFmt w:val="lowerRoman"/>
      <w:lvlText w:val="%6."/>
      <w:lvlJc w:val="right"/>
      <w:pPr>
        <w:ind w:left="4206" w:hanging="420"/>
      </w:pPr>
    </w:lvl>
    <w:lvl w:ilvl="6" w:tentative="0">
      <w:start w:val="1"/>
      <w:numFmt w:val="decimal"/>
      <w:lvlText w:val="%7."/>
      <w:lvlJc w:val="left"/>
      <w:pPr>
        <w:ind w:left="4626" w:hanging="420"/>
      </w:pPr>
    </w:lvl>
    <w:lvl w:ilvl="7" w:tentative="0">
      <w:start w:val="1"/>
      <w:numFmt w:val="lowerLetter"/>
      <w:lvlText w:val="%8)"/>
      <w:lvlJc w:val="left"/>
      <w:pPr>
        <w:ind w:left="5046" w:hanging="420"/>
      </w:pPr>
    </w:lvl>
    <w:lvl w:ilvl="8" w:tentative="0">
      <w:start w:val="1"/>
      <w:numFmt w:val="lowerRoman"/>
      <w:lvlText w:val="%9."/>
      <w:lvlJc w:val="right"/>
      <w:pPr>
        <w:ind w:left="5466" w:hanging="420"/>
      </w:pPr>
    </w:lvl>
  </w:abstractNum>
  <w:abstractNum w:abstractNumId="84">
    <w:nsid w:val="6C35D09E"/>
    <w:multiLevelType w:val="singleLevel"/>
    <w:tmpl w:val="6C35D09E"/>
    <w:lvl w:ilvl="0" w:tentative="0">
      <w:start w:val="1"/>
      <w:numFmt w:val="chineseCounting"/>
      <w:suff w:val="nothing"/>
      <w:lvlText w:val="（%1）"/>
      <w:lvlJc w:val="left"/>
      <w:pPr>
        <w:ind w:left="-10" w:firstLine="420"/>
      </w:pPr>
      <w:rPr>
        <w:rFonts w:hint="eastAsia"/>
      </w:rPr>
    </w:lvl>
  </w:abstractNum>
  <w:abstractNum w:abstractNumId="85">
    <w:nsid w:val="6C9151D5"/>
    <w:multiLevelType w:val="multilevel"/>
    <w:tmpl w:val="6C9151D5"/>
    <w:lvl w:ilvl="0" w:tentative="0">
      <w:start w:val="1"/>
      <w:numFmt w:val="decimal"/>
      <w:lvlText w:val="3.9.%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6">
    <w:nsid w:val="6D720AB0"/>
    <w:multiLevelType w:val="multilevel"/>
    <w:tmpl w:val="6D720AB0"/>
    <w:lvl w:ilvl="0" w:tentative="0">
      <w:start w:val="2"/>
      <w:numFmt w:val="bullet"/>
      <w:lvlText w:val="★"/>
      <w:lvlJc w:val="left"/>
      <w:pPr>
        <w:ind w:left="840" w:hanging="360"/>
      </w:pPr>
      <w:rPr>
        <w:rFonts w:hint="eastAsia" w:ascii="宋体" w:hAnsi="宋体" w:eastAsia="宋体" w:cs="宋体"/>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87">
    <w:nsid w:val="6E340CCA"/>
    <w:multiLevelType w:val="multilevel"/>
    <w:tmpl w:val="6E340CCA"/>
    <w:lvl w:ilvl="0" w:tentative="0">
      <w:start w:val="1"/>
      <w:numFmt w:val="chineseCountingThousand"/>
      <w:lvlText w:val="第%1部分"/>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8">
    <w:nsid w:val="6F1C63D3"/>
    <w:multiLevelType w:val="multilevel"/>
    <w:tmpl w:val="6F1C63D3"/>
    <w:lvl w:ilvl="0" w:tentative="0">
      <w:start w:val="7"/>
      <w:numFmt w:val="decimal"/>
      <w:lvlText w:val="%1."/>
      <w:lvlJc w:val="left"/>
      <w:pPr>
        <w:ind w:left="425" w:hanging="425"/>
      </w:pPr>
      <w:rPr>
        <w:rFonts w:hint="eastAsia"/>
      </w:rPr>
    </w:lvl>
    <w:lvl w:ilvl="1" w:tentative="0">
      <w:start w:val="1"/>
      <w:numFmt w:val="decimal"/>
      <w:lvlText w:val="9.%2."/>
      <w:lvlJc w:val="left"/>
      <w:pPr>
        <w:ind w:left="1418" w:hanging="567"/>
      </w:pPr>
      <w:rPr>
        <w:rFonts w:hint="eastAsia" w:ascii="宋体" w:hAnsi="宋体" w:eastAsia="宋体"/>
        <w:strike w:val="0"/>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9">
    <w:nsid w:val="6FA25FE5"/>
    <w:multiLevelType w:val="multilevel"/>
    <w:tmpl w:val="6FA25FE5"/>
    <w:lvl w:ilvl="0" w:tentative="0">
      <w:start w:val="2"/>
      <w:numFmt w:val="bullet"/>
      <w:lvlText w:val="★"/>
      <w:lvlJc w:val="left"/>
      <w:pPr>
        <w:ind w:left="780" w:hanging="360"/>
      </w:pPr>
      <w:rPr>
        <w:rFonts w:hint="eastAsia" w:ascii="宋体" w:hAnsi="宋体" w:eastAsia="宋体" w:cs="宋体"/>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90">
    <w:nsid w:val="702D4383"/>
    <w:multiLevelType w:val="multilevel"/>
    <w:tmpl w:val="702D4383"/>
    <w:lvl w:ilvl="0" w:tentative="0">
      <w:start w:val="27"/>
      <w:numFmt w:val="decimal"/>
      <w:lvlText w:val="%1."/>
      <w:lvlJc w:val="left"/>
      <w:pPr>
        <w:ind w:left="425" w:hanging="425"/>
      </w:pPr>
      <w:rPr>
        <w:rFonts w:hint="eastAsia"/>
        <w:strike w:val="0"/>
      </w:rPr>
    </w:lvl>
    <w:lvl w:ilvl="1" w:tentative="0">
      <w:start w:val="1"/>
      <w:numFmt w:val="decimal"/>
      <w:lvlText w:val="23.%2."/>
      <w:lvlJc w:val="left"/>
      <w:pPr>
        <w:ind w:left="567" w:hanging="567"/>
      </w:pPr>
      <w:rPr>
        <w:rFonts w:hint="eastAsia"/>
      </w:rPr>
    </w:lvl>
    <w:lvl w:ilvl="2" w:tentative="0">
      <w:start w:val="1"/>
      <w:numFmt w:val="decimal"/>
      <w:lvlText w:val="20.3.%3"/>
      <w:lvlJc w:val="left"/>
      <w:pPr>
        <w:ind w:left="709"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91">
    <w:nsid w:val="71784780"/>
    <w:multiLevelType w:val="multilevel"/>
    <w:tmpl w:val="71784780"/>
    <w:lvl w:ilvl="0" w:tentative="0">
      <w:start w:val="1"/>
      <w:numFmt w:val="japaneseCounting"/>
      <w:lvlText w:val="%1、"/>
      <w:lvlJc w:val="left"/>
      <w:pPr>
        <w:ind w:left="1131" w:hanging="705"/>
      </w:p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92">
    <w:nsid w:val="73944E94"/>
    <w:multiLevelType w:val="multilevel"/>
    <w:tmpl w:val="73944E94"/>
    <w:lvl w:ilvl="0" w:tentative="0">
      <w:start w:val="1"/>
      <w:numFmt w:val="chineseCountingThousand"/>
      <w:lvlText w:val="%1、"/>
      <w:lvlJc w:val="left"/>
      <w:pPr>
        <w:ind w:left="425" w:hanging="425"/>
      </w:pPr>
      <w:rPr>
        <w:rFonts w:hint="eastAsia"/>
        <w:b w:val="0"/>
        <w:color w:val="auto"/>
        <w:sz w:val="24"/>
        <w:szCs w:val="24"/>
      </w:rPr>
    </w:lvl>
    <w:lvl w:ilvl="1" w:tentative="0">
      <w:start w:val="1"/>
      <w:numFmt w:val="decimal"/>
      <w:lvlText w:val="%2."/>
      <w:lvlJc w:val="left"/>
      <w:pPr>
        <w:ind w:left="567" w:hanging="567"/>
      </w:pPr>
      <w:rPr>
        <w:rFonts w:hint="eastAsia" w:ascii="宋体" w:hAnsi="宋体" w:eastAsia="宋体"/>
        <w:b w:val="0"/>
        <w:strike w:val="0"/>
        <w:color w:val="auto"/>
        <w:sz w:val="24"/>
        <w:szCs w:val="24"/>
      </w:rPr>
    </w:lvl>
    <w:lvl w:ilvl="2" w:tentative="0">
      <w:start w:val="1"/>
      <w:numFmt w:val="decimal"/>
      <w:lvlText w:val="（%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3">
    <w:nsid w:val="7593947B"/>
    <w:multiLevelType w:val="singleLevel"/>
    <w:tmpl w:val="7593947B"/>
    <w:lvl w:ilvl="0" w:tentative="0">
      <w:start w:val="1"/>
      <w:numFmt w:val="decimal"/>
      <w:lvlText w:val="%1."/>
      <w:lvlJc w:val="left"/>
      <w:pPr>
        <w:tabs>
          <w:tab w:val="left" w:pos="312"/>
        </w:tabs>
      </w:pPr>
    </w:lvl>
  </w:abstractNum>
  <w:abstractNum w:abstractNumId="94">
    <w:nsid w:val="76DE7689"/>
    <w:multiLevelType w:val="multilevel"/>
    <w:tmpl w:val="76DE7689"/>
    <w:lvl w:ilvl="0" w:tentative="0">
      <w:start w:val="4"/>
      <w:numFmt w:val="decimal"/>
      <w:lvlText w:val="%1."/>
      <w:lvlJc w:val="left"/>
      <w:pPr>
        <w:ind w:left="138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5">
    <w:nsid w:val="76E7DD58"/>
    <w:multiLevelType w:val="singleLevel"/>
    <w:tmpl w:val="76E7DD58"/>
    <w:lvl w:ilvl="0" w:tentative="0">
      <w:start w:val="1"/>
      <w:numFmt w:val="chineseCounting"/>
      <w:suff w:val="nothing"/>
      <w:lvlText w:val="（%1）"/>
      <w:lvlJc w:val="left"/>
      <w:pPr>
        <w:ind w:left="-10" w:firstLine="420"/>
      </w:pPr>
      <w:rPr>
        <w:rFonts w:hint="eastAsia"/>
        <w:i w:val="0"/>
        <w:iCs w:val="0"/>
      </w:rPr>
    </w:lvl>
  </w:abstractNum>
  <w:abstractNum w:abstractNumId="96">
    <w:nsid w:val="79254731"/>
    <w:multiLevelType w:val="multilevel"/>
    <w:tmpl w:val="79254731"/>
    <w:lvl w:ilvl="0" w:tentative="0">
      <w:start w:val="20"/>
      <w:numFmt w:val="decimal"/>
      <w:lvlText w:val="%1."/>
      <w:lvlJc w:val="left"/>
      <w:pPr>
        <w:ind w:left="425" w:hanging="425"/>
      </w:pPr>
      <w:rPr>
        <w:rFonts w:hint="eastAsia"/>
        <w:strike w:val="0"/>
      </w:rPr>
    </w:lvl>
    <w:lvl w:ilvl="1" w:tentative="0">
      <w:start w:val="13"/>
      <w:numFmt w:val="decimal"/>
      <w:lvlText w:val="%1.%2."/>
      <w:lvlJc w:val="left"/>
      <w:pPr>
        <w:ind w:left="2410" w:hanging="567"/>
      </w:pPr>
      <w:rPr>
        <w:rFonts w:hint="eastAsia"/>
      </w:rPr>
    </w:lvl>
    <w:lvl w:ilvl="2" w:tentative="0">
      <w:start w:val="1"/>
      <w:numFmt w:val="decimal"/>
      <w:lvlText w:val="%1.%2.%3."/>
      <w:lvlJc w:val="left"/>
      <w:pPr>
        <w:ind w:left="851"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97">
    <w:nsid w:val="7C81382A"/>
    <w:multiLevelType w:val="multilevel"/>
    <w:tmpl w:val="7C81382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8">
    <w:nsid w:val="7E460664"/>
    <w:multiLevelType w:val="multilevel"/>
    <w:tmpl w:val="7E460664"/>
    <w:lvl w:ilvl="0" w:tentative="0">
      <w:start w:val="1"/>
      <w:numFmt w:val="chineseCountingThousand"/>
      <w:lvlText w:val="%1、"/>
      <w:lvlJc w:val="left"/>
      <w:pPr>
        <w:ind w:left="2690" w:hanging="705"/>
      </w:pPr>
      <w:rPr>
        <w:rFonts w:hint="eastAsia" w:ascii="宋体" w:eastAsia="宋体"/>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99">
    <w:nsid w:val="7F052ADE"/>
    <w:multiLevelType w:val="multilevel"/>
    <w:tmpl w:val="7F052ADE"/>
    <w:lvl w:ilvl="0" w:tentative="0">
      <w:start w:val="1"/>
      <w:numFmt w:val="japaneseCounting"/>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0">
    <w:nsid w:val="7F5A757B"/>
    <w:multiLevelType w:val="multilevel"/>
    <w:tmpl w:val="7F5A757B"/>
    <w:lvl w:ilvl="0" w:tentative="0">
      <w:start w:val="27"/>
      <w:numFmt w:val="decimal"/>
      <w:lvlText w:val="%1."/>
      <w:lvlJc w:val="left"/>
      <w:pPr>
        <w:ind w:left="425" w:hanging="425"/>
      </w:pPr>
      <w:rPr>
        <w:rFonts w:hint="eastAsia"/>
        <w:strike w:val="0"/>
      </w:rPr>
    </w:lvl>
    <w:lvl w:ilvl="1" w:tentative="0">
      <w:start w:val="1"/>
      <w:numFmt w:val="decimal"/>
      <w:lvlText w:val="20.%2."/>
      <w:lvlJc w:val="left"/>
      <w:pPr>
        <w:ind w:left="567" w:hanging="567"/>
      </w:pPr>
      <w:rPr>
        <w:rFonts w:hint="eastAsia"/>
      </w:rPr>
    </w:lvl>
    <w:lvl w:ilvl="2" w:tentative="0">
      <w:start w:val="27"/>
      <w:numFmt w:val="decimal"/>
      <w:lvlText w:val="20.3.%3"/>
      <w:lvlJc w:val="left"/>
      <w:pPr>
        <w:ind w:left="709" w:hanging="709"/>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73"/>
  </w:num>
  <w:num w:numId="2">
    <w:abstractNumId w:val="99"/>
  </w:num>
  <w:num w:numId="3">
    <w:abstractNumId w:val="87"/>
  </w:num>
  <w:num w:numId="4">
    <w:abstractNumId w:val="95"/>
  </w:num>
  <w:num w:numId="5">
    <w:abstractNumId w:val="1"/>
  </w:num>
  <w:num w:numId="6">
    <w:abstractNumId w:val="84"/>
  </w:num>
  <w:num w:numId="7">
    <w:abstractNumId w:val="42"/>
  </w:num>
  <w:num w:numId="8">
    <w:abstractNumId w:val="91"/>
  </w:num>
  <w:num w:numId="9">
    <w:abstractNumId w:val="7"/>
  </w:num>
  <w:num w:numId="10">
    <w:abstractNumId w:val="3"/>
  </w:num>
  <w:num w:numId="11">
    <w:abstractNumId w:val="89"/>
  </w:num>
  <w:num w:numId="12">
    <w:abstractNumId w:val="86"/>
  </w:num>
  <w:num w:numId="13">
    <w:abstractNumId w:val="63"/>
  </w:num>
  <w:num w:numId="14">
    <w:abstractNumId w:val="98"/>
  </w:num>
  <w:num w:numId="15">
    <w:abstractNumId w:val="56"/>
  </w:num>
  <w:num w:numId="16">
    <w:abstractNumId w:val="37"/>
  </w:num>
  <w:num w:numId="17">
    <w:abstractNumId w:val="88"/>
  </w:num>
  <w:num w:numId="18">
    <w:abstractNumId w:val="46"/>
  </w:num>
  <w:num w:numId="19">
    <w:abstractNumId w:val="74"/>
  </w:num>
  <w:num w:numId="20">
    <w:abstractNumId w:val="34"/>
  </w:num>
  <w:num w:numId="21">
    <w:abstractNumId w:val="19"/>
  </w:num>
  <w:num w:numId="22">
    <w:abstractNumId w:val="38"/>
  </w:num>
  <w:num w:numId="23">
    <w:abstractNumId w:val="71"/>
  </w:num>
  <w:num w:numId="24">
    <w:abstractNumId w:val="41"/>
  </w:num>
  <w:num w:numId="25">
    <w:abstractNumId w:val="21"/>
  </w:num>
  <w:num w:numId="26">
    <w:abstractNumId w:val="79"/>
  </w:num>
  <w:num w:numId="27">
    <w:abstractNumId w:val="81"/>
  </w:num>
  <w:num w:numId="28">
    <w:abstractNumId w:val="22"/>
  </w:num>
  <w:num w:numId="29">
    <w:abstractNumId w:val="33"/>
  </w:num>
  <w:num w:numId="30">
    <w:abstractNumId w:val="96"/>
  </w:num>
  <w:num w:numId="31">
    <w:abstractNumId w:val="100"/>
  </w:num>
  <w:num w:numId="32">
    <w:abstractNumId w:val="49"/>
  </w:num>
  <w:num w:numId="33">
    <w:abstractNumId w:val="36"/>
  </w:num>
  <w:num w:numId="34">
    <w:abstractNumId w:val="6"/>
  </w:num>
  <w:num w:numId="35">
    <w:abstractNumId w:val="90"/>
  </w:num>
  <w:num w:numId="36">
    <w:abstractNumId w:val="32"/>
  </w:num>
  <w:num w:numId="37">
    <w:abstractNumId w:val="10"/>
  </w:num>
  <w:num w:numId="38">
    <w:abstractNumId w:val="51"/>
  </w:num>
  <w:num w:numId="39">
    <w:abstractNumId w:val="29"/>
  </w:num>
  <w:num w:numId="40">
    <w:abstractNumId w:val="17"/>
  </w:num>
  <w:num w:numId="41">
    <w:abstractNumId w:val="72"/>
  </w:num>
  <w:num w:numId="42">
    <w:abstractNumId w:val="80"/>
  </w:num>
  <w:num w:numId="43">
    <w:abstractNumId w:val="13"/>
  </w:num>
  <w:num w:numId="44">
    <w:abstractNumId w:val="65"/>
  </w:num>
  <w:num w:numId="45">
    <w:abstractNumId w:val="76"/>
  </w:num>
  <w:num w:numId="46">
    <w:abstractNumId w:val="83"/>
  </w:num>
  <w:num w:numId="47">
    <w:abstractNumId w:val="44"/>
  </w:num>
  <w:num w:numId="48">
    <w:abstractNumId w:val="50"/>
  </w:num>
  <w:num w:numId="49">
    <w:abstractNumId w:val="27"/>
  </w:num>
  <w:num w:numId="50">
    <w:abstractNumId w:val="31"/>
  </w:num>
  <w:num w:numId="51">
    <w:abstractNumId w:val="85"/>
  </w:num>
  <w:num w:numId="52">
    <w:abstractNumId w:val="94"/>
  </w:num>
  <w:num w:numId="53">
    <w:abstractNumId w:val="61"/>
  </w:num>
  <w:num w:numId="54">
    <w:abstractNumId w:val="66"/>
  </w:num>
  <w:num w:numId="55">
    <w:abstractNumId w:val="18"/>
  </w:num>
  <w:num w:numId="56">
    <w:abstractNumId w:val="11"/>
  </w:num>
  <w:num w:numId="57">
    <w:abstractNumId w:val="8"/>
  </w:num>
  <w:num w:numId="58">
    <w:abstractNumId w:val="77"/>
  </w:num>
  <w:num w:numId="59">
    <w:abstractNumId w:val="30"/>
  </w:num>
  <w:num w:numId="60">
    <w:abstractNumId w:val="26"/>
  </w:num>
  <w:num w:numId="61">
    <w:abstractNumId w:val="23"/>
  </w:num>
  <w:num w:numId="62">
    <w:abstractNumId w:val="35"/>
  </w:num>
  <w:num w:numId="63">
    <w:abstractNumId w:val="92"/>
  </w:num>
  <w:num w:numId="64">
    <w:abstractNumId w:val="64"/>
  </w:num>
  <w:num w:numId="65">
    <w:abstractNumId w:val="43"/>
  </w:num>
  <w:num w:numId="66">
    <w:abstractNumId w:val="57"/>
  </w:num>
  <w:num w:numId="67">
    <w:abstractNumId w:val="53"/>
  </w:num>
  <w:num w:numId="68">
    <w:abstractNumId w:val="60"/>
  </w:num>
  <w:num w:numId="69">
    <w:abstractNumId w:val="97"/>
  </w:num>
  <w:num w:numId="70">
    <w:abstractNumId w:val="47"/>
  </w:num>
  <w:num w:numId="71">
    <w:abstractNumId w:val="40"/>
  </w:num>
  <w:num w:numId="72">
    <w:abstractNumId w:val="16"/>
  </w:num>
  <w:num w:numId="73">
    <w:abstractNumId w:val="68"/>
  </w:num>
  <w:num w:numId="74">
    <w:abstractNumId w:val="24"/>
  </w:num>
  <w:num w:numId="75">
    <w:abstractNumId w:val="67"/>
  </w:num>
  <w:num w:numId="76">
    <w:abstractNumId w:val="20"/>
  </w:num>
  <w:num w:numId="77">
    <w:abstractNumId w:val="15"/>
  </w:num>
  <w:num w:numId="78">
    <w:abstractNumId w:val="14"/>
  </w:num>
  <w:num w:numId="79">
    <w:abstractNumId w:val="25"/>
  </w:num>
  <w:num w:numId="80">
    <w:abstractNumId w:val="58"/>
  </w:num>
  <w:num w:numId="81">
    <w:abstractNumId w:val="0"/>
  </w:num>
  <w:num w:numId="82">
    <w:abstractNumId w:val="4"/>
  </w:num>
  <w:num w:numId="83">
    <w:abstractNumId w:val="12"/>
  </w:num>
  <w:num w:numId="84">
    <w:abstractNumId w:val="78"/>
  </w:num>
  <w:num w:numId="85">
    <w:abstractNumId w:val="59"/>
  </w:num>
  <w:num w:numId="86">
    <w:abstractNumId w:val="45"/>
  </w:num>
  <w:num w:numId="87">
    <w:abstractNumId w:val="52"/>
  </w:num>
  <w:num w:numId="88">
    <w:abstractNumId w:val="69"/>
  </w:num>
  <w:num w:numId="89">
    <w:abstractNumId w:val="62"/>
  </w:num>
  <w:num w:numId="90">
    <w:abstractNumId w:val="5"/>
  </w:num>
  <w:num w:numId="91">
    <w:abstractNumId w:val="75"/>
  </w:num>
  <w:num w:numId="92">
    <w:abstractNumId w:val="48"/>
  </w:num>
  <w:num w:numId="9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3"/>
    <w:lvlOverride w:ilvl="0">
      <w:lvl w:ilvl="0" w:tentative="1">
        <w:start w:val="1"/>
        <w:numFmt w:val="decimal"/>
        <w:lvlText w:val="%1."/>
        <w:lvlJc w:val="left"/>
        <w:pPr>
          <w:ind w:left="420" w:hanging="420"/>
        </w:pPr>
        <w:rPr>
          <w:rFonts w:hint="eastAsia" w:ascii="宋体" w:hAnsi="宋体" w:eastAsia="宋体"/>
        </w:rPr>
      </w:lvl>
    </w:lvlOverride>
    <w:lvlOverride w:ilvl="1">
      <w:lvl w:ilvl="1" w:tentative="1">
        <w:start w:val="1"/>
        <w:numFmt w:val="lowerLetter"/>
        <w:lvlText w:val="%2)"/>
        <w:lvlJc w:val="left"/>
        <w:pPr>
          <w:ind w:left="840" w:hanging="420"/>
        </w:pPr>
      </w:lvl>
    </w:lvlOverride>
    <w:lvlOverride w:ilvl="2">
      <w:lvl w:ilvl="2" w:tentative="1">
        <w:start w:val="1"/>
        <w:numFmt w:val="lowerRoman"/>
        <w:lvlText w:val="%3."/>
        <w:lvlJc w:val="right"/>
        <w:pPr>
          <w:ind w:left="1260" w:hanging="420"/>
        </w:pPr>
      </w:lvl>
    </w:lvlOverride>
    <w:lvlOverride w:ilvl="3">
      <w:lvl w:ilvl="3" w:tentative="1">
        <w:start w:val="1"/>
        <w:numFmt w:val="decimal"/>
        <w:lvlText w:val="%4."/>
        <w:lvlJc w:val="left"/>
        <w:pPr>
          <w:ind w:left="1680" w:hanging="420"/>
        </w:pPr>
      </w:lvl>
    </w:lvlOverride>
    <w:lvlOverride w:ilvl="4">
      <w:lvl w:ilvl="4" w:tentative="1">
        <w:start w:val="1"/>
        <w:numFmt w:val="lowerLetter"/>
        <w:lvlText w:val="%5)"/>
        <w:lvlJc w:val="left"/>
        <w:pPr>
          <w:ind w:left="2100" w:hanging="420"/>
        </w:pPr>
      </w:lvl>
    </w:lvlOverride>
    <w:lvlOverride w:ilvl="5">
      <w:lvl w:ilvl="5" w:tentative="1">
        <w:start w:val="1"/>
        <w:numFmt w:val="lowerRoman"/>
        <w:lvlText w:val="%6."/>
        <w:lvlJc w:val="right"/>
        <w:pPr>
          <w:ind w:left="2520" w:hanging="420"/>
        </w:pPr>
      </w:lvl>
    </w:lvlOverride>
    <w:lvlOverride w:ilvl="6">
      <w:lvl w:ilvl="6" w:tentative="1">
        <w:start w:val="1"/>
        <w:numFmt w:val="decimal"/>
        <w:lvlText w:val="%7."/>
        <w:lvlJc w:val="left"/>
        <w:pPr>
          <w:ind w:left="2940" w:hanging="420"/>
        </w:pPr>
      </w:lvl>
    </w:lvlOverride>
    <w:lvlOverride w:ilvl="7">
      <w:lvl w:ilvl="7" w:tentative="1">
        <w:start w:val="1"/>
        <w:numFmt w:val="lowerLetter"/>
        <w:lvlText w:val="%8)"/>
        <w:lvlJc w:val="left"/>
        <w:pPr>
          <w:ind w:left="3360" w:hanging="420"/>
        </w:pPr>
      </w:lvl>
    </w:lvlOverride>
    <w:lvlOverride w:ilvl="8">
      <w:lvl w:ilvl="8" w:tentative="1">
        <w:start w:val="1"/>
        <w:numFmt w:val="lowerRoman"/>
        <w:lvlText w:val="%9."/>
        <w:lvlJc w:val="right"/>
        <w:pPr>
          <w:ind w:left="3780" w:hanging="420"/>
        </w:pPr>
      </w:lvl>
    </w:lvlOverride>
  </w:num>
  <w:num w:numId="95">
    <w:abstractNumId w:val="39"/>
  </w:num>
  <w:num w:numId="96">
    <w:abstractNumId w:val="28"/>
  </w:num>
  <w:num w:numId="97">
    <w:abstractNumId w:val="9"/>
  </w:num>
  <w:num w:numId="98">
    <w:abstractNumId w:val="54"/>
  </w:num>
  <w:num w:numId="99">
    <w:abstractNumId w:val="2"/>
  </w:num>
  <w:num w:numId="100">
    <w:abstractNumId w:val="55"/>
  </w:num>
  <w:num w:numId="101">
    <w:abstractNumId w:val="93"/>
  </w:num>
  <w:num w:numId="102">
    <w:abstractNumId w:val="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dit="forms" w:enforcement="1" w:cryptProviderType="rsaFull" w:cryptAlgorithmClass="hash" w:cryptAlgorithmType="typeAny" w:cryptAlgorithmSid="4" w:cryptSpinCount="0" w:hash="c1y/+zqjyExcWmaQM7dh6lqQqd0=" w:salt="7jVdflpr59cD2HOftMbWWA=="/>
  <w:defaultTabStop w:val="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NzViMzU1MDAwYmI4NmU4NmRlZGI0Nzc4ZjUyNmUzMmYifQ=="/>
  </w:docVars>
  <w:rsids>
    <w:rsidRoot w:val="000A3147"/>
    <w:rsid w:val="000000F7"/>
    <w:rsid w:val="00000EE0"/>
    <w:rsid w:val="00001A61"/>
    <w:rsid w:val="000028F9"/>
    <w:rsid w:val="000029E2"/>
    <w:rsid w:val="0000342D"/>
    <w:rsid w:val="0000360B"/>
    <w:rsid w:val="00003755"/>
    <w:rsid w:val="00003F37"/>
    <w:rsid w:val="0000493D"/>
    <w:rsid w:val="00004A26"/>
    <w:rsid w:val="0000513E"/>
    <w:rsid w:val="0000532F"/>
    <w:rsid w:val="000055E6"/>
    <w:rsid w:val="00005A02"/>
    <w:rsid w:val="00006B2C"/>
    <w:rsid w:val="00006C27"/>
    <w:rsid w:val="00007A61"/>
    <w:rsid w:val="0001045A"/>
    <w:rsid w:val="000104DF"/>
    <w:rsid w:val="0001075B"/>
    <w:rsid w:val="00010AF1"/>
    <w:rsid w:val="00010BEF"/>
    <w:rsid w:val="00010E9E"/>
    <w:rsid w:val="00011557"/>
    <w:rsid w:val="000115E8"/>
    <w:rsid w:val="00013198"/>
    <w:rsid w:val="00014FDA"/>
    <w:rsid w:val="00015158"/>
    <w:rsid w:val="00015849"/>
    <w:rsid w:val="00016031"/>
    <w:rsid w:val="000160A6"/>
    <w:rsid w:val="00016455"/>
    <w:rsid w:val="00016AF1"/>
    <w:rsid w:val="00017167"/>
    <w:rsid w:val="00017A40"/>
    <w:rsid w:val="00020768"/>
    <w:rsid w:val="00020E50"/>
    <w:rsid w:val="00020F07"/>
    <w:rsid w:val="00020FAF"/>
    <w:rsid w:val="00022AE9"/>
    <w:rsid w:val="00023B22"/>
    <w:rsid w:val="00023FC2"/>
    <w:rsid w:val="00024CB4"/>
    <w:rsid w:val="00024F69"/>
    <w:rsid w:val="0002533B"/>
    <w:rsid w:val="000269E7"/>
    <w:rsid w:val="00026E04"/>
    <w:rsid w:val="0002702C"/>
    <w:rsid w:val="000270A5"/>
    <w:rsid w:val="000270EE"/>
    <w:rsid w:val="0002731F"/>
    <w:rsid w:val="00027F80"/>
    <w:rsid w:val="0003002E"/>
    <w:rsid w:val="00030CB1"/>
    <w:rsid w:val="00030D9B"/>
    <w:rsid w:val="0003186C"/>
    <w:rsid w:val="0003237D"/>
    <w:rsid w:val="00032737"/>
    <w:rsid w:val="000334EF"/>
    <w:rsid w:val="0003467E"/>
    <w:rsid w:val="00036189"/>
    <w:rsid w:val="000368A4"/>
    <w:rsid w:val="00040336"/>
    <w:rsid w:val="000405CD"/>
    <w:rsid w:val="000417ED"/>
    <w:rsid w:val="00041BBB"/>
    <w:rsid w:val="00041FCF"/>
    <w:rsid w:val="0004267B"/>
    <w:rsid w:val="000432E6"/>
    <w:rsid w:val="00043A69"/>
    <w:rsid w:val="00043B39"/>
    <w:rsid w:val="00043F49"/>
    <w:rsid w:val="00044B3E"/>
    <w:rsid w:val="000450C0"/>
    <w:rsid w:val="00045804"/>
    <w:rsid w:val="00046FD0"/>
    <w:rsid w:val="0005005A"/>
    <w:rsid w:val="0005071F"/>
    <w:rsid w:val="0005122F"/>
    <w:rsid w:val="00051663"/>
    <w:rsid w:val="00051DF5"/>
    <w:rsid w:val="0005242D"/>
    <w:rsid w:val="000526F9"/>
    <w:rsid w:val="00053330"/>
    <w:rsid w:val="0005399D"/>
    <w:rsid w:val="00053ABF"/>
    <w:rsid w:val="0005463A"/>
    <w:rsid w:val="000550DF"/>
    <w:rsid w:val="000554E6"/>
    <w:rsid w:val="00055B4E"/>
    <w:rsid w:val="00055CD7"/>
    <w:rsid w:val="00055DA3"/>
    <w:rsid w:val="00055F96"/>
    <w:rsid w:val="000569E2"/>
    <w:rsid w:val="00056B4B"/>
    <w:rsid w:val="000579FB"/>
    <w:rsid w:val="00060445"/>
    <w:rsid w:val="000608E5"/>
    <w:rsid w:val="0006179C"/>
    <w:rsid w:val="00061A47"/>
    <w:rsid w:val="00061E13"/>
    <w:rsid w:val="00061F3D"/>
    <w:rsid w:val="000620BC"/>
    <w:rsid w:val="0006210D"/>
    <w:rsid w:val="000623F1"/>
    <w:rsid w:val="000627D5"/>
    <w:rsid w:val="00063098"/>
    <w:rsid w:val="0006365B"/>
    <w:rsid w:val="00064286"/>
    <w:rsid w:val="00064487"/>
    <w:rsid w:val="00064607"/>
    <w:rsid w:val="00064CDC"/>
    <w:rsid w:val="00066E91"/>
    <w:rsid w:val="0006788D"/>
    <w:rsid w:val="0007065D"/>
    <w:rsid w:val="000706AE"/>
    <w:rsid w:val="00070E60"/>
    <w:rsid w:val="00071E36"/>
    <w:rsid w:val="000723A8"/>
    <w:rsid w:val="000728AB"/>
    <w:rsid w:val="00072BE6"/>
    <w:rsid w:val="00073179"/>
    <w:rsid w:val="0007415F"/>
    <w:rsid w:val="00074BD1"/>
    <w:rsid w:val="000754E7"/>
    <w:rsid w:val="000763FF"/>
    <w:rsid w:val="00076A5A"/>
    <w:rsid w:val="0007726A"/>
    <w:rsid w:val="00077726"/>
    <w:rsid w:val="00077A65"/>
    <w:rsid w:val="0008082F"/>
    <w:rsid w:val="000813CA"/>
    <w:rsid w:val="00081853"/>
    <w:rsid w:val="00081D93"/>
    <w:rsid w:val="00081FF1"/>
    <w:rsid w:val="000821E1"/>
    <w:rsid w:val="00082C47"/>
    <w:rsid w:val="000839F5"/>
    <w:rsid w:val="00085572"/>
    <w:rsid w:val="0008559D"/>
    <w:rsid w:val="000855C7"/>
    <w:rsid w:val="00085746"/>
    <w:rsid w:val="000861AA"/>
    <w:rsid w:val="00086B6C"/>
    <w:rsid w:val="00086CA2"/>
    <w:rsid w:val="00087552"/>
    <w:rsid w:val="00087B47"/>
    <w:rsid w:val="00090ED5"/>
    <w:rsid w:val="00091478"/>
    <w:rsid w:val="00091599"/>
    <w:rsid w:val="00091C0E"/>
    <w:rsid w:val="00091C6A"/>
    <w:rsid w:val="00091CA7"/>
    <w:rsid w:val="000927C2"/>
    <w:rsid w:val="00092C60"/>
    <w:rsid w:val="00093644"/>
    <w:rsid w:val="00094A46"/>
    <w:rsid w:val="0009567A"/>
    <w:rsid w:val="00096505"/>
    <w:rsid w:val="000967BD"/>
    <w:rsid w:val="00096855"/>
    <w:rsid w:val="000977F5"/>
    <w:rsid w:val="00097A28"/>
    <w:rsid w:val="000A0612"/>
    <w:rsid w:val="000A0DB9"/>
    <w:rsid w:val="000A148C"/>
    <w:rsid w:val="000A19C8"/>
    <w:rsid w:val="000A20E3"/>
    <w:rsid w:val="000A20E7"/>
    <w:rsid w:val="000A3147"/>
    <w:rsid w:val="000A34DC"/>
    <w:rsid w:val="000A4186"/>
    <w:rsid w:val="000A4BDC"/>
    <w:rsid w:val="000A529C"/>
    <w:rsid w:val="000A6C3F"/>
    <w:rsid w:val="000A70C5"/>
    <w:rsid w:val="000A74CE"/>
    <w:rsid w:val="000A79DF"/>
    <w:rsid w:val="000A7FBA"/>
    <w:rsid w:val="000B07C9"/>
    <w:rsid w:val="000B1E31"/>
    <w:rsid w:val="000B28A7"/>
    <w:rsid w:val="000B28EE"/>
    <w:rsid w:val="000B2A29"/>
    <w:rsid w:val="000B2F5B"/>
    <w:rsid w:val="000B370D"/>
    <w:rsid w:val="000B4B59"/>
    <w:rsid w:val="000B5FED"/>
    <w:rsid w:val="000B6F7C"/>
    <w:rsid w:val="000B7A39"/>
    <w:rsid w:val="000C0459"/>
    <w:rsid w:val="000C1009"/>
    <w:rsid w:val="000C1B77"/>
    <w:rsid w:val="000C3137"/>
    <w:rsid w:val="000C333D"/>
    <w:rsid w:val="000C38F4"/>
    <w:rsid w:val="000C44AC"/>
    <w:rsid w:val="000C5920"/>
    <w:rsid w:val="000C5DA3"/>
    <w:rsid w:val="000C5F41"/>
    <w:rsid w:val="000C631A"/>
    <w:rsid w:val="000C6E29"/>
    <w:rsid w:val="000C766F"/>
    <w:rsid w:val="000C785C"/>
    <w:rsid w:val="000C7AAC"/>
    <w:rsid w:val="000D0644"/>
    <w:rsid w:val="000D0A4A"/>
    <w:rsid w:val="000D1337"/>
    <w:rsid w:val="000D18DF"/>
    <w:rsid w:val="000D2764"/>
    <w:rsid w:val="000D3367"/>
    <w:rsid w:val="000D393D"/>
    <w:rsid w:val="000D44D0"/>
    <w:rsid w:val="000D5627"/>
    <w:rsid w:val="000D5EB7"/>
    <w:rsid w:val="000D6765"/>
    <w:rsid w:val="000D6B82"/>
    <w:rsid w:val="000D744D"/>
    <w:rsid w:val="000E06EE"/>
    <w:rsid w:val="000E0AEC"/>
    <w:rsid w:val="000E0D50"/>
    <w:rsid w:val="000E2DB1"/>
    <w:rsid w:val="000E2DF0"/>
    <w:rsid w:val="000E4964"/>
    <w:rsid w:val="000E5680"/>
    <w:rsid w:val="000E59CC"/>
    <w:rsid w:val="000E631E"/>
    <w:rsid w:val="000E6476"/>
    <w:rsid w:val="000E7653"/>
    <w:rsid w:val="000E7845"/>
    <w:rsid w:val="000F1256"/>
    <w:rsid w:val="000F1309"/>
    <w:rsid w:val="000F17EC"/>
    <w:rsid w:val="000F1BFA"/>
    <w:rsid w:val="000F1D75"/>
    <w:rsid w:val="000F1FC4"/>
    <w:rsid w:val="000F20A6"/>
    <w:rsid w:val="000F347F"/>
    <w:rsid w:val="000F3D27"/>
    <w:rsid w:val="000F4003"/>
    <w:rsid w:val="000F43B2"/>
    <w:rsid w:val="000F4456"/>
    <w:rsid w:val="000F5B94"/>
    <w:rsid w:val="000F5F19"/>
    <w:rsid w:val="000F685F"/>
    <w:rsid w:val="000F6D43"/>
    <w:rsid w:val="000F7324"/>
    <w:rsid w:val="000F7798"/>
    <w:rsid w:val="000F78AB"/>
    <w:rsid w:val="001003CB"/>
    <w:rsid w:val="00100F12"/>
    <w:rsid w:val="00101F02"/>
    <w:rsid w:val="0010210E"/>
    <w:rsid w:val="00102277"/>
    <w:rsid w:val="00102386"/>
    <w:rsid w:val="00102877"/>
    <w:rsid w:val="001034A8"/>
    <w:rsid w:val="00103761"/>
    <w:rsid w:val="00103EAB"/>
    <w:rsid w:val="001045D9"/>
    <w:rsid w:val="001046C1"/>
    <w:rsid w:val="00104CEB"/>
    <w:rsid w:val="00105464"/>
    <w:rsid w:val="00105BB9"/>
    <w:rsid w:val="00105DED"/>
    <w:rsid w:val="00105FE8"/>
    <w:rsid w:val="001070FD"/>
    <w:rsid w:val="001073D0"/>
    <w:rsid w:val="00107653"/>
    <w:rsid w:val="00107E1A"/>
    <w:rsid w:val="00110B53"/>
    <w:rsid w:val="0011313B"/>
    <w:rsid w:val="00113594"/>
    <w:rsid w:val="00113783"/>
    <w:rsid w:val="0011399D"/>
    <w:rsid w:val="00114016"/>
    <w:rsid w:val="00114463"/>
    <w:rsid w:val="00114CCC"/>
    <w:rsid w:val="001157F8"/>
    <w:rsid w:val="00115C3A"/>
    <w:rsid w:val="00116E0D"/>
    <w:rsid w:val="00117154"/>
    <w:rsid w:val="00120125"/>
    <w:rsid w:val="00120E6B"/>
    <w:rsid w:val="00121939"/>
    <w:rsid w:val="00123B64"/>
    <w:rsid w:val="00124805"/>
    <w:rsid w:val="001250AA"/>
    <w:rsid w:val="00125201"/>
    <w:rsid w:val="0012595F"/>
    <w:rsid w:val="00125AA7"/>
    <w:rsid w:val="00126A76"/>
    <w:rsid w:val="001274F9"/>
    <w:rsid w:val="0012796E"/>
    <w:rsid w:val="00127E0A"/>
    <w:rsid w:val="00127F05"/>
    <w:rsid w:val="00130B0C"/>
    <w:rsid w:val="00132DE2"/>
    <w:rsid w:val="001331B0"/>
    <w:rsid w:val="0013337A"/>
    <w:rsid w:val="001345F1"/>
    <w:rsid w:val="0013468C"/>
    <w:rsid w:val="001350D9"/>
    <w:rsid w:val="00136307"/>
    <w:rsid w:val="0013639C"/>
    <w:rsid w:val="001365E2"/>
    <w:rsid w:val="0013684D"/>
    <w:rsid w:val="00136A12"/>
    <w:rsid w:val="00136E5E"/>
    <w:rsid w:val="0013741C"/>
    <w:rsid w:val="00140CDE"/>
    <w:rsid w:val="001410BF"/>
    <w:rsid w:val="00141794"/>
    <w:rsid w:val="00141D9C"/>
    <w:rsid w:val="001430DD"/>
    <w:rsid w:val="00143C02"/>
    <w:rsid w:val="00143C9D"/>
    <w:rsid w:val="00143F7C"/>
    <w:rsid w:val="001441D3"/>
    <w:rsid w:val="00144786"/>
    <w:rsid w:val="00144CE7"/>
    <w:rsid w:val="00144D79"/>
    <w:rsid w:val="00144E58"/>
    <w:rsid w:val="00144F95"/>
    <w:rsid w:val="00145341"/>
    <w:rsid w:val="001460C0"/>
    <w:rsid w:val="001461C8"/>
    <w:rsid w:val="0014632F"/>
    <w:rsid w:val="00147617"/>
    <w:rsid w:val="001479B2"/>
    <w:rsid w:val="00150088"/>
    <w:rsid w:val="00150273"/>
    <w:rsid w:val="00150BE2"/>
    <w:rsid w:val="00151075"/>
    <w:rsid w:val="001510F4"/>
    <w:rsid w:val="001518B3"/>
    <w:rsid w:val="0015236F"/>
    <w:rsid w:val="001526BC"/>
    <w:rsid w:val="00153428"/>
    <w:rsid w:val="00153652"/>
    <w:rsid w:val="00153A1C"/>
    <w:rsid w:val="0015436F"/>
    <w:rsid w:val="001550C5"/>
    <w:rsid w:val="00155467"/>
    <w:rsid w:val="00157C62"/>
    <w:rsid w:val="0016001F"/>
    <w:rsid w:val="001606F4"/>
    <w:rsid w:val="0016095E"/>
    <w:rsid w:val="00160B4F"/>
    <w:rsid w:val="00161937"/>
    <w:rsid w:val="00161B4E"/>
    <w:rsid w:val="001623BA"/>
    <w:rsid w:val="00162927"/>
    <w:rsid w:val="001634C5"/>
    <w:rsid w:val="00163A3E"/>
    <w:rsid w:val="00163F55"/>
    <w:rsid w:val="00164D52"/>
    <w:rsid w:val="00164E07"/>
    <w:rsid w:val="0016510C"/>
    <w:rsid w:val="00165256"/>
    <w:rsid w:val="001655F6"/>
    <w:rsid w:val="00165A6A"/>
    <w:rsid w:val="00165BF9"/>
    <w:rsid w:val="001660C9"/>
    <w:rsid w:val="001661EE"/>
    <w:rsid w:val="0016626E"/>
    <w:rsid w:val="00166490"/>
    <w:rsid w:val="00166867"/>
    <w:rsid w:val="001675D2"/>
    <w:rsid w:val="001708D9"/>
    <w:rsid w:val="00171D8F"/>
    <w:rsid w:val="00173D0C"/>
    <w:rsid w:val="00173FD8"/>
    <w:rsid w:val="00175F84"/>
    <w:rsid w:val="00177512"/>
    <w:rsid w:val="00181315"/>
    <w:rsid w:val="0018245A"/>
    <w:rsid w:val="00182506"/>
    <w:rsid w:val="0018279B"/>
    <w:rsid w:val="00182BEE"/>
    <w:rsid w:val="001847F8"/>
    <w:rsid w:val="001854BA"/>
    <w:rsid w:val="00186969"/>
    <w:rsid w:val="00187011"/>
    <w:rsid w:val="001870EB"/>
    <w:rsid w:val="00187145"/>
    <w:rsid w:val="001876E4"/>
    <w:rsid w:val="00187D1E"/>
    <w:rsid w:val="00187D6C"/>
    <w:rsid w:val="00187D8D"/>
    <w:rsid w:val="001909B8"/>
    <w:rsid w:val="00191DD5"/>
    <w:rsid w:val="001923B2"/>
    <w:rsid w:val="00192A3E"/>
    <w:rsid w:val="00192C77"/>
    <w:rsid w:val="0019349E"/>
    <w:rsid w:val="00193805"/>
    <w:rsid w:val="00193A16"/>
    <w:rsid w:val="00193A64"/>
    <w:rsid w:val="00193BCE"/>
    <w:rsid w:val="00193FE9"/>
    <w:rsid w:val="00194B1D"/>
    <w:rsid w:val="001952EB"/>
    <w:rsid w:val="00196C56"/>
    <w:rsid w:val="00197444"/>
    <w:rsid w:val="0019772A"/>
    <w:rsid w:val="0019772F"/>
    <w:rsid w:val="001A02B4"/>
    <w:rsid w:val="001A0386"/>
    <w:rsid w:val="001A102F"/>
    <w:rsid w:val="001A1460"/>
    <w:rsid w:val="001A1927"/>
    <w:rsid w:val="001A1CF6"/>
    <w:rsid w:val="001A1E13"/>
    <w:rsid w:val="001A1E45"/>
    <w:rsid w:val="001A22FE"/>
    <w:rsid w:val="001A27E1"/>
    <w:rsid w:val="001A2A21"/>
    <w:rsid w:val="001A2A77"/>
    <w:rsid w:val="001A37EA"/>
    <w:rsid w:val="001A4BC9"/>
    <w:rsid w:val="001A5017"/>
    <w:rsid w:val="001A6120"/>
    <w:rsid w:val="001A6681"/>
    <w:rsid w:val="001A683F"/>
    <w:rsid w:val="001B0067"/>
    <w:rsid w:val="001B0980"/>
    <w:rsid w:val="001B16F4"/>
    <w:rsid w:val="001B1B75"/>
    <w:rsid w:val="001B249A"/>
    <w:rsid w:val="001B2C01"/>
    <w:rsid w:val="001B347E"/>
    <w:rsid w:val="001B55CE"/>
    <w:rsid w:val="001B5B00"/>
    <w:rsid w:val="001B5B8A"/>
    <w:rsid w:val="001B5EAD"/>
    <w:rsid w:val="001B5FC6"/>
    <w:rsid w:val="001B6792"/>
    <w:rsid w:val="001B7E9F"/>
    <w:rsid w:val="001C0348"/>
    <w:rsid w:val="001C16C0"/>
    <w:rsid w:val="001C16DF"/>
    <w:rsid w:val="001C1A6F"/>
    <w:rsid w:val="001C2425"/>
    <w:rsid w:val="001C2DEA"/>
    <w:rsid w:val="001C3282"/>
    <w:rsid w:val="001C3570"/>
    <w:rsid w:val="001C42F2"/>
    <w:rsid w:val="001C6EB1"/>
    <w:rsid w:val="001C70FD"/>
    <w:rsid w:val="001D0EDC"/>
    <w:rsid w:val="001D1316"/>
    <w:rsid w:val="001D2D7D"/>
    <w:rsid w:val="001D3446"/>
    <w:rsid w:val="001D3A1B"/>
    <w:rsid w:val="001D3C68"/>
    <w:rsid w:val="001D4014"/>
    <w:rsid w:val="001D433F"/>
    <w:rsid w:val="001D49F3"/>
    <w:rsid w:val="001D5299"/>
    <w:rsid w:val="001D5BB4"/>
    <w:rsid w:val="001D61B9"/>
    <w:rsid w:val="001D63BE"/>
    <w:rsid w:val="001D6A84"/>
    <w:rsid w:val="001D6F01"/>
    <w:rsid w:val="001D770D"/>
    <w:rsid w:val="001D7EF5"/>
    <w:rsid w:val="001E056F"/>
    <w:rsid w:val="001E0D01"/>
    <w:rsid w:val="001E12EE"/>
    <w:rsid w:val="001E1332"/>
    <w:rsid w:val="001E1A34"/>
    <w:rsid w:val="001E1ABD"/>
    <w:rsid w:val="001E2146"/>
    <w:rsid w:val="001E39A7"/>
    <w:rsid w:val="001E4283"/>
    <w:rsid w:val="001E4913"/>
    <w:rsid w:val="001E4A64"/>
    <w:rsid w:val="001E4C43"/>
    <w:rsid w:val="001E5B2B"/>
    <w:rsid w:val="001E6200"/>
    <w:rsid w:val="001E6426"/>
    <w:rsid w:val="001E648B"/>
    <w:rsid w:val="001E76DC"/>
    <w:rsid w:val="001E77B3"/>
    <w:rsid w:val="001E7932"/>
    <w:rsid w:val="001E7C3F"/>
    <w:rsid w:val="001F022D"/>
    <w:rsid w:val="001F182E"/>
    <w:rsid w:val="001F18F5"/>
    <w:rsid w:val="001F1D93"/>
    <w:rsid w:val="001F1ECD"/>
    <w:rsid w:val="001F25A0"/>
    <w:rsid w:val="001F26EE"/>
    <w:rsid w:val="001F3846"/>
    <w:rsid w:val="001F5C9D"/>
    <w:rsid w:val="001F684A"/>
    <w:rsid w:val="001F6B28"/>
    <w:rsid w:val="001F74B0"/>
    <w:rsid w:val="001F7CA3"/>
    <w:rsid w:val="001F7E97"/>
    <w:rsid w:val="00201205"/>
    <w:rsid w:val="00201597"/>
    <w:rsid w:val="002022FA"/>
    <w:rsid w:val="00202B03"/>
    <w:rsid w:val="00202E41"/>
    <w:rsid w:val="0020403B"/>
    <w:rsid w:val="0020451E"/>
    <w:rsid w:val="00206878"/>
    <w:rsid w:val="00207160"/>
    <w:rsid w:val="00207398"/>
    <w:rsid w:val="00207AD0"/>
    <w:rsid w:val="00207C9C"/>
    <w:rsid w:val="002100EC"/>
    <w:rsid w:val="002106DD"/>
    <w:rsid w:val="002107DC"/>
    <w:rsid w:val="00210BB7"/>
    <w:rsid w:val="00210E9E"/>
    <w:rsid w:val="002116B0"/>
    <w:rsid w:val="00214571"/>
    <w:rsid w:val="00214961"/>
    <w:rsid w:val="00214B92"/>
    <w:rsid w:val="002154CC"/>
    <w:rsid w:val="00216279"/>
    <w:rsid w:val="00216912"/>
    <w:rsid w:val="00216C66"/>
    <w:rsid w:val="002171ED"/>
    <w:rsid w:val="00217D77"/>
    <w:rsid w:val="002205A3"/>
    <w:rsid w:val="00220EDF"/>
    <w:rsid w:val="00222271"/>
    <w:rsid w:val="00222BFC"/>
    <w:rsid w:val="00223863"/>
    <w:rsid w:val="00224036"/>
    <w:rsid w:val="0022419E"/>
    <w:rsid w:val="0022491F"/>
    <w:rsid w:val="00225837"/>
    <w:rsid w:val="00225DF6"/>
    <w:rsid w:val="00226202"/>
    <w:rsid w:val="00226681"/>
    <w:rsid w:val="00226CA4"/>
    <w:rsid w:val="00227266"/>
    <w:rsid w:val="00227CB7"/>
    <w:rsid w:val="0023107A"/>
    <w:rsid w:val="00231B25"/>
    <w:rsid w:val="00231B40"/>
    <w:rsid w:val="002326C5"/>
    <w:rsid w:val="00233149"/>
    <w:rsid w:val="002333B7"/>
    <w:rsid w:val="00233F14"/>
    <w:rsid w:val="00234FDD"/>
    <w:rsid w:val="002359DE"/>
    <w:rsid w:val="00236032"/>
    <w:rsid w:val="00236EBF"/>
    <w:rsid w:val="0023706F"/>
    <w:rsid w:val="00237D3A"/>
    <w:rsid w:val="00237D60"/>
    <w:rsid w:val="00237DDD"/>
    <w:rsid w:val="002405C0"/>
    <w:rsid w:val="00240807"/>
    <w:rsid w:val="00240A65"/>
    <w:rsid w:val="0024244F"/>
    <w:rsid w:val="00242827"/>
    <w:rsid w:val="00242C72"/>
    <w:rsid w:val="00242CAF"/>
    <w:rsid w:val="002431C7"/>
    <w:rsid w:val="00243731"/>
    <w:rsid w:val="002439F2"/>
    <w:rsid w:val="00243E41"/>
    <w:rsid w:val="00243EC8"/>
    <w:rsid w:val="00244CF1"/>
    <w:rsid w:val="00244EAF"/>
    <w:rsid w:val="0024515F"/>
    <w:rsid w:val="00245A2D"/>
    <w:rsid w:val="00245EA8"/>
    <w:rsid w:val="00246741"/>
    <w:rsid w:val="00246A28"/>
    <w:rsid w:val="00246B1C"/>
    <w:rsid w:val="002471BB"/>
    <w:rsid w:val="00247AFC"/>
    <w:rsid w:val="00247C4B"/>
    <w:rsid w:val="002500B0"/>
    <w:rsid w:val="00250560"/>
    <w:rsid w:val="002506F5"/>
    <w:rsid w:val="002512A5"/>
    <w:rsid w:val="002518A9"/>
    <w:rsid w:val="00251E75"/>
    <w:rsid w:val="00252A83"/>
    <w:rsid w:val="002530BB"/>
    <w:rsid w:val="0025320F"/>
    <w:rsid w:val="0025321E"/>
    <w:rsid w:val="002532FA"/>
    <w:rsid w:val="002538E6"/>
    <w:rsid w:val="002539F2"/>
    <w:rsid w:val="00253B16"/>
    <w:rsid w:val="00253DA5"/>
    <w:rsid w:val="00254187"/>
    <w:rsid w:val="002546C4"/>
    <w:rsid w:val="00254FFE"/>
    <w:rsid w:val="00255909"/>
    <w:rsid w:val="00255A8E"/>
    <w:rsid w:val="00255B9F"/>
    <w:rsid w:val="00255ED2"/>
    <w:rsid w:val="002564CA"/>
    <w:rsid w:val="0025740A"/>
    <w:rsid w:val="0025756B"/>
    <w:rsid w:val="002608FD"/>
    <w:rsid w:val="00260B31"/>
    <w:rsid w:val="00260D8F"/>
    <w:rsid w:val="00261186"/>
    <w:rsid w:val="00261AEC"/>
    <w:rsid w:val="00261FF6"/>
    <w:rsid w:val="00263B31"/>
    <w:rsid w:val="00263B8A"/>
    <w:rsid w:val="002646E5"/>
    <w:rsid w:val="00265BE0"/>
    <w:rsid w:val="00265C77"/>
    <w:rsid w:val="00266741"/>
    <w:rsid w:val="0026731E"/>
    <w:rsid w:val="00267985"/>
    <w:rsid w:val="00267CCA"/>
    <w:rsid w:val="0027038F"/>
    <w:rsid w:val="00270892"/>
    <w:rsid w:val="00271147"/>
    <w:rsid w:val="00272A64"/>
    <w:rsid w:val="00273E08"/>
    <w:rsid w:val="002742EF"/>
    <w:rsid w:val="00274914"/>
    <w:rsid w:val="00274B79"/>
    <w:rsid w:val="00275C34"/>
    <w:rsid w:val="00276348"/>
    <w:rsid w:val="00276355"/>
    <w:rsid w:val="00276A6C"/>
    <w:rsid w:val="00276FE3"/>
    <w:rsid w:val="002775A6"/>
    <w:rsid w:val="00277F67"/>
    <w:rsid w:val="0028071D"/>
    <w:rsid w:val="002809B7"/>
    <w:rsid w:val="002812AD"/>
    <w:rsid w:val="002812B3"/>
    <w:rsid w:val="00281B65"/>
    <w:rsid w:val="00281DD3"/>
    <w:rsid w:val="002823BB"/>
    <w:rsid w:val="00282BB7"/>
    <w:rsid w:val="00283266"/>
    <w:rsid w:val="00283306"/>
    <w:rsid w:val="0028332B"/>
    <w:rsid w:val="0028338D"/>
    <w:rsid w:val="002833F7"/>
    <w:rsid w:val="002843AD"/>
    <w:rsid w:val="002844AC"/>
    <w:rsid w:val="00286517"/>
    <w:rsid w:val="00286538"/>
    <w:rsid w:val="0028698A"/>
    <w:rsid w:val="0028699D"/>
    <w:rsid w:val="002871D3"/>
    <w:rsid w:val="002873FD"/>
    <w:rsid w:val="00287630"/>
    <w:rsid w:val="002879B0"/>
    <w:rsid w:val="00287F16"/>
    <w:rsid w:val="002901E5"/>
    <w:rsid w:val="002920F5"/>
    <w:rsid w:val="00292165"/>
    <w:rsid w:val="00292598"/>
    <w:rsid w:val="00292875"/>
    <w:rsid w:val="0029293D"/>
    <w:rsid w:val="00292C2A"/>
    <w:rsid w:val="00294F7B"/>
    <w:rsid w:val="00295A69"/>
    <w:rsid w:val="00296A81"/>
    <w:rsid w:val="00296AB2"/>
    <w:rsid w:val="00297C53"/>
    <w:rsid w:val="00297CC3"/>
    <w:rsid w:val="002A0E5F"/>
    <w:rsid w:val="002A0EE8"/>
    <w:rsid w:val="002A12DE"/>
    <w:rsid w:val="002A16E6"/>
    <w:rsid w:val="002A18D0"/>
    <w:rsid w:val="002A2159"/>
    <w:rsid w:val="002A26C8"/>
    <w:rsid w:val="002A2706"/>
    <w:rsid w:val="002A2A46"/>
    <w:rsid w:val="002A3BE9"/>
    <w:rsid w:val="002A3F13"/>
    <w:rsid w:val="002A41CF"/>
    <w:rsid w:val="002A4AEA"/>
    <w:rsid w:val="002A5561"/>
    <w:rsid w:val="002A5E42"/>
    <w:rsid w:val="002A61A9"/>
    <w:rsid w:val="002A666C"/>
    <w:rsid w:val="002A7861"/>
    <w:rsid w:val="002A7877"/>
    <w:rsid w:val="002B1825"/>
    <w:rsid w:val="002B1D49"/>
    <w:rsid w:val="002B2653"/>
    <w:rsid w:val="002B2DC3"/>
    <w:rsid w:val="002B2DE1"/>
    <w:rsid w:val="002B306A"/>
    <w:rsid w:val="002B3328"/>
    <w:rsid w:val="002B3EE4"/>
    <w:rsid w:val="002B3F71"/>
    <w:rsid w:val="002B4240"/>
    <w:rsid w:val="002B455A"/>
    <w:rsid w:val="002B4E02"/>
    <w:rsid w:val="002B4F0D"/>
    <w:rsid w:val="002B534F"/>
    <w:rsid w:val="002B54F5"/>
    <w:rsid w:val="002C0453"/>
    <w:rsid w:val="002C0BD6"/>
    <w:rsid w:val="002C154F"/>
    <w:rsid w:val="002C1CDC"/>
    <w:rsid w:val="002C33F9"/>
    <w:rsid w:val="002C37E5"/>
    <w:rsid w:val="002C3A48"/>
    <w:rsid w:val="002C3D69"/>
    <w:rsid w:val="002C4384"/>
    <w:rsid w:val="002C477E"/>
    <w:rsid w:val="002C4B17"/>
    <w:rsid w:val="002C506D"/>
    <w:rsid w:val="002C53DB"/>
    <w:rsid w:val="002C7F1D"/>
    <w:rsid w:val="002D0319"/>
    <w:rsid w:val="002D052D"/>
    <w:rsid w:val="002D099C"/>
    <w:rsid w:val="002D0FA5"/>
    <w:rsid w:val="002D11E9"/>
    <w:rsid w:val="002D254C"/>
    <w:rsid w:val="002D2FFC"/>
    <w:rsid w:val="002D35B6"/>
    <w:rsid w:val="002D35F1"/>
    <w:rsid w:val="002D3C74"/>
    <w:rsid w:val="002D4593"/>
    <w:rsid w:val="002D4597"/>
    <w:rsid w:val="002D5FA5"/>
    <w:rsid w:val="002D7E8C"/>
    <w:rsid w:val="002E020D"/>
    <w:rsid w:val="002E0D63"/>
    <w:rsid w:val="002E0DAD"/>
    <w:rsid w:val="002E1029"/>
    <w:rsid w:val="002E1A6A"/>
    <w:rsid w:val="002E202D"/>
    <w:rsid w:val="002E26DF"/>
    <w:rsid w:val="002E3904"/>
    <w:rsid w:val="002E3EA6"/>
    <w:rsid w:val="002E4A55"/>
    <w:rsid w:val="002E4D70"/>
    <w:rsid w:val="002E4DA9"/>
    <w:rsid w:val="002E5252"/>
    <w:rsid w:val="002E65EF"/>
    <w:rsid w:val="002E6BD1"/>
    <w:rsid w:val="002E6F2B"/>
    <w:rsid w:val="002E7102"/>
    <w:rsid w:val="002F1006"/>
    <w:rsid w:val="002F13BF"/>
    <w:rsid w:val="002F18E5"/>
    <w:rsid w:val="002F1BEF"/>
    <w:rsid w:val="002F1D46"/>
    <w:rsid w:val="002F209A"/>
    <w:rsid w:val="002F2905"/>
    <w:rsid w:val="002F4AE9"/>
    <w:rsid w:val="002F59DB"/>
    <w:rsid w:val="002F62F3"/>
    <w:rsid w:val="002F6B0E"/>
    <w:rsid w:val="002F7036"/>
    <w:rsid w:val="002F72D4"/>
    <w:rsid w:val="002F7576"/>
    <w:rsid w:val="002F7798"/>
    <w:rsid w:val="002F7AD4"/>
    <w:rsid w:val="002F7BD4"/>
    <w:rsid w:val="0030002D"/>
    <w:rsid w:val="00300680"/>
    <w:rsid w:val="003006D5"/>
    <w:rsid w:val="00300CE9"/>
    <w:rsid w:val="00301013"/>
    <w:rsid w:val="00301F3B"/>
    <w:rsid w:val="0030377B"/>
    <w:rsid w:val="00303B6C"/>
    <w:rsid w:val="00303DCC"/>
    <w:rsid w:val="00304F8E"/>
    <w:rsid w:val="00304F9B"/>
    <w:rsid w:val="00305138"/>
    <w:rsid w:val="0030573B"/>
    <w:rsid w:val="003059DC"/>
    <w:rsid w:val="00306211"/>
    <w:rsid w:val="003067E1"/>
    <w:rsid w:val="00307A35"/>
    <w:rsid w:val="0031035B"/>
    <w:rsid w:val="00310455"/>
    <w:rsid w:val="00311062"/>
    <w:rsid w:val="0031158C"/>
    <w:rsid w:val="003116AA"/>
    <w:rsid w:val="00311AE1"/>
    <w:rsid w:val="00311B61"/>
    <w:rsid w:val="00312276"/>
    <w:rsid w:val="00313886"/>
    <w:rsid w:val="00314096"/>
    <w:rsid w:val="003144B0"/>
    <w:rsid w:val="0031483F"/>
    <w:rsid w:val="00315C25"/>
    <w:rsid w:val="0031621D"/>
    <w:rsid w:val="00317081"/>
    <w:rsid w:val="0032012C"/>
    <w:rsid w:val="00320C5E"/>
    <w:rsid w:val="0032142D"/>
    <w:rsid w:val="00321A6A"/>
    <w:rsid w:val="00321B06"/>
    <w:rsid w:val="00322201"/>
    <w:rsid w:val="0032299E"/>
    <w:rsid w:val="00322AED"/>
    <w:rsid w:val="00322CCE"/>
    <w:rsid w:val="00323072"/>
    <w:rsid w:val="00323200"/>
    <w:rsid w:val="00323944"/>
    <w:rsid w:val="00323DD5"/>
    <w:rsid w:val="00323E57"/>
    <w:rsid w:val="003253A3"/>
    <w:rsid w:val="003253EC"/>
    <w:rsid w:val="003255D5"/>
    <w:rsid w:val="003259F0"/>
    <w:rsid w:val="00325FBF"/>
    <w:rsid w:val="00326E8C"/>
    <w:rsid w:val="00330367"/>
    <w:rsid w:val="00330861"/>
    <w:rsid w:val="00330D01"/>
    <w:rsid w:val="0033166B"/>
    <w:rsid w:val="00333060"/>
    <w:rsid w:val="003338E7"/>
    <w:rsid w:val="00333D3A"/>
    <w:rsid w:val="00334439"/>
    <w:rsid w:val="003346CC"/>
    <w:rsid w:val="003359A8"/>
    <w:rsid w:val="00335A81"/>
    <w:rsid w:val="00335E1A"/>
    <w:rsid w:val="00336135"/>
    <w:rsid w:val="00336B19"/>
    <w:rsid w:val="00337444"/>
    <w:rsid w:val="0034041F"/>
    <w:rsid w:val="003414E5"/>
    <w:rsid w:val="00341E24"/>
    <w:rsid w:val="003420FA"/>
    <w:rsid w:val="00342D01"/>
    <w:rsid w:val="00342DAB"/>
    <w:rsid w:val="00343942"/>
    <w:rsid w:val="00343B5E"/>
    <w:rsid w:val="00343BB3"/>
    <w:rsid w:val="003451A7"/>
    <w:rsid w:val="00345377"/>
    <w:rsid w:val="0034537C"/>
    <w:rsid w:val="003454C3"/>
    <w:rsid w:val="00346C76"/>
    <w:rsid w:val="0034703F"/>
    <w:rsid w:val="00347087"/>
    <w:rsid w:val="003475A8"/>
    <w:rsid w:val="00347643"/>
    <w:rsid w:val="00347667"/>
    <w:rsid w:val="00350438"/>
    <w:rsid w:val="003510F0"/>
    <w:rsid w:val="00351490"/>
    <w:rsid w:val="00351910"/>
    <w:rsid w:val="00352CEE"/>
    <w:rsid w:val="00352DAF"/>
    <w:rsid w:val="003530B3"/>
    <w:rsid w:val="00353576"/>
    <w:rsid w:val="00354E06"/>
    <w:rsid w:val="003563B0"/>
    <w:rsid w:val="00356C90"/>
    <w:rsid w:val="00356FF1"/>
    <w:rsid w:val="0035710F"/>
    <w:rsid w:val="0035734B"/>
    <w:rsid w:val="003574CF"/>
    <w:rsid w:val="003578BD"/>
    <w:rsid w:val="00360D14"/>
    <w:rsid w:val="00360D3B"/>
    <w:rsid w:val="00361244"/>
    <w:rsid w:val="00361721"/>
    <w:rsid w:val="003625D6"/>
    <w:rsid w:val="003627BE"/>
    <w:rsid w:val="003629E4"/>
    <w:rsid w:val="00363B39"/>
    <w:rsid w:val="0036475E"/>
    <w:rsid w:val="00364CCE"/>
    <w:rsid w:val="00365ADA"/>
    <w:rsid w:val="00366FB0"/>
    <w:rsid w:val="003678C0"/>
    <w:rsid w:val="003705D0"/>
    <w:rsid w:val="00371CE5"/>
    <w:rsid w:val="00371DE3"/>
    <w:rsid w:val="00372426"/>
    <w:rsid w:val="00373B41"/>
    <w:rsid w:val="00373C18"/>
    <w:rsid w:val="0037468C"/>
    <w:rsid w:val="003746AD"/>
    <w:rsid w:val="003746C5"/>
    <w:rsid w:val="003749BF"/>
    <w:rsid w:val="00374DC5"/>
    <w:rsid w:val="00375178"/>
    <w:rsid w:val="00375419"/>
    <w:rsid w:val="00376567"/>
    <w:rsid w:val="00376ACA"/>
    <w:rsid w:val="0037700B"/>
    <w:rsid w:val="00377B9E"/>
    <w:rsid w:val="00380200"/>
    <w:rsid w:val="0038078C"/>
    <w:rsid w:val="003811A1"/>
    <w:rsid w:val="00381B80"/>
    <w:rsid w:val="00381EDA"/>
    <w:rsid w:val="0038296D"/>
    <w:rsid w:val="00382CAB"/>
    <w:rsid w:val="003833AC"/>
    <w:rsid w:val="003838CC"/>
    <w:rsid w:val="00383FDB"/>
    <w:rsid w:val="0038536E"/>
    <w:rsid w:val="00385465"/>
    <w:rsid w:val="00385AA2"/>
    <w:rsid w:val="0038721E"/>
    <w:rsid w:val="003875ED"/>
    <w:rsid w:val="003876F4"/>
    <w:rsid w:val="00387ABF"/>
    <w:rsid w:val="00390332"/>
    <w:rsid w:val="003904D5"/>
    <w:rsid w:val="003914D7"/>
    <w:rsid w:val="00391971"/>
    <w:rsid w:val="00391E34"/>
    <w:rsid w:val="0039220D"/>
    <w:rsid w:val="00392297"/>
    <w:rsid w:val="0039253A"/>
    <w:rsid w:val="00392EF3"/>
    <w:rsid w:val="00393711"/>
    <w:rsid w:val="0039379F"/>
    <w:rsid w:val="00393A48"/>
    <w:rsid w:val="003948F5"/>
    <w:rsid w:val="003949C3"/>
    <w:rsid w:val="00394E18"/>
    <w:rsid w:val="00395207"/>
    <w:rsid w:val="00395251"/>
    <w:rsid w:val="00395AC3"/>
    <w:rsid w:val="00396154"/>
    <w:rsid w:val="00397E58"/>
    <w:rsid w:val="003A1561"/>
    <w:rsid w:val="003A1778"/>
    <w:rsid w:val="003A1A7B"/>
    <w:rsid w:val="003A2D06"/>
    <w:rsid w:val="003A2E67"/>
    <w:rsid w:val="003A3E3C"/>
    <w:rsid w:val="003A47AA"/>
    <w:rsid w:val="003A4AF2"/>
    <w:rsid w:val="003A52C2"/>
    <w:rsid w:val="003A5687"/>
    <w:rsid w:val="003A5702"/>
    <w:rsid w:val="003A5B3E"/>
    <w:rsid w:val="003A5CAD"/>
    <w:rsid w:val="003A699F"/>
    <w:rsid w:val="003A69FC"/>
    <w:rsid w:val="003A6A01"/>
    <w:rsid w:val="003A746C"/>
    <w:rsid w:val="003A7EBE"/>
    <w:rsid w:val="003B0128"/>
    <w:rsid w:val="003B0679"/>
    <w:rsid w:val="003B0682"/>
    <w:rsid w:val="003B12A4"/>
    <w:rsid w:val="003B12FC"/>
    <w:rsid w:val="003B15ED"/>
    <w:rsid w:val="003B1953"/>
    <w:rsid w:val="003B2ACD"/>
    <w:rsid w:val="003B30C5"/>
    <w:rsid w:val="003B3A23"/>
    <w:rsid w:val="003B3A89"/>
    <w:rsid w:val="003B442D"/>
    <w:rsid w:val="003B44D8"/>
    <w:rsid w:val="003B5A1D"/>
    <w:rsid w:val="003B69A5"/>
    <w:rsid w:val="003B6CFD"/>
    <w:rsid w:val="003B6DE3"/>
    <w:rsid w:val="003C0089"/>
    <w:rsid w:val="003C01E4"/>
    <w:rsid w:val="003C1185"/>
    <w:rsid w:val="003C233B"/>
    <w:rsid w:val="003C5C06"/>
    <w:rsid w:val="003C5FA0"/>
    <w:rsid w:val="003C64E4"/>
    <w:rsid w:val="003C7198"/>
    <w:rsid w:val="003C7424"/>
    <w:rsid w:val="003C7CB9"/>
    <w:rsid w:val="003D002F"/>
    <w:rsid w:val="003D011E"/>
    <w:rsid w:val="003D174E"/>
    <w:rsid w:val="003D289F"/>
    <w:rsid w:val="003D2F1B"/>
    <w:rsid w:val="003D3298"/>
    <w:rsid w:val="003D34DB"/>
    <w:rsid w:val="003D36AF"/>
    <w:rsid w:val="003D3976"/>
    <w:rsid w:val="003D441E"/>
    <w:rsid w:val="003D4536"/>
    <w:rsid w:val="003D5D1C"/>
    <w:rsid w:val="003D5EC7"/>
    <w:rsid w:val="003D6356"/>
    <w:rsid w:val="003D67B2"/>
    <w:rsid w:val="003D6F1F"/>
    <w:rsid w:val="003D71E4"/>
    <w:rsid w:val="003E00F8"/>
    <w:rsid w:val="003E067D"/>
    <w:rsid w:val="003E0AB6"/>
    <w:rsid w:val="003E0F65"/>
    <w:rsid w:val="003E1A0D"/>
    <w:rsid w:val="003E1C29"/>
    <w:rsid w:val="003E20C1"/>
    <w:rsid w:val="003E2AA4"/>
    <w:rsid w:val="003E39F6"/>
    <w:rsid w:val="003E3C59"/>
    <w:rsid w:val="003E4151"/>
    <w:rsid w:val="003E479D"/>
    <w:rsid w:val="003E596C"/>
    <w:rsid w:val="003E59C1"/>
    <w:rsid w:val="003E5B66"/>
    <w:rsid w:val="003E611B"/>
    <w:rsid w:val="003E629B"/>
    <w:rsid w:val="003E64E4"/>
    <w:rsid w:val="003E6F39"/>
    <w:rsid w:val="003E777A"/>
    <w:rsid w:val="003E78BD"/>
    <w:rsid w:val="003E7EAF"/>
    <w:rsid w:val="003F0153"/>
    <w:rsid w:val="003F0935"/>
    <w:rsid w:val="003F0DD5"/>
    <w:rsid w:val="003F17DB"/>
    <w:rsid w:val="003F1D9C"/>
    <w:rsid w:val="003F2324"/>
    <w:rsid w:val="003F2C9E"/>
    <w:rsid w:val="003F3B66"/>
    <w:rsid w:val="003F3D9E"/>
    <w:rsid w:val="003F3FD5"/>
    <w:rsid w:val="003F4836"/>
    <w:rsid w:val="003F5F00"/>
    <w:rsid w:val="003F6343"/>
    <w:rsid w:val="003F66C2"/>
    <w:rsid w:val="003F773F"/>
    <w:rsid w:val="003F7E5B"/>
    <w:rsid w:val="004004CD"/>
    <w:rsid w:val="004005C1"/>
    <w:rsid w:val="00400EB1"/>
    <w:rsid w:val="004024E0"/>
    <w:rsid w:val="00402F42"/>
    <w:rsid w:val="00404CA0"/>
    <w:rsid w:val="00404E6D"/>
    <w:rsid w:val="004051A7"/>
    <w:rsid w:val="004051BE"/>
    <w:rsid w:val="00405405"/>
    <w:rsid w:val="00406367"/>
    <w:rsid w:val="004064F8"/>
    <w:rsid w:val="00407701"/>
    <w:rsid w:val="00407BE2"/>
    <w:rsid w:val="004105E0"/>
    <w:rsid w:val="00410F37"/>
    <w:rsid w:val="004117FC"/>
    <w:rsid w:val="00412CE8"/>
    <w:rsid w:val="00412E3C"/>
    <w:rsid w:val="0041371D"/>
    <w:rsid w:val="004138B6"/>
    <w:rsid w:val="00413A6D"/>
    <w:rsid w:val="00413ECF"/>
    <w:rsid w:val="00413F85"/>
    <w:rsid w:val="004151F3"/>
    <w:rsid w:val="0041534B"/>
    <w:rsid w:val="00415D4E"/>
    <w:rsid w:val="004170A0"/>
    <w:rsid w:val="004175C5"/>
    <w:rsid w:val="004205E9"/>
    <w:rsid w:val="0042070C"/>
    <w:rsid w:val="0042076E"/>
    <w:rsid w:val="00420D25"/>
    <w:rsid w:val="00420E28"/>
    <w:rsid w:val="0042163E"/>
    <w:rsid w:val="0042183E"/>
    <w:rsid w:val="004230F1"/>
    <w:rsid w:val="004232C1"/>
    <w:rsid w:val="004234B3"/>
    <w:rsid w:val="004235B3"/>
    <w:rsid w:val="00423C85"/>
    <w:rsid w:val="00423C88"/>
    <w:rsid w:val="00423E81"/>
    <w:rsid w:val="00424964"/>
    <w:rsid w:val="004251A3"/>
    <w:rsid w:val="00425935"/>
    <w:rsid w:val="00425968"/>
    <w:rsid w:val="00426AE3"/>
    <w:rsid w:val="004271FF"/>
    <w:rsid w:val="004276A3"/>
    <w:rsid w:val="004277FA"/>
    <w:rsid w:val="00430143"/>
    <w:rsid w:val="0043111F"/>
    <w:rsid w:val="004312E8"/>
    <w:rsid w:val="00431EC9"/>
    <w:rsid w:val="00432A2A"/>
    <w:rsid w:val="00432B16"/>
    <w:rsid w:val="00435968"/>
    <w:rsid w:val="00435C85"/>
    <w:rsid w:val="0043763B"/>
    <w:rsid w:val="0044008E"/>
    <w:rsid w:val="004402C7"/>
    <w:rsid w:val="004417A4"/>
    <w:rsid w:val="00441889"/>
    <w:rsid w:val="00441969"/>
    <w:rsid w:val="00441ABB"/>
    <w:rsid w:val="0044209D"/>
    <w:rsid w:val="00442839"/>
    <w:rsid w:val="00443581"/>
    <w:rsid w:val="004436E5"/>
    <w:rsid w:val="00443DC5"/>
    <w:rsid w:val="00444025"/>
    <w:rsid w:val="004444B5"/>
    <w:rsid w:val="004446C4"/>
    <w:rsid w:val="00444B64"/>
    <w:rsid w:val="00445966"/>
    <w:rsid w:val="004465A7"/>
    <w:rsid w:val="00446C2F"/>
    <w:rsid w:val="00447203"/>
    <w:rsid w:val="0044789E"/>
    <w:rsid w:val="00447C57"/>
    <w:rsid w:val="004502C9"/>
    <w:rsid w:val="00450359"/>
    <w:rsid w:val="00450BFE"/>
    <w:rsid w:val="00450EF9"/>
    <w:rsid w:val="00451799"/>
    <w:rsid w:val="0045387F"/>
    <w:rsid w:val="004538B3"/>
    <w:rsid w:val="00454E12"/>
    <w:rsid w:val="004551A2"/>
    <w:rsid w:val="004554F5"/>
    <w:rsid w:val="0045571F"/>
    <w:rsid w:val="00455973"/>
    <w:rsid w:val="004569AD"/>
    <w:rsid w:val="00457312"/>
    <w:rsid w:val="00457558"/>
    <w:rsid w:val="00457AC3"/>
    <w:rsid w:val="00457BDE"/>
    <w:rsid w:val="004616F7"/>
    <w:rsid w:val="004617DD"/>
    <w:rsid w:val="00462377"/>
    <w:rsid w:val="00462940"/>
    <w:rsid w:val="00463B03"/>
    <w:rsid w:val="00464E9D"/>
    <w:rsid w:val="00465BEC"/>
    <w:rsid w:val="0046680E"/>
    <w:rsid w:val="004669C8"/>
    <w:rsid w:val="00470055"/>
    <w:rsid w:val="004702AB"/>
    <w:rsid w:val="004706DA"/>
    <w:rsid w:val="004709A5"/>
    <w:rsid w:val="00470D98"/>
    <w:rsid w:val="004710AA"/>
    <w:rsid w:val="0047258D"/>
    <w:rsid w:val="004726F9"/>
    <w:rsid w:val="00472B5D"/>
    <w:rsid w:val="00472BD7"/>
    <w:rsid w:val="00472DB1"/>
    <w:rsid w:val="00473080"/>
    <w:rsid w:val="0047310F"/>
    <w:rsid w:val="004739BE"/>
    <w:rsid w:val="004740BE"/>
    <w:rsid w:val="00474D28"/>
    <w:rsid w:val="00474D92"/>
    <w:rsid w:val="004757F1"/>
    <w:rsid w:val="00475869"/>
    <w:rsid w:val="004758C1"/>
    <w:rsid w:val="004758DA"/>
    <w:rsid w:val="004764CE"/>
    <w:rsid w:val="004775AE"/>
    <w:rsid w:val="00477D47"/>
    <w:rsid w:val="0048065C"/>
    <w:rsid w:val="00480CFE"/>
    <w:rsid w:val="00481154"/>
    <w:rsid w:val="00481854"/>
    <w:rsid w:val="00481974"/>
    <w:rsid w:val="00481D52"/>
    <w:rsid w:val="00482D27"/>
    <w:rsid w:val="00483904"/>
    <w:rsid w:val="00483910"/>
    <w:rsid w:val="00484118"/>
    <w:rsid w:val="0048433B"/>
    <w:rsid w:val="0048468E"/>
    <w:rsid w:val="00484C31"/>
    <w:rsid w:val="00485106"/>
    <w:rsid w:val="00485121"/>
    <w:rsid w:val="00485343"/>
    <w:rsid w:val="004865F0"/>
    <w:rsid w:val="00487333"/>
    <w:rsid w:val="00490A0E"/>
    <w:rsid w:val="0049155C"/>
    <w:rsid w:val="00491AA4"/>
    <w:rsid w:val="0049313F"/>
    <w:rsid w:val="00493B54"/>
    <w:rsid w:val="00494A81"/>
    <w:rsid w:val="00495087"/>
    <w:rsid w:val="00495683"/>
    <w:rsid w:val="00495D8B"/>
    <w:rsid w:val="004965B0"/>
    <w:rsid w:val="00496B94"/>
    <w:rsid w:val="00496D60"/>
    <w:rsid w:val="00497D5A"/>
    <w:rsid w:val="004A0611"/>
    <w:rsid w:val="004A0AD1"/>
    <w:rsid w:val="004A0D94"/>
    <w:rsid w:val="004A132B"/>
    <w:rsid w:val="004A1501"/>
    <w:rsid w:val="004A1FCD"/>
    <w:rsid w:val="004A2358"/>
    <w:rsid w:val="004A35D0"/>
    <w:rsid w:val="004A43C2"/>
    <w:rsid w:val="004A4C1E"/>
    <w:rsid w:val="004A4C89"/>
    <w:rsid w:val="004A57F1"/>
    <w:rsid w:val="004A598A"/>
    <w:rsid w:val="004A7974"/>
    <w:rsid w:val="004B0393"/>
    <w:rsid w:val="004B03F1"/>
    <w:rsid w:val="004B0660"/>
    <w:rsid w:val="004B12AB"/>
    <w:rsid w:val="004B177A"/>
    <w:rsid w:val="004B1CCC"/>
    <w:rsid w:val="004B3F7C"/>
    <w:rsid w:val="004B3FD0"/>
    <w:rsid w:val="004B4140"/>
    <w:rsid w:val="004B5030"/>
    <w:rsid w:val="004B5066"/>
    <w:rsid w:val="004B5F20"/>
    <w:rsid w:val="004B5F29"/>
    <w:rsid w:val="004B5F64"/>
    <w:rsid w:val="004B60C9"/>
    <w:rsid w:val="004B6AAC"/>
    <w:rsid w:val="004B6AC1"/>
    <w:rsid w:val="004B6E22"/>
    <w:rsid w:val="004C037D"/>
    <w:rsid w:val="004C2294"/>
    <w:rsid w:val="004C262F"/>
    <w:rsid w:val="004C2E22"/>
    <w:rsid w:val="004C3A26"/>
    <w:rsid w:val="004C3BDB"/>
    <w:rsid w:val="004C4CC8"/>
    <w:rsid w:val="004C4CE3"/>
    <w:rsid w:val="004C5A26"/>
    <w:rsid w:val="004C6456"/>
    <w:rsid w:val="004C733B"/>
    <w:rsid w:val="004D0FD2"/>
    <w:rsid w:val="004D10E3"/>
    <w:rsid w:val="004D1876"/>
    <w:rsid w:val="004D1E01"/>
    <w:rsid w:val="004D1FBB"/>
    <w:rsid w:val="004D2D26"/>
    <w:rsid w:val="004D4F04"/>
    <w:rsid w:val="004D5299"/>
    <w:rsid w:val="004D673D"/>
    <w:rsid w:val="004D6DE1"/>
    <w:rsid w:val="004D78C4"/>
    <w:rsid w:val="004D7FC2"/>
    <w:rsid w:val="004E0206"/>
    <w:rsid w:val="004E02CC"/>
    <w:rsid w:val="004E1AC1"/>
    <w:rsid w:val="004E1D25"/>
    <w:rsid w:val="004E1E0E"/>
    <w:rsid w:val="004E2858"/>
    <w:rsid w:val="004E3013"/>
    <w:rsid w:val="004E3D6B"/>
    <w:rsid w:val="004E4104"/>
    <w:rsid w:val="004E416B"/>
    <w:rsid w:val="004E477F"/>
    <w:rsid w:val="004E4CDA"/>
    <w:rsid w:val="004E4DFB"/>
    <w:rsid w:val="004E6E4F"/>
    <w:rsid w:val="004E71D4"/>
    <w:rsid w:val="004E76C0"/>
    <w:rsid w:val="004F112D"/>
    <w:rsid w:val="004F1677"/>
    <w:rsid w:val="004F1889"/>
    <w:rsid w:val="004F1EE8"/>
    <w:rsid w:val="004F2538"/>
    <w:rsid w:val="004F2681"/>
    <w:rsid w:val="004F2F48"/>
    <w:rsid w:val="004F3957"/>
    <w:rsid w:val="004F4AA5"/>
    <w:rsid w:val="004F4C53"/>
    <w:rsid w:val="004F52E2"/>
    <w:rsid w:val="004F588F"/>
    <w:rsid w:val="004F5A0D"/>
    <w:rsid w:val="004F6548"/>
    <w:rsid w:val="004F6C4C"/>
    <w:rsid w:val="004F7D11"/>
    <w:rsid w:val="00501B82"/>
    <w:rsid w:val="00502B23"/>
    <w:rsid w:val="00502BBE"/>
    <w:rsid w:val="005032AD"/>
    <w:rsid w:val="0050482A"/>
    <w:rsid w:val="00504E21"/>
    <w:rsid w:val="00504F3E"/>
    <w:rsid w:val="0050544E"/>
    <w:rsid w:val="00505C93"/>
    <w:rsid w:val="005103E4"/>
    <w:rsid w:val="00510817"/>
    <w:rsid w:val="00510969"/>
    <w:rsid w:val="005111FE"/>
    <w:rsid w:val="0051260B"/>
    <w:rsid w:val="0051307F"/>
    <w:rsid w:val="0051396B"/>
    <w:rsid w:val="00513A32"/>
    <w:rsid w:val="00513A4C"/>
    <w:rsid w:val="00513DDD"/>
    <w:rsid w:val="005147EA"/>
    <w:rsid w:val="00515529"/>
    <w:rsid w:val="005168A9"/>
    <w:rsid w:val="00516C51"/>
    <w:rsid w:val="0051730D"/>
    <w:rsid w:val="00517592"/>
    <w:rsid w:val="005205DF"/>
    <w:rsid w:val="00520AD2"/>
    <w:rsid w:val="00520E44"/>
    <w:rsid w:val="00521170"/>
    <w:rsid w:val="005211E6"/>
    <w:rsid w:val="00521522"/>
    <w:rsid w:val="00521A6B"/>
    <w:rsid w:val="00523DD2"/>
    <w:rsid w:val="005240CE"/>
    <w:rsid w:val="005243D8"/>
    <w:rsid w:val="00525B70"/>
    <w:rsid w:val="0052669B"/>
    <w:rsid w:val="00527C55"/>
    <w:rsid w:val="005306E8"/>
    <w:rsid w:val="005319B6"/>
    <w:rsid w:val="00531FD6"/>
    <w:rsid w:val="0053225F"/>
    <w:rsid w:val="00532DB9"/>
    <w:rsid w:val="0053443E"/>
    <w:rsid w:val="00534DA4"/>
    <w:rsid w:val="0053624D"/>
    <w:rsid w:val="00536AFE"/>
    <w:rsid w:val="005376FF"/>
    <w:rsid w:val="00537CA2"/>
    <w:rsid w:val="00537DC1"/>
    <w:rsid w:val="0054010C"/>
    <w:rsid w:val="005404B4"/>
    <w:rsid w:val="00540C6B"/>
    <w:rsid w:val="00541125"/>
    <w:rsid w:val="0054259A"/>
    <w:rsid w:val="00543256"/>
    <w:rsid w:val="0054442D"/>
    <w:rsid w:val="0054463F"/>
    <w:rsid w:val="00544C61"/>
    <w:rsid w:val="00544F2E"/>
    <w:rsid w:val="00545B58"/>
    <w:rsid w:val="005462CE"/>
    <w:rsid w:val="0054664D"/>
    <w:rsid w:val="005469DF"/>
    <w:rsid w:val="00546B31"/>
    <w:rsid w:val="00547497"/>
    <w:rsid w:val="00547C23"/>
    <w:rsid w:val="00547D75"/>
    <w:rsid w:val="00550464"/>
    <w:rsid w:val="0055070A"/>
    <w:rsid w:val="00550957"/>
    <w:rsid w:val="00551606"/>
    <w:rsid w:val="00553B2D"/>
    <w:rsid w:val="0055427B"/>
    <w:rsid w:val="00554448"/>
    <w:rsid w:val="005544E8"/>
    <w:rsid w:val="00554A4F"/>
    <w:rsid w:val="00554D9A"/>
    <w:rsid w:val="005550D2"/>
    <w:rsid w:val="0055525E"/>
    <w:rsid w:val="00555AB7"/>
    <w:rsid w:val="00555AF7"/>
    <w:rsid w:val="00555AF8"/>
    <w:rsid w:val="0055613D"/>
    <w:rsid w:val="00556384"/>
    <w:rsid w:val="005571E9"/>
    <w:rsid w:val="00560572"/>
    <w:rsid w:val="0056063F"/>
    <w:rsid w:val="00560A17"/>
    <w:rsid w:val="00560B30"/>
    <w:rsid w:val="00561101"/>
    <w:rsid w:val="0056137E"/>
    <w:rsid w:val="00561A12"/>
    <w:rsid w:val="005631AD"/>
    <w:rsid w:val="005646D2"/>
    <w:rsid w:val="00564B5F"/>
    <w:rsid w:val="0056611D"/>
    <w:rsid w:val="00566563"/>
    <w:rsid w:val="00566C31"/>
    <w:rsid w:val="0056791D"/>
    <w:rsid w:val="00570F48"/>
    <w:rsid w:val="00571F32"/>
    <w:rsid w:val="005722B0"/>
    <w:rsid w:val="005722E8"/>
    <w:rsid w:val="00572972"/>
    <w:rsid w:val="005729D8"/>
    <w:rsid w:val="00572FDE"/>
    <w:rsid w:val="005732D6"/>
    <w:rsid w:val="0057339B"/>
    <w:rsid w:val="00574971"/>
    <w:rsid w:val="00575116"/>
    <w:rsid w:val="005758C6"/>
    <w:rsid w:val="00576559"/>
    <w:rsid w:val="00576C1D"/>
    <w:rsid w:val="00577778"/>
    <w:rsid w:val="00577DC2"/>
    <w:rsid w:val="005806D4"/>
    <w:rsid w:val="00580871"/>
    <w:rsid w:val="00581387"/>
    <w:rsid w:val="005813CB"/>
    <w:rsid w:val="00582B4B"/>
    <w:rsid w:val="00583AF7"/>
    <w:rsid w:val="00584BE3"/>
    <w:rsid w:val="00585A8E"/>
    <w:rsid w:val="0058601F"/>
    <w:rsid w:val="0058643F"/>
    <w:rsid w:val="0058658E"/>
    <w:rsid w:val="005874D9"/>
    <w:rsid w:val="00587722"/>
    <w:rsid w:val="00590092"/>
    <w:rsid w:val="005900D3"/>
    <w:rsid w:val="00590975"/>
    <w:rsid w:val="00590DD3"/>
    <w:rsid w:val="0059171F"/>
    <w:rsid w:val="005917D3"/>
    <w:rsid w:val="0059232C"/>
    <w:rsid w:val="005925E7"/>
    <w:rsid w:val="0059359B"/>
    <w:rsid w:val="00593AE1"/>
    <w:rsid w:val="0059580F"/>
    <w:rsid w:val="00595B5F"/>
    <w:rsid w:val="00595DDE"/>
    <w:rsid w:val="00595E46"/>
    <w:rsid w:val="005974AB"/>
    <w:rsid w:val="005A01C0"/>
    <w:rsid w:val="005A0502"/>
    <w:rsid w:val="005A062C"/>
    <w:rsid w:val="005A0B06"/>
    <w:rsid w:val="005A0D37"/>
    <w:rsid w:val="005A1999"/>
    <w:rsid w:val="005A1A2F"/>
    <w:rsid w:val="005A1D76"/>
    <w:rsid w:val="005A2446"/>
    <w:rsid w:val="005A25A9"/>
    <w:rsid w:val="005A3091"/>
    <w:rsid w:val="005A343E"/>
    <w:rsid w:val="005A3CDA"/>
    <w:rsid w:val="005A530B"/>
    <w:rsid w:val="005A53F3"/>
    <w:rsid w:val="005A5F3B"/>
    <w:rsid w:val="005A7C31"/>
    <w:rsid w:val="005B0646"/>
    <w:rsid w:val="005B07D7"/>
    <w:rsid w:val="005B1D66"/>
    <w:rsid w:val="005B25BC"/>
    <w:rsid w:val="005B2766"/>
    <w:rsid w:val="005B2C87"/>
    <w:rsid w:val="005B345E"/>
    <w:rsid w:val="005B3836"/>
    <w:rsid w:val="005B3B53"/>
    <w:rsid w:val="005B3C25"/>
    <w:rsid w:val="005B40F5"/>
    <w:rsid w:val="005B4CC4"/>
    <w:rsid w:val="005B4E4C"/>
    <w:rsid w:val="005B53F2"/>
    <w:rsid w:val="005B59A7"/>
    <w:rsid w:val="005B6450"/>
    <w:rsid w:val="005B6DA0"/>
    <w:rsid w:val="005C0152"/>
    <w:rsid w:val="005C1928"/>
    <w:rsid w:val="005C1F16"/>
    <w:rsid w:val="005C3673"/>
    <w:rsid w:val="005C3D10"/>
    <w:rsid w:val="005C4086"/>
    <w:rsid w:val="005C4537"/>
    <w:rsid w:val="005C4690"/>
    <w:rsid w:val="005C4B21"/>
    <w:rsid w:val="005C4C16"/>
    <w:rsid w:val="005C525F"/>
    <w:rsid w:val="005C587E"/>
    <w:rsid w:val="005C596B"/>
    <w:rsid w:val="005C6301"/>
    <w:rsid w:val="005C7066"/>
    <w:rsid w:val="005D035B"/>
    <w:rsid w:val="005D08CD"/>
    <w:rsid w:val="005D12A5"/>
    <w:rsid w:val="005D48FD"/>
    <w:rsid w:val="005D4EF0"/>
    <w:rsid w:val="005D5B53"/>
    <w:rsid w:val="005D5CCF"/>
    <w:rsid w:val="005D61FE"/>
    <w:rsid w:val="005D65A5"/>
    <w:rsid w:val="005D6F32"/>
    <w:rsid w:val="005E0956"/>
    <w:rsid w:val="005E1443"/>
    <w:rsid w:val="005E186C"/>
    <w:rsid w:val="005E1AF1"/>
    <w:rsid w:val="005E1B7C"/>
    <w:rsid w:val="005E2866"/>
    <w:rsid w:val="005E347B"/>
    <w:rsid w:val="005E3890"/>
    <w:rsid w:val="005E5224"/>
    <w:rsid w:val="005E554D"/>
    <w:rsid w:val="005E5660"/>
    <w:rsid w:val="005E733C"/>
    <w:rsid w:val="005E786A"/>
    <w:rsid w:val="005F1F12"/>
    <w:rsid w:val="005F2079"/>
    <w:rsid w:val="005F23DA"/>
    <w:rsid w:val="005F2BF9"/>
    <w:rsid w:val="005F3248"/>
    <w:rsid w:val="005F3521"/>
    <w:rsid w:val="005F5ABF"/>
    <w:rsid w:val="005F5B4F"/>
    <w:rsid w:val="005F6167"/>
    <w:rsid w:val="005F6473"/>
    <w:rsid w:val="005F65D8"/>
    <w:rsid w:val="005F6E08"/>
    <w:rsid w:val="005F6F9F"/>
    <w:rsid w:val="005F73FF"/>
    <w:rsid w:val="00600A68"/>
    <w:rsid w:val="006036BA"/>
    <w:rsid w:val="00603773"/>
    <w:rsid w:val="00604B2D"/>
    <w:rsid w:val="00605740"/>
    <w:rsid w:val="00605CBF"/>
    <w:rsid w:val="00606169"/>
    <w:rsid w:val="0060695B"/>
    <w:rsid w:val="00606C20"/>
    <w:rsid w:val="00606D92"/>
    <w:rsid w:val="00606DD9"/>
    <w:rsid w:val="00610B5E"/>
    <w:rsid w:val="0061184D"/>
    <w:rsid w:val="00611B21"/>
    <w:rsid w:val="00611EF1"/>
    <w:rsid w:val="00612306"/>
    <w:rsid w:val="00612E80"/>
    <w:rsid w:val="00612EB5"/>
    <w:rsid w:val="0061367D"/>
    <w:rsid w:val="0061415F"/>
    <w:rsid w:val="00614368"/>
    <w:rsid w:val="006143C1"/>
    <w:rsid w:val="0061519B"/>
    <w:rsid w:val="00615357"/>
    <w:rsid w:val="006163F8"/>
    <w:rsid w:val="0061651A"/>
    <w:rsid w:val="0061676B"/>
    <w:rsid w:val="0061708C"/>
    <w:rsid w:val="00617F90"/>
    <w:rsid w:val="00621DE2"/>
    <w:rsid w:val="006221CA"/>
    <w:rsid w:val="00622B74"/>
    <w:rsid w:val="006239DE"/>
    <w:rsid w:val="0062480C"/>
    <w:rsid w:val="00625363"/>
    <w:rsid w:val="006258EF"/>
    <w:rsid w:val="00625A63"/>
    <w:rsid w:val="00625F3C"/>
    <w:rsid w:val="0062603E"/>
    <w:rsid w:val="00626322"/>
    <w:rsid w:val="006266AF"/>
    <w:rsid w:val="00626938"/>
    <w:rsid w:val="006276AF"/>
    <w:rsid w:val="0063062F"/>
    <w:rsid w:val="00630CFF"/>
    <w:rsid w:val="00633783"/>
    <w:rsid w:val="00633A0C"/>
    <w:rsid w:val="00633C79"/>
    <w:rsid w:val="00633FAA"/>
    <w:rsid w:val="006341BB"/>
    <w:rsid w:val="00634671"/>
    <w:rsid w:val="00635514"/>
    <w:rsid w:val="0063642F"/>
    <w:rsid w:val="006378AE"/>
    <w:rsid w:val="00640006"/>
    <w:rsid w:val="0064000D"/>
    <w:rsid w:val="00640A40"/>
    <w:rsid w:val="00640AE7"/>
    <w:rsid w:val="006415A9"/>
    <w:rsid w:val="006416CC"/>
    <w:rsid w:val="006418A7"/>
    <w:rsid w:val="006418C6"/>
    <w:rsid w:val="006421CE"/>
    <w:rsid w:val="00643D5A"/>
    <w:rsid w:val="006458EC"/>
    <w:rsid w:val="00645B60"/>
    <w:rsid w:val="00645C15"/>
    <w:rsid w:val="0064690E"/>
    <w:rsid w:val="0064697A"/>
    <w:rsid w:val="006500EB"/>
    <w:rsid w:val="0065043D"/>
    <w:rsid w:val="006507D9"/>
    <w:rsid w:val="00651735"/>
    <w:rsid w:val="0065176C"/>
    <w:rsid w:val="00652016"/>
    <w:rsid w:val="00652A54"/>
    <w:rsid w:val="00652E38"/>
    <w:rsid w:val="00653087"/>
    <w:rsid w:val="00653678"/>
    <w:rsid w:val="0065445A"/>
    <w:rsid w:val="006547D6"/>
    <w:rsid w:val="00654978"/>
    <w:rsid w:val="00654C84"/>
    <w:rsid w:val="00654FDA"/>
    <w:rsid w:val="00655462"/>
    <w:rsid w:val="00655EC6"/>
    <w:rsid w:val="00656149"/>
    <w:rsid w:val="00656778"/>
    <w:rsid w:val="006567DD"/>
    <w:rsid w:val="006568FB"/>
    <w:rsid w:val="00656AB8"/>
    <w:rsid w:val="006602B3"/>
    <w:rsid w:val="006625BB"/>
    <w:rsid w:val="00662714"/>
    <w:rsid w:val="00662ABD"/>
    <w:rsid w:val="006635F6"/>
    <w:rsid w:val="00663AF4"/>
    <w:rsid w:val="00666111"/>
    <w:rsid w:val="006676D2"/>
    <w:rsid w:val="00670EDB"/>
    <w:rsid w:val="00671CA3"/>
    <w:rsid w:val="00672821"/>
    <w:rsid w:val="00672E53"/>
    <w:rsid w:val="006732CF"/>
    <w:rsid w:val="00674191"/>
    <w:rsid w:val="00674300"/>
    <w:rsid w:val="00675975"/>
    <w:rsid w:val="00676E92"/>
    <w:rsid w:val="006773C1"/>
    <w:rsid w:val="0067741F"/>
    <w:rsid w:val="006806D2"/>
    <w:rsid w:val="00681AD5"/>
    <w:rsid w:val="006822D1"/>
    <w:rsid w:val="00682537"/>
    <w:rsid w:val="0068301F"/>
    <w:rsid w:val="00683BF8"/>
    <w:rsid w:val="00683FAB"/>
    <w:rsid w:val="00684B95"/>
    <w:rsid w:val="00685253"/>
    <w:rsid w:val="0068564B"/>
    <w:rsid w:val="00687676"/>
    <w:rsid w:val="00687DE1"/>
    <w:rsid w:val="00690466"/>
    <w:rsid w:val="0069068C"/>
    <w:rsid w:val="00690D93"/>
    <w:rsid w:val="00690EFF"/>
    <w:rsid w:val="006935C7"/>
    <w:rsid w:val="006937C4"/>
    <w:rsid w:val="00693D1D"/>
    <w:rsid w:val="006940A0"/>
    <w:rsid w:val="0069489A"/>
    <w:rsid w:val="00694A84"/>
    <w:rsid w:val="0069598C"/>
    <w:rsid w:val="00696780"/>
    <w:rsid w:val="00696945"/>
    <w:rsid w:val="006A0674"/>
    <w:rsid w:val="006A10BA"/>
    <w:rsid w:val="006A10E4"/>
    <w:rsid w:val="006A12F3"/>
    <w:rsid w:val="006A17AB"/>
    <w:rsid w:val="006A2E3D"/>
    <w:rsid w:val="006A3C41"/>
    <w:rsid w:val="006A4232"/>
    <w:rsid w:val="006A4D23"/>
    <w:rsid w:val="006A515B"/>
    <w:rsid w:val="006A5700"/>
    <w:rsid w:val="006A598B"/>
    <w:rsid w:val="006A5E0E"/>
    <w:rsid w:val="006A60F3"/>
    <w:rsid w:val="006A6397"/>
    <w:rsid w:val="006A63A5"/>
    <w:rsid w:val="006A6461"/>
    <w:rsid w:val="006A65E0"/>
    <w:rsid w:val="006A6B47"/>
    <w:rsid w:val="006A72F6"/>
    <w:rsid w:val="006A7484"/>
    <w:rsid w:val="006A7FDB"/>
    <w:rsid w:val="006B0979"/>
    <w:rsid w:val="006B1050"/>
    <w:rsid w:val="006B2AC6"/>
    <w:rsid w:val="006B304D"/>
    <w:rsid w:val="006B338E"/>
    <w:rsid w:val="006B4503"/>
    <w:rsid w:val="006B4A8F"/>
    <w:rsid w:val="006B4FEA"/>
    <w:rsid w:val="006B51E9"/>
    <w:rsid w:val="006B5815"/>
    <w:rsid w:val="006B5F85"/>
    <w:rsid w:val="006B61A0"/>
    <w:rsid w:val="006B6627"/>
    <w:rsid w:val="006B665C"/>
    <w:rsid w:val="006B6811"/>
    <w:rsid w:val="006B6ECF"/>
    <w:rsid w:val="006B768F"/>
    <w:rsid w:val="006C01D0"/>
    <w:rsid w:val="006C102A"/>
    <w:rsid w:val="006C2035"/>
    <w:rsid w:val="006C2275"/>
    <w:rsid w:val="006C23F6"/>
    <w:rsid w:val="006C2A99"/>
    <w:rsid w:val="006C2F35"/>
    <w:rsid w:val="006C39BB"/>
    <w:rsid w:val="006C3C8C"/>
    <w:rsid w:val="006C4310"/>
    <w:rsid w:val="006C538A"/>
    <w:rsid w:val="006C58C7"/>
    <w:rsid w:val="006C5B9F"/>
    <w:rsid w:val="006C5FD0"/>
    <w:rsid w:val="006C619C"/>
    <w:rsid w:val="006C6C3C"/>
    <w:rsid w:val="006C71B7"/>
    <w:rsid w:val="006C77A7"/>
    <w:rsid w:val="006C7879"/>
    <w:rsid w:val="006D1166"/>
    <w:rsid w:val="006D15D8"/>
    <w:rsid w:val="006D1988"/>
    <w:rsid w:val="006D1B80"/>
    <w:rsid w:val="006D1D36"/>
    <w:rsid w:val="006D1D7D"/>
    <w:rsid w:val="006D2264"/>
    <w:rsid w:val="006D23B9"/>
    <w:rsid w:val="006D2F03"/>
    <w:rsid w:val="006D352C"/>
    <w:rsid w:val="006D3B01"/>
    <w:rsid w:val="006D46B1"/>
    <w:rsid w:val="006D4D5A"/>
    <w:rsid w:val="006D5407"/>
    <w:rsid w:val="006D5D61"/>
    <w:rsid w:val="006D6499"/>
    <w:rsid w:val="006D7CCC"/>
    <w:rsid w:val="006E1DB2"/>
    <w:rsid w:val="006E2148"/>
    <w:rsid w:val="006E29F8"/>
    <w:rsid w:val="006E2A2A"/>
    <w:rsid w:val="006E3062"/>
    <w:rsid w:val="006E3BAC"/>
    <w:rsid w:val="006E5ACF"/>
    <w:rsid w:val="006E6D7D"/>
    <w:rsid w:val="006E75FF"/>
    <w:rsid w:val="006E7BAC"/>
    <w:rsid w:val="006E7F5E"/>
    <w:rsid w:val="006F0BF3"/>
    <w:rsid w:val="006F2015"/>
    <w:rsid w:val="006F2786"/>
    <w:rsid w:val="006F3543"/>
    <w:rsid w:val="006F392D"/>
    <w:rsid w:val="006F3AD3"/>
    <w:rsid w:val="006F3B9C"/>
    <w:rsid w:val="006F3E14"/>
    <w:rsid w:val="006F5112"/>
    <w:rsid w:val="006F5125"/>
    <w:rsid w:val="006F5A59"/>
    <w:rsid w:val="006F5C5B"/>
    <w:rsid w:val="006F5CF1"/>
    <w:rsid w:val="006F698F"/>
    <w:rsid w:val="006F6E5C"/>
    <w:rsid w:val="006F6F8B"/>
    <w:rsid w:val="006F6FEF"/>
    <w:rsid w:val="006F7903"/>
    <w:rsid w:val="00700036"/>
    <w:rsid w:val="00700EB8"/>
    <w:rsid w:val="00701C48"/>
    <w:rsid w:val="00701CB9"/>
    <w:rsid w:val="00702033"/>
    <w:rsid w:val="00702274"/>
    <w:rsid w:val="007022B1"/>
    <w:rsid w:val="00702533"/>
    <w:rsid w:val="00702CAB"/>
    <w:rsid w:val="00702E5A"/>
    <w:rsid w:val="00703A2A"/>
    <w:rsid w:val="00703B31"/>
    <w:rsid w:val="00704572"/>
    <w:rsid w:val="00704624"/>
    <w:rsid w:val="0070479D"/>
    <w:rsid w:val="0070550B"/>
    <w:rsid w:val="00705BA7"/>
    <w:rsid w:val="00706665"/>
    <w:rsid w:val="0070667D"/>
    <w:rsid w:val="0070698B"/>
    <w:rsid w:val="00707F5D"/>
    <w:rsid w:val="00710109"/>
    <w:rsid w:val="00710324"/>
    <w:rsid w:val="00710626"/>
    <w:rsid w:val="007109CF"/>
    <w:rsid w:val="00710B21"/>
    <w:rsid w:val="00710CCC"/>
    <w:rsid w:val="0071123E"/>
    <w:rsid w:val="00711601"/>
    <w:rsid w:val="007119FC"/>
    <w:rsid w:val="00712341"/>
    <w:rsid w:val="00712755"/>
    <w:rsid w:val="00713101"/>
    <w:rsid w:val="0071420A"/>
    <w:rsid w:val="00714229"/>
    <w:rsid w:val="00714366"/>
    <w:rsid w:val="00714A17"/>
    <w:rsid w:val="007159AA"/>
    <w:rsid w:val="00715B88"/>
    <w:rsid w:val="00717753"/>
    <w:rsid w:val="00717900"/>
    <w:rsid w:val="00720BC0"/>
    <w:rsid w:val="00720D3B"/>
    <w:rsid w:val="007216DC"/>
    <w:rsid w:val="0072225F"/>
    <w:rsid w:val="00723230"/>
    <w:rsid w:val="007237AD"/>
    <w:rsid w:val="00723CBF"/>
    <w:rsid w:val="00723D9D"/>
    <w:rsid w:val="007245DE"/>
    <w:rsid w:val="007248BB"/>
    <w:rsid w:val="00724B7C"/>
    <w:rsid w:val="00725136"/>
    <w:rsid w:val="00725D22"/>
    <w:rsid w:val="00726315"/>
    <w:rsid w:val="00726E98"/>
    <w:rsid w:val="0072718E"/>
    <w:rsid w:val="0072726B"/>
    <w:rsid w:val="00730C5A"/>
    <w:rsid w:val="00731A0F"/>
    <w:rsid w:val="00732126"/>
    <w:rsid w:val="007327B7"/>
    <w:rsid w:val="0073331E"/>
    <w:rsid w:val="007341D4"/>
    <w:rsid w:val="00734C94"/>
    <w:rsid w:val="007353FD"/>
    <w:rsid w:val="007355C9"/>
    <w:rsid w:val="007357D4"/>
    <w:rsid w:val="007363F7"/>
    <w:rsid w:val="0074157A"/>
    <w:rsid w:val="00741887"/>
    <w:rsid w:val="00742E13"/>
    <w:rsid w:val="0074366E"/>
    <w:rsid w:val="007453D7"/>
    <w:rsid w:val="007454D6"/>
    <w:rsid w:val="00745534"/>
    <w:rsid w:val="00745742"/>
    <w:rsid w:val="0074723B"/>
    <w:rsid w:val="007472B4"/>
    <w:rsid w:val="00747C2F"/>
    <w:rsid w:val="00750DEB"/>
    <w:rsid w:val="00752452"/>
    <w:rsid w:val="007529E3"/>
    <w:rsid w:val="00752AB8"/>
    <w:rsid w:val="007532F4"/>
    <w:rsid w:val="00753491"/>
    <w:rsid w:val="007538E3"/>
    <w:rsid w:val="007538FD"/>
    <w:rsid w:val="00753BA2"/>
    <w:rsid w:val="00753EF9"/>
    <w:rsid w:val="00754C82"/>
    <w:rsid w:val="00756828"/>
    <w:rsid w:val="007568A7"/>
    <w:rsid w:val="00756E26"/>
    <w:rsid w:val="0075752B"/>
    <w:rsid w:val="00757698"/>
    <w:rsid w:val="007576C5"/>
    <w:rsid w:val="007576CD"/>
    <w:rsid w:val="00757872"/>
    <w:rsid w:val="00757A68"/>
    <w:rsid w:val="0076083B"/>
    <w:rsid w:val="007609A8"/>
    <w:rsid w:val="00760E94"/>
    <w:rsid w:val="00761428"/>
    <w:rsid w:val="0076393F"/>
    <w:rsid w:val="00763D77"/>
    <w:rsid w:val="00764923"/>
    <w:rsid w:val="00764BB4"/>
    <w:rsid w:val="00765577"/>
    <w:rsid w:val="00766268"/>
    <w:rsid w:val="007665AB"/>
    <w:rsid w:val="00766C1A"/>
    <w:rsid w:val="007678AD"/>
    <w:rsid w:val="007679A0"/>
    <w:rsid w:val="00767A2A"/>
    <w:rsid w:val="00770711"/>
    <w:rsid w:val="007710D4"/>
    <w:rsid w:val="0077193C"/>
    <w:rsid w:val="00772B99"/>
    <w:rsid w:val="00772BFC"/>
    <w:rsid w:val="00772C5B"/>
    <w:rsid w:val="00772E42"/>
    <w:rsid w:val="00773D4A"/>
    <w:rsid w:val="00773E8D"/>
    <w:rsid w:val="00774E5B"/>
    <w:rsid w:val="00775CC0"/>
    <w:rsid w:val="007761F9"/>
    <w:rsid w:val="00776A62"/>
    <w:rsid w:val="007771AB"/>
    <w:rsid w:val="00777545"/>
    <w:rsid w:val="007776D4"/>
    <w:rsid w:val="0077783B"/>
    <w:rsid w:val="007779F6"/>
    <w:rsid w:val="00777D69"/>
    <w:rsid w:val="00780143"/>
    <w:rsid w:val="0078035F"/>
    <w:rsid w:val="0078068C"/>
    <w:rsid w:val="00780691"/>
    <w:rsid w:val="007808CF"/>
    <w:rsid w:val="00780A76"/>
    <w:rsid w:val="00780AD7"/>
    <w:rsid w:val="007810C3"/>
    <w:rsid w:val="00781D77"/>
    <w:rsid w:val="00783024"/>
    <w:rsid w:val="00783D54"/>
    <w:rsid w:val="007842BA"/>
    <w:rsid w:val="007846C6"/>
    <w:rsid w:val="00784CBE"/>
    <w:rsid w:val="00784DA2"/>
    <w:rsid w:val="0078512E"/>
    <w:rsid w:val="00785683"/>
    <w:rsid w:val="007856B7"/>
    <w:rsid w:val="00785F21"/>
    <w:rsid w:val="00787A4E"/>
    <w:rsid w:val="00787A76"/>
    <w:rsid w:val="00787F05"/>
    <w:rsid w:val="0079168A"/>
    <w:rsid w:val="00793213"/>
    <w:rsid w:val="00793256"/>
    <w:rsid w:val="0079355E"/>
    <w:rsid w:val="00793F75"/>
    <w:rsid w:val="007949BB"/>
    <w:rsid w:val="00795416"/>
    <w:rsid w:val="00796579"/>
    <w:rsid w:val="00796F8B"/>
    <w:rsid w:val="00797531"/>
    <w:rsid w:val="00797674"/>
    <w:rsid w:val="0079789A"/>
    <w:rsid w:val="007A091F"/>
    <w:rsid w:val="007A1481"/>
    <w:rsid w:val="007A18F1"/>
    <w:rsid w:val="007A229D"/>
    <w:rsid w:val="007A341F"/>
    <w:rsid w:val="007A3E85"/>
    <w:rsid w:val="007A43A5"/>
    <w:rsid w:val="007A46F4"/>
    <w:rsid w:val="007A4C0F"/>
    <w:rsid w:val="007A4CA3"/>
    <w:rsid w:val="007A5023"/>
    <w:rsid w:val="007A5538"/>
    <w:rsid w:val="007A7962"/>
    <w:rsid w:val="007A7C5F"/>
    <w:rsid w:val="007B0EC9"/>
    <w:rsid w:val="007B149A"/>
    <w:rsid w:val="007B1D18"/>
    <w:rsid w:val="007B4151"/>
    <w:rsid w:val="007B45D0"/>
    <w:rsid w:val="007B4620"/>
    <w:rsid w:val="007B4C07"/>
    <w:rsid w:val="007B542D"/>
    <w:rsid w:val="007B65B2"/>
    <w:rsid w:val="007B662D"/>
    <w:rsid w:val="007B6717"/>
    <w:rsid w:val="007B6918"/>
    <w:rsid w:val="007B7277"/>
    <w:rsid w:val="007B7F13"/>
    <w:rsid w:val="007C15E1"/>
    <w:rsid w:val="007C181C"/>
    <w:rsid w:val="007C248A"/>
    <w:rsid w:val="007C2927"/>
    <w:rsid w:val="007C2DC4"/>
    <w:rsid w:val="007C3139"/>
    <w:rsid w:val="007C3FF3"/>
    <w:rsid w:val="007C486F"/>
    <w:rsid w:val="007C5467"/>
    <w:rsid w:val="007C5C52"/>
    <w:rsid w:val="007C5D6E"/>
    <w:rsid w:val="007C5E85"/>
    <w:rsid w:val="007C5E9B"/>
    <w:rsid w:val="007C6254"/>
    <w:rsid w:val="007C6D5D"/>
    <w:rsid w:val="007C7B50"/>
    <w:rsid w:val="007C7FE4"/>
    <w:rsid w:val="007D0016"/>
    <w:rsid w:val="007D068E"/>
    <w:rsid w:val="007D0C13"/>
    <w:rsid w:val="007D1116"/>
    <w:rsid w:val="007D13D0"/>
    <w:rsid w:val="007D1A51"/>
    <w:rsid w:val="007D2563"/>
    <w:rsid w:val="007D358C"/>
    <w:rsid w:val="007D35D1"/>
    <w:rsid w:val="007D35E5"/>
    <w:rsid w:val="007D3DE7"/>
    <w:rsid w:val="007D45B5"/>
    <w:rsid w:val="007D4633"/>
    <w:rsid w:val="007D4B89"/>
    <w:rsid w:val="007D6073"/>
    <w:rsid w:val="007D6E1F"/>
    <w:rsid w:val="007D70D9"/>
    <w:rsid w:val="007E1117"/>
    <w:rsid w:val="007E13A7"/>
    <w:rsid w:val="007E1805"/>
    <w:rsid w:val="007E2353"/>
    <w:rsid w:val="007E3229"/>
    <w:rsid w:val="007E390A"/>
    <w:rsid w:val="007E40ED"/>
    <w:rsid w:val="007E4F2F"/>
    <w:rsid w:val="007E50AB"/>
    <w:rsid w:val="007E54F6"/>
    <w:rsid w:val="007E5555"/>
    <w:rsid w:val="007E5898"/>
    <w:rsid w:val="007E5AF9"/>
    <w:rsid w:val="007E68DF"/>
    <w:rsid w:val="007E68F8"/>
    <w:rsid w:val="007E6CDA"/>
    <w:rsid w:val="007E7094"/>
    <w:rsid w:val="007E7356"/>
    <w:rsid w:val="007F077E"/>
    <w:rsid w:val="007F07E0"/>
    <w:rsid w:val="007F0962"/>
    <w:rsid w:val="007F1343"/>
    <w:rsid w:val="007F15CA"/>
    <w:rsid w:val="007F1778"/>
    <w:rsid w:val="007F185A"/>
    <w:rsid w:val="007F26F8"/>
    <w:rsid w:val="007F2FE8"/>
    <w:rsid w:val="007F31C2"/>
    <w:rsid w:val="007F3272"/>
    <w:rsid w:val="007F3277"/>
    <w:rsid w:val="007F3A20"/>
    <w:rsid w:val="007F484F"/>
    <w:rsid w:val="007F55EC"/>
    <w:rsid w:val="007F6274"/>
    <w:rsid w:val="007F6626"/>
    <w:rsid w:val="0080020D"/>
    <w:rsid w:val="008005DB"/>
    <w:rsid w:val="00800B6A"/>
    <w:rsid w:val="00801016"/>
    <w:rsid w:val="008027E0"/>
    <w:rsid w:val="008047DD"/>
    <w:rsid w:val="00805857"/>
    <w:rsid w:val="008069F4"/>
    <w:rsid w:val="00806C10"/>
    <w:rsid w:val="0081024F"/>
    <w:rsid w:val="008108C6"/>
    <w:rsid w:val="008108D8"/>
    <w:rsid w:val="0081149B"/>
    <w:rsid w:val="00811CAA"/>
    <w:rsid w:val="00812FF5"/>
    <w:rsid w:val="008135B8"/>
    <w:rsid w:val="00813AA6"/>
    <w:rsid w:val="008141B0"/>
    <w:rsid w:val="008144C1"/>
    <w:rsid w:val="00814739"/>
    <w:rsid w:val="0081558C"/>
    <w:rsid w:val="00815975"/>
    <w:rsid w:val="00815A7E"/>
    <w:rsid w:val="00816642"/>
    <w:rsid w:val="00816B43"/>
    <w:rsid w:val="00817180"/>
    <w:rsid w:val="008174A3"/>
    <w:rsid w:val="008179C0"/>
    <w:rsid w:val="00820103"/>
    <w:rsid w:val="008208B9"/>
    <w:rsid w:val="00820A88"/>
    <w:rsid w:val="00820F5A"/>
    <w:rsid w:val="00820FD5"/>
    <w:rsid w:val="008210EF"/>
    <w:rsid w:val="008217C2"/>
    <w:rsid w:val="008219EF"/>
    <w:rsid w:val="0082350D"/>
    <w:rsid w:val="00823763"/>
    <w:rsid w:val="008239A5"/>
    <w:rsid w:val="00823EB6"/>
    <w:rsid w:val="00824C80"/>
    <w:rsid w:val="00825047"/>
    <w:rsid w:val="0082569D"/>
    <w:rsid w:val="008258D5"/>
    <w:rsid w:val="00826D87"/>
    <w:rsid w:val="00826D94"/>
    <w:rsid w:val="00826E42"/>
    <w:rsid w:val="00827200"/>
    <w:rsid w:val="00830246"/>
    <w:rsid w:val="00830291"/>
    <w:rsid w:val="008309AA"/>
    <w:rsid w:val="00831648"/>
    <w:rsid w:val="00831F5F"/>
    <w:rsid w:val="008326FB"/>
    <w:rsid w:val="00832CE9"/>
    <w:rsid w:val="00834855"/>
    <w:rsid w:val="00835CB8"/>
    <w:rsid w:val="0083663D"/>
    <w:rsid w:val="00836883"/>
    <w:rsid w:val="00836967"/>
    <w:rsid w:val="00836E51"/>
    <w:rsid w:val="008374F5"/>
    <w:rsid w:val="008378E3"/>
    <w:rsid w:val="008404C7"/>
    <w:rsid w:val="008407C8"/>
    <w:rsid w:val="008407F8"/>
    <w:rsid w:val="008416CA"/>
    <w:rsid w:val="008424B9"/>
    <w:rsid w:val="008428DE"/>
    <w:rsid w:val="00842D07"/>
    <w:rsid w:val="00843247"/>
    <w:rsid w:val="0084326B"/>
    <w:rsid w:val="00844282"/>
    <w:rsid w:val="008461B9"/>
    <w:rsid w:val="00846296"/>
    <w:rsid w:val="008468F3"/>
    <w:rsid w:val="00846A6B"/>
    <w:rsid w:val="00846AD3"/>
    <w:rsid w:val="00846AF7"/>
    <w:rsid w:val="00846F26"/>
    <w:rsid w:val="00847113"/>
    <w:rsid w:val="0084732E"/>
    <w:rsid w:val="00851D68"/>
    <w:rsid w:val="008520B5"/>
    <w:rsid w:val="008521F5"/>
    <w:rsid w:val="00852226"/>
    <w:rsid w:val="008527C4"/>
    <w:rsid w:val="00852851"/>
    <w:rsid w:val="008529A0"/>
    <w:rsid w:val="008537DD"/>
    <w:rsid w:val="0085482B"/>
    <w:rsid w:val="00854FA7"/>
    <w:rsid w:val="0085556F"/>
    <w:rsid w:val="00856804"/>
    <w:rsid w:val="0085786E"/>
    <w:rsid w:val="0086021A"/>
    <w:rsid w:val="00860C66"/>
    <w:rsid w:val="008610EA"/>
    <w:rsid w:val="00861C3F"/>
    <w:rsid w:val="00861D5C"/>
    <w:rsid w:val="00861F05"/>
    <w:rsid w:val="008626CB"/>
    <w:rsid w:val="0086313C"/>
    <w:rsid w:val="00864DE9"/>
    <w:rsid w:val="008654C5"/>
    <w:rsid w:val="00865F6E"/>
    <w:rsid w:val="008660C2"/>
    <w:rsid w:val="00866893"/>
    <w:rsid w:val="0086695A"/>
    <w:rsid w:val="0086773E"/>
    <w:rsid w:val="00867742"/>
    <w:rsid w:val="00867C8D"/>
    <w:rsid w:val="0087342E"/>
    <w:rsid w:val="00874123"/>
    <w:rsid w:val="00875036"/>
    <w:rsid w:val="00875352"/>
    <w:rsid w:val="00875687"/>
    <w:rsid w:val="0087583C"/>
    <w:rsid w:val="0087607F"/>
    <w:rsid w:val="00876B7E"/>
    <w:rsid w:val="00876E1A"/>
    <w:rsid w:val="008772ED"/>
    <w:rsid w:val="00877695"/>
    <w:rsid w:val="0087783A"/>
    <w:rsid w:val="008801A8"/>
    <w:rsid w:val="008811D1"/>
    <w:rsid w:val="008811FD"/>
    <w:rsid w:val="00885532"/>
    <w:rsid w:val="00886292"/>
    <w:rsid w:val="0088666E"/>
    <w:rsid w:val="008868B6"/>
    <w:rsid w:val="00886F58"/>
    <w:rsid w:val="00887302"/>
    <w:rsid w:val="0088746F"/>
    <w:rsid w:val="00890276"/>
    <w:rsid w:val="008903D4"/>
    <w:rsid w:val="00890FFC"/>
    <w:rsid w:val="0089179E"/>
    <w:rsid w:val="00891D2C"/>
    <w:rsid w:val="00892A37"/>
    <w:rsid w:val="00892B51"/>
    <w:rsid w:val="00893C52"/>
    <w:rsid w:val="00894574"/>
    <w:rsid w:val="008946A9"/>
    <w:rsid w:val="008947BF"/>
    <w:rsid w:val="0089494B"/>
    <w:rsid w:val="00895549"/>
    <w:rsid w:val="00896441"/>
    <w:rsid w:val="00896E0E"/>
    <w:rsid w:val="008A14F9"/>
    <w:rsid w:val="008A341E"/>
    <w:rsid w:val="008A4A19"/>
    <w:rsid w:val="008A523F"/>
    <w:rsid w:val="008A5BDC"/>
    <w:rsid w:val="008A6CC8"/>
    <w:rsid w:val="008A6EC8"/>
    <w:rsid w:val="008B0004"/>
    <w:rsid w:val="008B03B2"/>
    <w:rsid w:val="008B1192"/>
    <w:rsid w:val="008B13B8"/>
    <w:rsid w:val="008B1F99"/>
    <w:rsid w:val="008B25DF"/>
    <w:rsid w:val="008B2D72"/>
    <w:rsid w:val="008B3552"/>
    <w:rsid w:val="008B37EB"/>
    <w:rsid w:val="008B396D"/>
    <w:rsid w:val="008B3A60"/>
    <w:rsid w:val="008B491C"/>
    <w:rsid w:val="008B4B45"/>
    <w:rsid w:val="008B50B1"/>
    <w:rsid w:val="008B5C22"/>
    <w:rsid w:val="008B5DE8"/>
    <w:rsid w:val="008B5FD8"/>
    <w:rsid w:val="008B61C0"/>
    <w:rsid w:val="008B63D7"/>
    <w:rsid w:val="008B66CE"/>
    <w:rsid w:val="008B78F3"/>
    <w:rsid w:val="008C056E"/>
    <w:rsid w:val="008C0586"/>
    <w:rsid w:val="008C0928"/>
    <w:rsid w:val="008C22C9"/>
    <w:rsid w:val="008C44C0"/>
    <w:rsid w:val="008C4507"/>
    <w:rsid w:val="008C6287"/>
    <w:rsid w:val="008C6776"/>
    <w:rsid w:val="008C7751"/>
    <w:rsid w:val="008C7CC1"/>
    <w:rsid w:val="008D04CD"/>
    <w:rsid w:val="008D05C7"/>
    <w:rsid w:val="008D06FC"/>
    <w:rsid w:val="008D07D6"/>
    <w:rsid w:val="008D0A3B"/>
    <w:rsid w:val="008D0ECC"/>
    <w:rsid w:val="008D0FE7"/>
    <w:rsid w:val="008D14DD"/>
    <w:rsid w:val="008D1558"/>
    <w:rsid w:val="008D1691"/>
    <w:rsid w:val="008D1814"/>
    <w:rsid w:val="008D20F4"/>
    <w:rsid w:val="008D241C"/>
    <w:rsid w:val="008D24DA"/>
    <w:rsid w:val="008D2591"/>
    <w:rsid w:val="008D2666"/>
    <w:rsid w:val="008D2B33"/>
    <w:rsid w:val="008D3BAE"/>
    <w:rsid w:val="008D3BC1"/>
    <w:rsid w:val="008D7043"/>
    <w:rsid w:val="008D7634"/>
    <w:rsid w:val="008D7944"/>
    <w:rsid w:val="008D7AAB"/>
    <w:rsid w:val="008E06C3"/>
    <w:rsid w:val="008E1707"/>
    <w:rsid w:val="008E273B"/>
    <w:rsid w:val="008E27C7"/>
    <w:rsid w:val="008E3787"/>
    <w:rsid w:val="008E3EB7"/>
    <w:rsid w:val="008E4680"/>
    <w:rsid w:val="008E4A04"/>
    <w:rsid w:val="008E5B3C"/>
    <w:rsid w:val="008E695C"/>
    <w:rsid w:val="008E69FD"/>
    <w:rsid w:val="008E6FA7"/>
    <w:rsid w:val="008E76FE"/>
    <w:rsid w:val="008E7902"/>
    <w:rsid w:val="008F0363"/>
    <w:rsid w:val="008F0AA2"/>
    <w:rsid w:val="008F16F1"/>
    <w:rsid w:val="008F1B82"/>
    <w:rsid w:val="008F1D37"/>
    <w:rsid w:val="008F2298"/>
    <w:rsid w:val="008F27A7"/>
    <w:rsid w:val="008F28D7"/>
    <w:rsid w:val="008F2BF6"/>
    <w:rsid w:val="008F36D8"/>
    <w:rsid w:val="008F47F1"/>
    <w:rsid w:val="008F49CA"/>
    <w:rsid w:val="008F4B2E"/>
    <w:rsid w:val="008F6A5F"/>
    <w:rsid w:val="008F706D"/>
    <w:rsid w:val="008F7150"/>
    <w:rsid w:val="008F76DC"/>
    <w:rsid w:val="008F7F9D"/>
    <w:rsid w:val="00901042"/>
    <w:rsid w:val="00901266"/>
    <w:rsid w:val="00902E0D"/>
    <w:rsid w:val="0090423D"/>
    <w:rsid w:val="00904E0C"/>
    <w:rsid w:val="00904E52"/>
    <w:rsid w:val="009053C5"/>
    <w:rsid w:val="009057D7"/>
    <w:rsid w:val="009057D9"/>
    <w:rsid w:val="00905C5B"/>
    <w:rsid w:val="00905F60"/>
    <w:rsid w:val="009063B0"/>
    <w:rsid w:val="00907C5F"/>
    <w:rsid w:val="00907CC4"/>
    <w:rsid w:val="009100FE"/>
    <w:rsid w:val="00910DF8"/>
    <w:rsid w:val="00912AE6"/>
    <w:rsid w:val="00913341"/>
    <w:rsid w:val="00914652"/>
    <w:rsid w:val="00914782"/>
    <w:rsid w:val="00914EE4"/>
    <w:rsid w:val="00915123"/>
    <w:rsid w:val="00915724"/>
    <w:rsid w:val="00917892"/>
    <w:rsid w:val="00917986"/>
    <w:rsid w:val="00920184"/>
    <w:rsid w:val="00920311"/>
    <w:rsid w:val="00921F4F"/>
    <w:rsid w:val="00922124"/>
    <w:rsid w:val="00922A53"/>
    <w:rsid w:val="00922AE4"/>
    <w:rsid w:val="00922E16"/>
    <w:rsid w:val="00922E63"/>
    <w:rsid w:val="0092315C"/>
    <w:rsid w:val="0092392E"/>
    <w:rsid w:val="00924480"/>
    <w:rsid w:val="00924C37"/>
    <w:rsid w:val="00926494"/>
    <w:rsid w:val="00926959"/>
    <w:rsid w:val="009275C7"/>
    <w:rsid w:val="009306EF"/>
    <w:rsid w:val="00931038"/>
    <w:rsid w:val="00931603"/>
    <w:rsid w:val="00931616"/>
    <w:rsid w:val="00932071"/>
    <w:rsid w:val="00932C3A"/>
    <w:rsid w:val="009350BC"/>
    <w:rsid w:val="00935FED"/>
    <w:rsid w:val="00937C0E"/>
    <w:rsid w:val="00940FA4"/>
    <w:rsid w:val="0094119D"/>
    <w:rsid w:val="00941394"/>
    <w:rsid w:val="00942737"/>
    <w:rsid w:val="00942E56"/>
    <w:rsid w:val="009434A0"/>
    <w:rsid w:val="009435FD"/>
    <w:rsid w:val="00944BC6"/>
    <w:rsid w:val="0094536F"/>
    <w:rsid w:val="00945850"/>
    <w:rsid w:val="00946A65"/>
    <w:rsid w:val="00946C85"/>
    <w:rsid w:val="00946F34"/>
    <w:rsid w:val="00947119"/>
    <w:rsid w:val="00950070"/>
    <w:rsid w:val="00950A75"/>
    <w:rsid w:val="00950C0D"/>
    <w:rsid w:val="00950C2A"/>
    <w:rsid w:val="0095165A"/>
    <w:rsid w:val="00951E22"/>
    <w:rsid w:val="00952113"/>
    <w:rsid w:val="00952CA6"/>
    <w:rsid w:val="00955724"/>
    <w:rsid w:val="00955AC2"/>
    <w:rsid w:val="00956079"/>
    <w:rsid w:val="00957572"/>
    <w:rsid w:val="00960008"/>
    <w:rsid w:val="00960A54"/>
    <w:rsid w:val="00960FA3"/>
    <w:rsid w:val="00960FA5"/>
    <w:rsid w:val="00960FEA"/>
    <w:rsid w:val="0096207D"/>
    <w:rsid w:val="00962312"/>
    <w:rsid w:val="00963754"/>
    <w:rsid w:val="00963FF5"/>
    <w:rsid w:val="009647FC"/>
    <w:rsid w:val="009648B8"/>
    <w:rsid w:val="009649DF"/>
    <w:rsid w:val="00965020"/>
    <w:rsid w:val="0096503E"/>
    <w:rsid w:val="009654FC"/>
    <w:rsid w:val="00966358"/>
    <w:rsid w:val="00966381"/>
    <w:rsid w:val="00966927"/>
    <w:rsid w:val="00966A84"/>
    <w:rsid w:val="00967056"/>
    <w:rsid w:val="00971749"/>
    <w:rsid w:val="00973085"/>
    <w:rsid w:val="009740DE"/>
    <w:rsid w:val="00974E76"/>
    <w:rsid w:val="00975441"/>
    <w:rsid w:val="00976778"/>
    <w:rsid w:val="0097784D"/>
    <w:rsid w:val="0098069F"/>
    <w:rsid w:val="00981459"/>
    <w:rsid w:val="009840CD"/>
    <w:rsid w:val="009840EE"/>
    <w:rsid w:val="00984C60"/>
    <w:rsid w:val="00985473"/>
    <w:rsid w:val="00986718"/>
    <w:rsid w:val="00987574"/>
    <w:rsid w:val="00987D3D"/>
    <w:rsid w:val="0099015E"/>
    <w:rsid w:val="009904EA"/>
    <w:rsid w:val="00991DDF"/>
    <w:rsid w:val="00991DF3"/>
    <w:rsid w:val="0099233A"/>
    <w:rsid w:val="0099246D"/>
    <w:rsid w:val="009927F3"/>
    <w:rsid w:val="00992877"/>
    <w:rsid w:val="009929BF"/>
    <w:rsid w:val="0099318B"/>
    <w:rsid w:val="009933DF"/>
    <w:rsid w:val="00993BCE"/>
    <w:rsid w:val="00994094"/>
    <w:rsid w:val="009949BC"/>
    <w:rsid w:val="00995B65"/>
    <w:rsid w:val="009966FD"/>
    <w:rsid w:val="00997D2E"/>
    <w:rsid w:val="00997E75"/>
    <w:rsid w:val="009A0132"/>
    <w:rsid w:val="009A095E"/>
    <w:rsid w:val="009A1965"/>
    <w:rsid w:val="009A1E30"/>
    <w:rsid w:val="009A2E90"/>
    <w:rsid w:val="009A3F26"/>
    <w:rsid w:val="009A3FFA"/>
    <w:rsid w:val="009A42EF"/>
    <w:rsid w:val="009A4B0E"/>
    <w:rsid w:val="009A5511"/>
    <w:rsid w:val="009A6024"/>
    <w:rsid w:val="009A65F7"/>
    <w:rsid w:val="009A689E"/>
    <w:rsid w:val="009A6B6F"/>
    <w:rsid w:val="009A6CC6"/>
    <w:rsid w:val="009A7424"/>
    <w:rsid w:val="009A769D"/>
    <w:rsid w:val="009A7917"/>
    <w:rsid w:val="009B0B79"/>
    <w:rsid w:val="009B1D66"/>
    <w:rsid w:val="009B1E99"/>
    <w:rsid w:val="009B1FE5"/>
    <w:rsid w:val="009B2280"/>
    <w:rsid w:val="009B229E"/>
    <w:rsid w:val="009B2C2A"/>
    <w:rsid w:val="009B2FBB"/>
    <w:rsid w:val="009B3301"/>
    <w:rsid w:val="009B35D1"/>
    <w:rsid w:val="009B586F"/>
    <w:rsid w:val="009B75D6"/>
    <w:rsid w:val="009B7C7F"/>
    <w:rsid w:val="009B7FA4"/>
    <w:rsid w:val="009C0256"/>
    <w:rsid w:val="009C0754"/>
    <w:rsid w:val="009C0F1A"/>
    <w:rsid w:val="009C1404"/>
    <w:rsid w:val="009C286E"/>
    <w:rsid w:val="009C3DDD"/>
    <w:rsid w:val="009C53AD"/>
    <w:rsid w:val="009C5DDC"/>
    <w:rsid w:val="009C6575"/>
    <w:rsid w:val="009C6839"/>
    <w:rsid w:val="009C7374"/>
    <w:rsid w:val="009C7763"/>
    <w:rsid w:val="009D0E54"/>
    <w:rsid w:val="009D1012"/>
    <w:rsid w:val="009D107C"/>
    <w:rsid w:val="009D1B98"/>
    <w:rsid w:val="009D216F"/>
    <w:rsid w:val="009D235D"/>
    <w:rsid w:val="009D349B"/>
    <w:rsid w:val="009D35B0"/>
    <w:rsid w:val="009D39E0"/>
    <w:rsid w:val="009D3CD7"/>
    <w:rsid w:val="009D4D4B"/>
    <w:rsid w:val="009D4E33"/>
    <w:rsid w:val="009D4F07"/>
    <w:rsid w:val="009D586D"/>
    <w:rsid w:val="009D687B"/>
    <w:rsid w:val="009E01E0"/>
    <w:rsid w:val="009E0ADD"/>
    <w:rsid w:val="009E0E83"/>
    <w:rsid w:val="009E145C"/>
    <w:rsid w:val="009E1474"/>
    <w:rsid w:val="009E1C00"/>
    <w:rsid w:val="009E29B1"/>
    <w:rsid w:val="009E2C3E"/>
    <w:rsid w:val="009E30A3"/>
    <w:rsid w:val="009E36CC"/>
    <w:rsid w:val="009E398A"/>
    <w:rsid w:val="009E425C"/>
    <w:rsid w:val="009E45FE"/>
    <w:rsid w:val="009E468C"/>
    <w:rsid w:val="009E4B8C"/>
    <w:rsid w:val="009E4EA4"/>
    <w:rsid w:val="009E4F0D"/>
    <w:rsid w:val="009E55DA"/>
    <w:rsid w:val="009E58E1"/>
    <w:rsid w:val="009E67C4"/>
    <w:rsid w:val="009E6823"/>
    <w:rsid w:val="009E6847"/>
    <w:rsid w:val="009E6CE8"/>
    <w:rsid w:val="009F04AB"/>
    <w:rsid w:val="009F1687"/>
    <w:rsid w:val="009F16A4"/>
    <w:rsid w:val="009F17E1"/>
    <w:rsid w:val="009F1BF2"/>
    <w:rsid w:val="009F1F9C"/>
    <w:rsid w:val="009F2213"/>
    <w:rsid w:val="009F3A27"/>
    <w:rsid w:val="009F3B36"/>
    <w:rsid w:val="009F40E3"/>
    <w:rsid w:val="009F41CC"/>
    <w:rsid w:val="009F478A"/>
    <w:rsid w:val="009F59A7"/>
    <w:rsid w:val="009F5AA5"/>
    <w:rsid w:val="009F5CA9"/>
    <w:rsid w:val="009F5F43"/>
    <w:rsid w:val="009F6AC9"/>
    <w:rsid w:val="009F77CC"/>
    <w:rsid w:val="009F787C"/>
    <w:rsid w:val="00A004D5"/>
    <w:rsid w:val="00A01619"/>
    <w:rsid w:val="00A01E33"/>
    <w:rsid w:val="00A02038"/>
    <w:rsid w:val="00A0264D"/>
    <w:rsid w:val="00A02789"/>
    <w:rsid w:val="00A02C49"/>
    <w:rsid w:val="00A03979"/>
    <w:rsid w:val="00A04639"/>
    <w:rsid w:val="00A062FB"/>
    <w:rsid w:val="00A071C5"/>
    <w:rsid w:val="00A07663"/>
    <w:rsid w:val="00A07C1F"/>
    <w:rsid w:val="00A101A7"/>
    <w:rsid w:val="00A106BB"/>
    <w:rsid w:val="00A106E7"/>
    <w:rsid w:val="00A11230"/>
    <w:rsid w:val="00A11696"/>
    <w:rsid w:val="00A124CE"/>
    <w:rsid w:val="00A126C2"/>
    <w:rsid w:val="00A126E4"/>
    <w:rsid w:val="00A12ED1"/>
    <w:rsid w:val="00A13B1B"/>
    <w:rsid w:val="00A13E2D"/>
    <w:rsid w:val="00A14014"/>
    <w:rsid w:val="00A1422A"/>
    <w:rsid w:val="00A144BD"/>
    <w:rsid w:val="00A149D3"/>
    <w:rsid w:val="00A154EC"/>
    <w:rsid w:val="00A16E0D"/>
    <w:rsid w:val="00A21D0D"/>
    <w:rsid w:val="00A22307"/>
    <w:rsid w:val="00A23226"/>
    <w:rsid w:val="00A245D4"/>
    <w:rsid w:val="00A24E32"/>
    <w:rsid w:val="00A25604"/>
    <w:rsid w:val="00A258A4"/>
    <w:rsid w:val="00A25E8D"/>
    <w:rsid w:val="00A27069"/>
    <w:rsid w:val="00A27828"/>
    <w:rsid w:val="00A2784B"/>
    <w:rsid w:val="00A279F8"/>
    <w:rsid w:val="00A27B90"/>
    <w:rsid w:val="00A27E38"/>
    <w:rsid w:val="00A306FA"/>
    <w:rsid w:val="00A30B73"/>
    <w:rsid w:val="00A3184F"/>
    <w:rsid w:val="00A31F9F"/>
    <w:rsid w:val="00A31FE4"/>
    <w:rsid w:val="00A31FF5"/>
    <w:rsid w:val="00A3201D"/>
    <w:rsid w:val="00A32793"/>
    <w:rsid w:val="00A327A5"/>
    <w:rsid w:val="00A33030"/>
    <w:rsid w:val="00A33F31"/>
    <w:rsid w:val="00A3468E"/>
    <w:rsid w:val="00A350C2"/>
    <w:rsid w:val="00A3560B"/>
    <w:rsid w:val="00A35A88"/>
    <w:rsid w:val="00A35ED1"/>
    <w:rsid w:val="00A36601"/>
    <w:rsid w:val="00A3675E"/>
    <w:rsid w:val="00A36A64"/>
    <w:rsid w:val="00A36C00"/>
    <w:rsid w:val="00A36E49"/>
    <w:rsid w:val="00A37A36"/>
    <w:rsid w:val="00A37B15"/>
    <w:rsid w:val="00A37C91"/>
    <w:rsid w:val="00A4078A"/>
    <w:rsid w:val="00A41299"/>
    <w:rsid w:val="00A41C53"/>
    <w:rsid w:val="00A41F05"/>
    <w:rsid w:val="00A41FE7"/>
    <w:rsid w:val="00A429A9"/>
    <w:rsid w:val="00A42B00"/>
    <w:rsid w:val="00A435CC"/>
    <w:rsid w:val="00A44894"/>
    <w:rsid w:val="00A44DD7"/>
    <w:rsid w:val="00A45997"/>
    <w:rsid w:val="00A45BB2"/>
    <w:rsid w:val="00A46019"/>
    <w:rsid w:val="00A4663B"/>
    <w:rsid w:val="00A46734"/>
    <w:rsid w:val="00A47D5F"/>
    <w:rsid w:val="00A47FCE"/>
    <w:rsid w:val="00A50059"/>
    <w:rsid w:val="00A5118B"/>
    <w:rsid w:val="00A52BEE"/>
    <w:rsid w:val="00A53419"/>
    <w:rsid w:val="00A54208"/>
    <w:rsid w:val="00A54390"/>
    <w:rsid w:val="00A548F6"/>
    <w:rsid w:val="00A557D5"/>
    <w:rsid w:val="00A5638A"/>
    <w:rsid w:val="00A564A3"/>
    <w:rsid w:val="00A56531"/>
    <w:rsid w:val="00A570A8"/>
    <w:rsid w:val="00A57212"/>
    <w:rsid w:val="00A57452"/>
    <w:rsid w:val="00A6030E"/>
    <w:rsid w:val="00A60866"/>
    <w:rsid w:val="00A6098E"/>
    <w:rsid w:val="00A616FC"/>
    <w:rsid w:val="00A62392"/>
    <w:rsid w:val="00A628F2"/>
    <w:rsid w:val="00A6353B"/>
    <w:rsid w:val="00A640E5"/>
    <w:rsid w:val="00A64188"/>
    <w:rsid w:val="00A64698"/>
    <w:rsid w:val="00A65E07"/>
    <w:rsid w:val="00A66A21"/>
    <w:rsid w:val="00A66A78"/>
    <w:rsid w:val="00A66EE6"/>
    <w:rsid w:val="00A67935"/>
    <w:rsid w:val="00A67F9C"/>
    <w:rsid w:val="00A70F19"/>
    <w:rsid w:val="00A72D24"/>
    <w:rsid w:val="00A7322E"/>
    <w:rsid w:val="00A73470"/>
    <w:rsid w:val="00A73495"/>
    <w:rsid w:val="00A7455C"/>
    <w:rsid w:val="00A757D0"/>
    <w:rsid w:val="00A770C2"/>
    <w:rsid w:val="00A77568"/>
    <w:rsid w:val="00A801DD"/>
    <w:rsid w:val="00A80BEA"/>
    <w:rsid w:val="00A8172B"/>
    <w:rsid w:val="00A81F03"/>
    <w:rsid w:val="00A83C50"/>
    <w:rsid w:val="00A83E8F"/>
    <w:rsid w:val="00A83EE9"/>
    <w:rsid w:val="00A8406A"/>
    <w:rsid w:val="00A84466"/>
    <w:rsid w:val="00A85033"/>
    <w:rsid w:val="00A85203"/>
    <w:rsid w:val="00A85ABB"/>
    <w:rsid w:val="00A87004"/>
    <w:rsid w:val="00A9000F"/>
    <w:rsid w:val="00A9023C"/>
    <w:rsid w:val="00A903DE"/>
    <w:rsid w:val="00A90570"/>
    <w:rsid w:val="00A90CDF"/>
    <w:rsid w:val="00A91302"/>
    <w:rsid w:val="00A91664"/>
    <w:rsid w:val="00A917E5"/>
    <w:rsid w:val="00A920D6"/>
    <w:rsid w:val="00A92992"/>
    <w:rsid w:val="00A92C8F"/>
    <w:rsid w:val="00A93432"/>
    <w:rsid w:val="00A9369F"/>
    <w:rsid w:val="00A93B9D"/>
    <w:rsid w:val="00A94BDD"/>
    <w:rsid w:val="00A956B5"/>
    <w:rsid w:val="00A9595C"/>
    <w:rsid w:val="00A9603E"/>
    <w:rsid w:val="00A96637"/>
    <w:rsid w:val="00A96820"/>
    <w:rsid w:val="00A974BE"/>
    <w:rsid w:val="00AA0225"/>
    <w:rsid w:val="00AA02A6"/>
    <w:rsid w:val="00AA0969"/>
    <w:rsid w:val="00AA1B7A"/>
    <w:rsid w:val="00AA2174"/>
    <w:rsid w:val="00AA2704"/>
    <w:rsid w:val="00AA2A8E"/>
    <w:rsid w:val="00AA2D77"/>
    <w:rsid w:val="00AA31A2"/>
    <w:rsid w:val="00AA3CBD"/>
    <w:rsid w:val="00AA5134"/>
    <w:rsid w:val="00AA53D2"/>
    <w:rsid w:val="00AA7910"/>
    <w:rsid w:val="00AB0260"/>
    <w:rsid w:val="00AB0561"/>
    <w:rsid w:val="00AB0792"/>
    <w:rsid w:val="00AB08F8"/>
    <w:rsid w:val="00AB259F"/>
    <w:rsid w:val="00AB29D8"/>
    <w:rsid w:val="00AB2E89"/>
    <w:rsid w:val="00AB32A7"/>
    <w:rsid w:val="00AB4442"/>
    <w:rsid w:val="00AB48AE"/>
    <w:rsid w:val="00AB507E"/>
    <w:rsid w:val="00AB5363"/>
    <w:rsid w:val="00AB592C"/>
    <w:rsid w:val="00AB5969"/>
    <w:rsid w:val="00AB5F20"/>
    <w:rsid w:val="00AB782A"/>
    <w:rsid w:val="00AB7CBB"/>
    <w:rsid w:val="00AC08B2"/>
    <w:rsid w:val="00AC0B07"/>
    <w:rsid w:val="00AC17B4"/>
    <w:rsid w:val="00AC1E8D"/>
    <w:rsid w:val="00AC1F4D"/>
    <w:rsid w:val="00AC1FD9"/>
    <w:rsid w:val="00AC271D"/>
    <w:rsid w:val="00AC2BF2"/>
    <w:rsid w:val="00AC33BC"/>
    <w:rsid w:val="00AC3C7A"/>
    <w:rsid w:val="00AC45A2"/>
    <w:rsid w:val="00AC4882"/>
    <w:rsid w:val="00AC4CF2"/>
    <w:rsid w:val="00AC4F50"/>
    <w:rsid w:val="00AC53D0"/>
    <w:rsid w:val="00AC65CE"/>
    <w:rsid w:val="00AC6C32"/>
    <w:rsid w:val="00AC6F3C"/>
    <w:rsid w:val="00AC75A9"/>
    <w:rsid w:val="00AD038F"/>
    <w:rsid w:val="00AD17A7"/>
    <w:rsid w:val="00AD22ED"/>
    <w:rsid w:val="00AD3592"/>
    <w:rsid w:val="00AD37BE"/>
    <w:rsid w:val="00AD3B29"/>
    <w:rsid w:val="00AD4109"/>
    <w:rsid w:val="00AD4B3C"/>
    <w:rsid w:val="00AD4F33"/>
    <w:rsid w:val="00AD5BD2"/>
    <w:rsid w:val="00AD61EA"/>
    <w:rsid w:val="00AD6A98"/>
    <w:rsid w:val="00AD6E6E"/>
    <w:rsid w:val="00AD7B08"/>
    <w:rsid w:val="00AE084E"/>
    <w:rsid w:val="00AE14DF"/>
    <w:rsid w:val="00AE1534"/>
    <w:rsid w:val="00AE159A"/>
    <w:rsid w:val="00AE1687"/>
    <w:rsid w:val="00AE1D54"/>
    <w:rsid w:val="00AE225D"/>
    <w:rsid w:val="00AE2641"/>
    <w:rsid w:val="00AE338F"/>
    <w:rsid w:val="00AE3EAB"/>
    <w:rsid w:val="00AE471A"/>
    <w:rsid w:val="00AE4802"/>
    <w:rsid w:val="00AE50CE"/>
    <w:rsid w:val="00AE5F29"/>
    <w:rsid w:val="00AE6095"/>
    <w:rsid w:val="00AE6394"/>
    <w:rsid w:val="00AE63F2"/>
    <w:rsid w:val="00AE6813"/>
    <w:rsid w:val="00AF0DB4"/>
    <w:rsid w:val="00AF0E2B"/>
    <w:rsid w:val="00AF10F0"/>
    <w:rsid w:val="00AF17CF"/>
    <w:rsid w:val="00AF19CB"/>
    <w:rsid w:val="00AF1CBD"/>
    <w:rsid w:val="00AF1D76"/>
    <w:rsid w:val="00AF2129"/>
    <w:rsid w:val="00AF2640"/>
    <w:rsid w:val="00AF3196"/>
    <w:rsid w:val="00AF3B17"/>
    <w:rsid w:val="00AF4016"/>
    <w:rsid w:val="00AF4224"/>
    <w:rsid w:val="00AF5EB1"/>
    <w:rsid w:val="00AF6021"/>
    <w:rsid w:val="00AF7ED8"/>
    <w:rsid w:val="00B01028"/>
    <w:rsid w:val="00B01247"/>
    <w:rsid w:val="00B016D5"/>
    <w:rsid w:val="00B01B8B"/>
    <w:rsid w:val="00B01C64"/>
    <w:rsid w:val="00B027DB"/>
    <w:rsid w:val="00B04722"/>
    <w:rsid w:val="00B04A38"/>
    <w:rsid w:val="00B0537C"/>
    <w:rsid w:val="00B068D6"/>
    <w:rsid w:val="00B06BAD"/>
    <w:rsid w:val="00B1017E"/>
    <w:rsid w:val="00B1163D"/>
    <w:rsid w:val="00B118F1"/>
    <w:rsid w:val="00B11B18"/>
    <w:rsid w:val="00B11FA2"/>
    <w:rsid w:val="00B1243B"/>
    <w:rsid w:val="00B12F38"/>
    <w:rsid w:val="00B1307F"/>
    <w:rsid w:val="00B1385F"/>
    <w:rsid w:val="00B14151"/>
    <w:rsid w:val="00B141A9"/>
    <w:rsid w:val="00B14311"/>
    <w:rsid w:val="00B14513"/>
    <w:rsid w:val="00B151A4"/>
    <w:rsid w:val="00B152A7"/>
    <w:rsid w:val="00B15731"/>
    <w:rsid w:val="00B15CFA"/>
    <w:rsid w:val="00B16DCA"/>
    <w:rsid w:val="00B17E24"/>
    <w:rsid w:val="00B205E3"/>
    <w:rsid w:val="00B20E1B"/>
    <w:rsid w:val="00B20E2E"/>
    <w:rsid w:val="00B2266D"/>
    <w:rsid w:val="00B232AB"/>
    <w:rsid w:val="00B23F63"/>
    <w:rsid w:val="00B23F6C"/>
    <w:rsid w:val="00B24057"/>
    <w:rsid w:val="00B2464C"/>
    <w:rsid w:val="00B25B80"/>
    <w:rsid w:val="00B25D66"/>
    <w:rsid w:val="00B2600A"/>
    <w:rsid w:val="00B26081"/>
    <w:rsid w:val="00B2632E"/>
    <w:rsid w:val="00B26936"/>
    <w:rsid w:val="00B26A1C"/>
    <w:rsid w:val="00B26E3C"/>
    <w:rsid w:val="00B30031"/>
    <w:rsid w:val="00B30B36"/>
    <w:rsid w:val="00B32267"/>
    <w:rsid w:val="00B3281A"/>
    <w:rsid w:val="00B32A95"/>
    <w:rsid w:val="00B32C18"/>
    <w:rsid w:val="00B33486"/>
    <w:rsid w:val="00B33B40"/>
    <w:rsid w:val="00B35816"/>
    <w:rsid w:val="00B35F8B"/>
    <w:rsid w:val="00B36921"/>
    <w:rsid w:val="00B36D62"/>
    <w:rsid w:val="00B36F06"/>
    <w:rsid w:val="00B40347"/>
    <w:rsid w:val="00B408A5"/>
    <w:rsid w:val="00B40DA7"/>
    <w:rsid w:val="00B41288"/>
    <w:rsid w:val="00B413C1"/>
    <w:rsid w:val="00B416C7"/>
    <w:rsid w:val="00B4259D"/>
    <w:rsid w:val="00B43121"/>
    <w:rsid w:val="00B431A2"/>
    <w:rsid w:val="00B43351"/>
    <w:rsid w:val="00B43391"/>
    <w:rsid w:val="00B435A1"/>
    <w:rsid w:val="00B444D1"/>
    <w:rsid w:val="00B44C7E"/>
    <w:rsid w:val="00B45103"/>
    <w:rsid w:val="00B45530"/>
    <w:rsid w:val="00B45BD5"/>
    <w:rsid w:val="00B45E01"/>
    <w:rsid w:val="00B464B8"/>
    <w:rsid w:val="00B4764A"/>
    <w:rsid w:val="00B50695"/>
    <w:rsid w:val="00B50952"/>
    <w:rsid w:val="00B511A0"/>
    <w:rsid w:val="00B5151E"/>
    <w:rsid w:val="00B51D23"/>
    <w:rsid w:val="00B51EF9"/>
    <w:rsid w:val="00B530A5"/>
    <w:rsid w:val="00B53800"/>
    <w:rsid w:val="00B53E41"/>
    <w:rsid w:val="00B5498B"/>
    <w:rsid w:val="00B549A4"/>
    <w:rsid w:val="00B549C2"/>
    <w:rsid w:val="00B55A6B"/>
    <w:rsid w:val="00B55CBA"/>
    <w:rsid w:val="00B57645"/>
    <w:rsid w:val="00B605F9"/>
    <w:rsid w:val="00B60B4E"/>
    <w:rsid w:val="00B61134"/>
    <w:rsid w:val="00B616BD"/>
    <w:rsid w:val="00B61833"/>
    <w:rsid w:val="00B61B11"/>
    <w:rsid w:val="00B626CE"/>
    <w:rsid w:val="00B62BD0"/>
    <w:rsid w:val="00B62EC1"/>
    <w:rsid w:val="00B63918"/>
    <w:rsid w:val="00B63DA6"/>
    <w:rsid w:val="00B63DFC"/>
    <w:rsid w:val="00B64182"/>
    <w:rsid w:val="00B64304"/>
    <w:rsid w:val="00B64C41"/>
    <w:rsid w:val="00B65E7A"/>
    <w:rsid w:val="00B6609B"/>
    <w:rsid w:val="00B66FD1"/>
    <w:rsid w:val="00B677BB"/>
    <w:rsid w:val="00B7023E"/>
    <w:rsid w:val="00B708B9"/>
    <w:rsid w:val="00B71170"/>
    <w:rsid w:val="00B73575"/>
    <w:rsid w:val="00B735EA"/>
    <w:rsid w:val="00B7386E"/>
    <w:rsid w:val="00B74085"/>
    <w:rsid w:val="00B74B9D"/>
    <w:rsid w:val="00B751EC"/>
    <w:rsid w:val="00B75244"/>
    <w:rsid w:val="00B75A1F"/>
    <w:rsid w:val="00B75F69"/>
    <w:rsid w:val="00B761F1"/>
    <w:rsid w:val="00B76829"/>
    <w:rsid w:val="00B76D1F"/>
    <w:rsid w:val="00B76E4F"/>
    <w:rsid w:val="00B774AA"/>
    <w:rsid w:val="00B804BD"/>
    <w:rsid w:val="00B812E9"/>
    <w:rsid w:val="00B81D41"/>
    <w:rsid w:val="00B82BFB"/>
    <w:rsid w:val="00B8300E"/>
    <w:rsid w:val="00B84555"/>
    <w:rsid w:val="00B84580"/>
    <w:rsid w:val="00B850B8"/>
    <w:rsid w:val="00B85761"/>
    <w:rsid w:val="00B863DA"/>
    <w:rsid w:val="00B86C88"/>
    <w:rsid w:val="00B8788A"/>
    <w:rsid w:val="00B906F3"/>
    <w:rsid w:val="00B90E4B"/>
    <w:rsid w:val="00B90EFD"/>
    <w:rsid w:val="00B9123F"/>
    <w:rsid w:val="00B921B1"/>
    <w:rsid w:val="00B9388C"/>
    <w:rsid w:val="00B94C7D"/>
    <w:rsid w:val="00B9571A"/>
    <w:rsid w:val="00B95C6D"/>
    <w:rsid w:val="00B96803"/>
    <w:rsid w:val="00B96DAA"/>
    <w:rsid w:val="00BA209F"/>
    <w:rsid w:val="00BA20AF"/>
    <w:rsid w:val="00BA22CB"/>
    <w:rsid w:val="00BA2771"/>
    <w:rsid w:val="00BA2B00"/>
    <w:rsid w:val="00BA363D"/>
    <w:rsid w:val="00BA53C0"/>
    <w:rsid w:val="00BA5943"/>
    <w:rsid w:val="00BA5965"/>
    <w:rsid w:val="00BA59B3"/>
    <w:rsid w:val="00BA6356"/>
    <w:rsid w:val="00BB073F"/>
    <w:rsid w:val="00BB2458"/>
    <w:rsid w:val="00BB2AFF"/>
    <w:rsid w:val="00BB30C7"/>
    <w:rsid w:val="00BB44F9"/>
    <w:rsid w:val="00BB5416"/>
    <w:rsid w:val="00BB5962"/>
    <w:rsid w:val="00BB5F2F"/>
    <w:rsid w:val="00BB6061"/>
    <w:rsid w:val="00BB6198"/>
    <w:rsid w:val="00BB6F3E"/>
    <w:rsid w:val="00BB6F87"/>
    <w:rsid w:val="00BB73D2"/>
    <w:rsid w:val="00BB7564"/>
    <w:rsid w:val="00BB7660"/>
    <w:rsid w:val="00BB7F2D"/>
    <w:rsid w:val="00BC0A27"/>
    <w:rsid w:val="00BC12B0"/>
    <w:rsid w:val="00BC194C"/>
    <w:rsid w:val="00BC1F80"/>
    <w:rsid w:val="00BC2066"/>
    <w:rsid w:val="00BC2546"/>
    <w:rsid w:val="00BC303F"/>
    <w:rsid w:val="00BC3AAF"/>
    <w:rsid w:val="00BC4295"/>
    <w:rsid w:val="00BC4DFE"/>
    <w:rsid w:val="00BC565D"/>
    <w:rsid w:val="00BC567A"/>
    <w:rsid w:val="00BC60D0"/>
    <w:rsid w:val="00BC6569"/>
    <w:rsid w:val="00BC6B51"/>
    <w:rsid w:val="00BC7B34"/>
    <w:rsid w:val="00BD1207"/>
    <w:rsid w:val="00BD1379"/>
    <w:rsid w:val="00BD1DBD"/>
    <w:rsid w:val="00BD2F47"/>
    <w:rsid w:val="00BD35D6"/>
    <w:rsid w:val="00BD3754"/>
    <w:rsid w:val="00BD4ADC"/>
    <w:rsid w:val="00BD515C"/>
    <w:rsid w:val="00BD689F"/>
    <w:rsid w:val="00BD6C36"/>
    <w:rsid w:val="00BD6F36"/>
    <w:rsid w:val="00BD77E6"/>
    <w:rsid w:val="00BE0CEE"/>
    <w:rsid w:val="00BE17BF"/>
    <w:rsid w:val="00BE33BB"/>
    <w:rsid w:val="00BE3991"/>
    <w:rsid w:val="00BE3A5C"/>
    <w:rsid w:val="00BE3F64"/>
    <w:rsid w:val="00BE465B"/>
    <w:rsid w:val="00BE668C"/>
    <w:rsid w:val="00BE673F"/>
    <w:rsid w:val="00BE68D1"/>
    <w:rsid w:val="00BE6DE2"/>
    <w:rsid w:val="00BE6F33"/>
    <w:rsid w:val="00BE7A73"/>
    <w:rsid w:val="00BE7DA5"/>
    <w:rsid w:val="00BF0972"/>
    <w:rsid w:val="00BF0F41"/>
    <w:rsid w:val="00BF12EB"/>
    <w:rsid w:val="00BF1EAC"/>
    <w:rsid w:val="00BF39D8"/>
    <w:rsid w:val="00BF3BA6"/>
    <w:rsid w:val="00BF3C7E"/>
    <w:rsid w:val="00BF3EA2"/>
    <w:rsid w:val="00BF4D64"/>
    <w:rsid w:val="00BF5168"/>
    <w:rsid w:val="00BF57CE"/>
    <w:rsid w:val="00BF5A42"/>
    <w:rsid w:val="00BF64BB"/>
    <w:rsid w:val="00BF661D"/>
    <w:rsid w:val="00BF670D"/>
    <w:rsid w:val="00BF6749"/>
    <w:rsid w:val="00BF6DEE"/>
    <w:rsid w:val="00BF6E0B"/>
    <w:rsid w:val="00BF7762"/>
    <w:rsid w:val="00BF7BD4"/>
    <w:rsid w:val="00C003A9"/>
    <w:rsid w:val="00C0064B"/>
    <w:rsid w:val="00C00BE2"/>
    <w:rsid w:val="00C0101C"/>
    <w:rsid w:val="00C012A4"/>
    <w:rsid w:val="00C013CC"/>
    <w:rsid w:val="00C018F9"/>
    <w:rsid w:val="00C02042"/>
    <w:rsid w:val="00C02238"/>
    <w:rsid w:val="00C02616"/>
    <w:rsid w:val="00C02E35"/>
    <w:rsid w:val="00C030AD"/>
    <w:rsid w:val="00C0327A"/>
    <w:rsid w:val="00C04027"/>
    <w:rsid w:val="00C0417A"/>
    <w:rsid w:val="00C04E92"/>
    <w:rsid w:val="00C04FB4"/>
    <w:rsid w:val="00C06537"/>
    <w:rsid w:val="00C07FC9"/>
    <w:rsid w:val="00C10C8F"/>
    <w:rsid w:val="00C10CEC"/>
    <w:rsid w:val="00C115E0"/>
    <w:rsid w:val="00C126B2"/>
    <w:rsid w:val="00C1285E"/>
    <w:rsid w:val="00C129E1"/>
    <w:rsid w:val="00C130F8"/>
    <w:rsid w:val="00C13AFB"/>
    <w:rsid w:val="00C14436"/>
    <w:rsid w:val="00C1444F"/>
    <w:rsid w:val="00C15D80"/>
    <w:rsid w:val="00C167C0"/>
    <w:rsid w:val="00C16A70"/>
    <w:rsid w:val="00C16FBD"/>
    <w:rsid w:val="00C16FEC"/>
    <w:rsid w:val="00C17278"/>
    <w:rsid w:val="00C1751F"/>
    <w:rsid w:val="00C17D04"/>
    <w:rsid w:val="00C207EA"/>
    <w:rsid w:val="00C20F18"/>
    <w:rsid w:val="00C21146"/>
    <w:rsid w:val="00C21197"/>
    <w:rsid w:val="00C21600"/>
    <w:rsid w:val="00C226A5"/>
    <w:rsid w:val="00C22881"/>
    <w:rsid w:val="00C22B83"/>
    <w:rsid w:val="00C23089"/>
    <w:rsid w:val="00C24825"/>
    <w:rsid w:val="00C24AF9"/>
    <w:rsid w:val="00C25FA6"/>
    <w:rsid w:val="00C26962"/>
    <w:rsid w:val="00C26E02"/>
    <w:rsid w:val="00C278F1"/>
    <w:rsid w:val="00C27BC8"/>
    <w:rsid w:val="00C30F0D"/>
    <w:rsid w:val="00C3149D"/>
    <w:rsid w:val="00C31750"/>
    <w:rsid w:val="00C31913"/>
    <w:rsid w:val="00C31E3D"/>
    <w:rsid w:val="00C32007"/>
    <w:rsid w:val="00C32244"/>
    <w:rsid w:val="00C3264B"/>
    <w:rsid w:val="00C32C3C"/>
    <w:rsid w:val="00C32CEE"/>
    <w:rsid w:val="00C34070"/>
    <w:rsid w:val="00C3577B"/>
    <w:rsid w:val="00C362E3"/>
    <w:rsid w:val="00C36551"/>
    <w:rsid w:val="00C36CBB"/>
    <w:rsid w:val="00C375D8"/>
    <w:rsid w:val="00C37913"/>
    <w:rsid w:val="00C37B06"/>
    <w:rsid w:val="00C37F65"/>
    <w:rsid w:val="00C40441"/>
    <w:rsid w:val="00C415EC"/>
    <w:rsid w:val="00C41AE5"/>
    <w:rsid w:val="00C42523"/>
    <w:rsid w:val="00C43680"/>
    <w:rsid w:val="00C43869"/>
    <w:rsid w:val="00C43A66"/>
    <w:rsid w:val="00C444D3"/>
    <w:rsid w:val="00C44E17"/>
    <w:rsid w:val="00C45A63"/>
    <w:rsid w:val="00C47650"/>
    <w:rsid w:val="00C47AC4"/>
    <w:rsid w:val="00C5126B"/>
    <w:rsid w:val="00C512BF"/>
    <w:rsid w:val="00C51B2C"/>
    <w:rsid w:val="00C531B9"/>
    <w:rsid w:val="00C5352B"/>
    <w:rsid w:val="00C53D65"/>
    <w:rsid w:val="00C55124"/>
    <w:rsid w:val="00C55498"/>
    <w:rsid w:val="00C56095"/>
    <w:rsid w:val="00C56F64"/>
    <w:rsid w:val="00C574CA"/>
    <w:rsid w:val="00C5773A"/>
    <w:rsid w:val="00C579ED"/>
    <w:rsid w:val="00C57B14"/>
    <w:rsid w:val="00C57B1F"/>
    <w:rsid w:val="00C60896"/>
    <w:rsid w:val="00C618B5"/>
    <w:rsid w:val="00C61E80"/>
    <w:rsid w:val="00C6220F"/>
    <w:rsid w:val="00C62A61"/>
    <w:rsid w:val="00C634E9"/>
    <w:rsid w:val="00C645F3"/>
    <w:rsid w:val="00C656AA"/>
    <w:rsid w:val="00C6601F"/>
    <w:rsid w:val="00C66460"/>
    <w:rsid w:val="00C6677C"/>
    <w:rsid w:val="00C66D05"/>
    <w:rsid w:val="00C67FCF"/>
    <w:rsid w:val="00C71187"/>
    <w:rsid w:val="00C71197"/>
    <w:rsid w:val="00C713E5"/>
    <w:rsid w:val="00C71C96"/>
    <w:rsid w:val="00C71EF3"/>
    <w:rsid w:val="00C71F9C"/>
    <w:rsid w:val="00C73069"/>
    <w:rsid w:val="00C73715"/>
    <w:rsid w:val="00C739CD"/>
    <w:rsid w:val="00C7406C"/>
    <w:rsid w:val="00C74C27"/>
    <w:rsid w:val="00C74CC1"/>
    <w:rsid w:val="00C75E64"/>
    <w:rsid w:val="00C76866"/>
    <w:rsid w:val="00C77E1B"/>
    <w:rsid w:val="00C77E62"/>
    <w:rsid w:val="00C8024B"/>
    <w:rsid w:val="00C8034C"/>
    <w:rsid w:val="00C8062E"/>
    <w:rsid w:val="00C80903"/>
    <w:rsid w:val="00C80D3B"/>
    <w:rsid w:val="00C81187"/>
    <w:rsid w:val="00C81A03"/>
    <w:rsid w:val="00C81D32"/>
    <w:rsid w:val="00C82074"/>
    <w:rsid w:val="00C826CE"/>
    <w:rsid w:val="00C827E1"/>
    <w:rsid w:val="00C82964"/>
    <w:rsid w:val="00C82E8A"/>
    <w:rsid w:val="00C83136"/>
    <w:rsid w:val="00C83244"/>
    <w:rsid w:val="00C837D4"/>
    <w:rsid w:val="00C83C01"/>
    <w:rsid w:val="00C83DA8"/>
    <w:rsid w:val="00C840A8"/>
    <w:rsid w:val="00C8483A"/>
    <w:rsid w:val="00C85549"/>
    <w:rsid w:val="00C85E59"/>
    <w:rsid w:val="00C860D6"/>
    <w:rsid w:val="00C861C8"/>
    <w:rsid w:val="00C864BA"/>
    <w:rsid w:val="00C868E0"/>
    <w:rsid w:val="00C86B0E"/>
    <w:rsid w:val="00C901E0"/>
    <w:rsid w:val="00C91029"/>
    <w:rsid w:val="00C91FF9"/>
    <w:rsid w:val="00C930E4"/>
    <w:rsid w:val="00C93A7B"/>
    <w:rsid w:val="00C94994"/>
    <w:rsid w:val="00C959CB"/>
    <w:rsid w:val="00C96E82"/>
    <w:rsid w:val="00CA2405"/>
    <w:rsid w:val="00CA289D"/>
    <w:rsid w:val="00CA36FF"/>
    <w:rsid w:val="00CA5113"/>
    <w:rsid w:val="00CA5278"/>
    <w:rsid w:val="00CA5E20"/>
    <w:rsid w:val="00CA685A"/>
    <w:rsid w:val="00CB071F"/>
    <w:rsid w:val="00CB09C2"/>
    <w:rsid w:val="00CB0D7D"/>
    <w:rsid w:val="00CB1556"/>
    <w:rsid w:val="00CB1A5E"/>
    <w:rsid w:val="00CB1A73"/>
    <w:rsid w:val="00CB1CFF"/>
    <w:rsid w:val="00CB3D3A"/>
    <w:rsid w:val="00CB4635"/>
    <w:rsid w:val="00CB7027"/>
    <w:rsid w:val="00CC0AFA"/>
    <w:rsid w:val="00CC0C74"/>
    <w:rsid w:val="00CC0CF3"/>
    <w:rsid w:val="00CC15EA"/>
    <w:rsid w:val="00CC1E18"/>
    <w:rsid w:val="00CC2500"/>
    <w:rsid w:val="00CC26DB"/>
    <w:rsid w:val="00CC2EA2"/>
    <w:rsid w:val="00CC37F2"/>
    <w:rsid w:val="00CC438D"/>
    <w:rsid w:val="00CC6A39"/>
    <w:rsid w:val="00CC6F83"/>
    <w:rsid w:val="00CC7043"/>
    <w:rsid w:val="00CD033C"/>
    <w:rsid w:val="00CD0A3B"/>
    <w:rsid w:val="00CD10C7"/>
    <w:rsid w:val="00CD2F46"/>
    <w:rsid w:val="00CD3E37"/>
    <w:rsid w:val="00CD4D5B"/>
    <w:rsid w:val="00CD4EDC"/>
    <w:rsid w:val="00CD5760"/>
    <w:rsid w:val="00CD7370"/>
    <w:rsid w:val="00CD7EFF"/>
    <w:rsid w:val="00CE15DA"/>
    <w:rsid w:val="00CE17D8"/>
    <w:rsid w:val="00CE1ABF"/>
    <w:rsid w:val="00CE1E84"/>
    <w:rsid w:val="00CE218F"/>
    <w:rsid w:val="00CE2E8D"/>
    <w:rsid w:val="00CE36D5"/>
    <w:rsid w:val="00CE3746"/>
    <w:rsid w:val="00CE462D"/>
    <w:rsid w:val="00CE4640"/>
    <w:rsid w:val="00CE4767"/>
    <w:rsid w:val="00CE4F5B"/>
    <w:rsid w:val="00CE4FCC"/>
    <w:rsid w:val="00CE5C6B"/>
    <w:rsid w:val="00CE68EB"/>
    <w:rsid w:val="00CE732F"/>
    <w:rsid w:val="00CF0B53"/>
    <w:rsid w:val="00CF1129"/>
    <w:rsid w:val="00CF1622"/>
    <w:rsid w:val="00CF1C05"/>
    <w:rsid w:val="00CF2F40"/>
    <w:rsid w:val="00CF3F5E"/>
    <w:rsid w:val="00CF4495"/>
    <w:rsid w:val="00CF4C0F"/>
    <w:rsid w:val="00CF4C79"/>
    <w:rsid w:val="00CF599C"/>
    <w:rsid w:val="00CF663E"/>
    <w:rsid w:val="00CF6741"/>
    <w:rsid w:val="00CF69D7"/>
    <w:rsid w:val="00CF6E76"/>
    <w:rsid w:val="00CF7438"/>
    <w:rsid w:val="00CF7712"/>
    <w:rsid w:val="00CF7C26"/>
    <w:rsid w:val="00CF7DCE"/>
    <w:rsid w:val="00CF7DFE"/>
    <w:rsid w:val="00CF7EBD"/>
    <w:rsid w:val="00D00CCB"/>
    <w:rsid w:val="00D0123C"/>
    <w:rsid w:val="00D018A3"/>
    <w:rsid w:val="00D02216"/>
    <w:rsid w:val="00D02408"/>
    <w:rsid w:val="00D02FE4"/>
    <w:rsid w:val="00D04389"/>
    <w:rsid w:val="00D05350"/>
    <w:rsid w:val="00D0586B"/>
    <w:rsid w:val="00D06A49"/>
    <w:rsid w:val="00D06A7E"/>
    <w:rsid w:val="00D076B0"/>
    <w:rsid w:val="00D07B9F"/>
    <w:rsid w:val="00D07C8E"/>
    <w:rsid w:val="00D07FA3"/>
    <w:rsid w:val="00D10924"/>
    <w:rsid w:val="00D10991"/>
    <w:rsid w:val="00D10F63"/>
    <w:rsid w:val="00D11337"/>
    <w:rsid w:val="00D118DD"/>
    <w:rsid w:val="00D12167"/>
    <w:rsid w:val="00D1264D"/>
    <w:rsid w:val="00D12FE5"/>
    <w:rsid w:val="00D13875"/>
    <w:rsid w:val="00D13B89"/>
    <w:rsid w:val="00D15075"/>
    <w:rsid w:val="00D16494"/>
    <w:rsid w:val="00D166FD"/>
    <w:rsid w:val="00D16DEB"/>
    <w:rsid w:val="00D171FF"/>
    <w:rsid w:val="00D17863"/>
    <w:rsid w:val="00D20107"/>
    <w:rsid w:val="00D201D4"/>
    <w:rsid w:val="00D20A69"/>
    <w:rsid w:val="00D20AAB"/>
    <w:rsid w:val="00D20E68"/>
    <w:rsid w:val="00D21020"/>
    <w:rsid w:val="00D21212"/>
    <w:rsid w:val="00D2442E"/>
    <w:rsid w:val="00D24905"/>
    <w:rsid w:val="00D25125"/>
    <w:rsid w:val="00D251C0"/>
    <w:rsid w:val="00D25DFF"/>
    <w:rsid w:val="00D26E9E"/>
    <w:rsid w:val="00D26F96"/>
    <w:rsid w:val="00D27233"/>
    <w:rsid w:val="00D273BF"/>
    <w:rsid w:val="00D276CE"/>
    <w:rsid w:val="00D27C09"/>
    <w:rsid w:val="00D27DBC"/>
    <w:rsid w:val="00D301EB"/>
    <w:rsid w:val="00D30F57"/>
    <w:rsid w:val="00D31CB2"/>
    <w:rsid w:val="00D32884"/>
    <w:rsid w:val="00D34760"/>
    <w:rsid w:val="00D3534F"/>
    <w:rsid w:val="00D35E4C"/>
    <w:rsid w:val="00D36830"/>
    <w:rsid w:val="00D369CC"/>
    <w:rsid w:val="00D379F7"/>
    <w:rsid w:val="00D4116C"/>
    <w:rsid w:val="00D41C09"/>
    <w:rsid w:val="00D423D3"/>
    <w:rsid w:val="00D43031"/>
    <w:rsid w:val="00D431DA"/>
    <w:rsid w:val="00D4343A"/>
    <w:rsid w:val="00D437F6"/>
    <w:rsid w:val="00D43AA5"/>
    <w:rsid w:val="00D43EC1"/>
    <w:rsid w:val="00D443D3"/>
    <w:rsid w:val="00D458D5"/>
    <w:rsid w:val="00D45F4D"/>
    <w:rsid w:val="00D4687C"/>
    <w:rsid w:val="00D47373"/>
    <w:rsid w:val="00D51498"/>
    <w:rsid w:val="00D5249D"/>
    <w:rsid w:val="00D52542"/>
    <w:rsid w:val="00D5324B"/>
    <w:rsid w:val="00D53D7C"/>
    <w:rsid w:val="00D54050"/>
    <w:rsid w:val="00D541B6"/>
    <w:rsid w:val="00D541DF"/>
    <w:rsid w:val="00D54313"/>
    <w:rsid w:val="00D547B5"/>
    <w:rsid w:val="00D54B82"/>
    <w:rsid w:val="00D55A09"/>
    <w:rsid w:val="00D55E66"/>
    <w:rsid w:val="00D5630B"/>
    <w:rsid w:val="00D565DA"/>
    <w:rsid w:val="00D573E1"/>
    <w:rsid w:val="00D57932"/>
    <w:rsid w:val="00D57D0F"/>
    <w:rsid w:val="00D57DB2"/>
    <w:rsid w:val="00D57F93"/>
    <w:rsid w:val="00D6020E"/>
    <w:rsid w:val="00D606A8"/>
    <w:rsid w:val="00D60826"/>
    <w:rsid w:val="00D60F6F"/>
    <w:rsid w:val="00D6140B"/>
    <w:rsid w:val="00D61C8C"/>
    <w:rsid w:val="00D62B88"/>
    <w:rsid w:val="00D62C37"/>
    <w:rsid w:val="00D6343B"/>
    <w:rsid w:val="00D63D56"/>
    <w:rsid w:val="00D640EB"/>
    <w:rsid w:val="00D643CE"/>
    <w:rsid w:val="00D64449"/>
    <w:rsid w:val="00D64B01"/>
    <w:rsid w:val="00D6506B"/>
    <w:rsid w:val="00D65731"/>
    <w:rsid w:val="00D669C8"/>
    <w:rsid w:val="00D6727C"/>
    <w:rsid w:val="00D704D5"/>
    <w:rsid w:val="00D706F6"/>
    <w:rsid w:val="00D708FA"/>
    <w:rsid w:val="00D70FEF"/>
    <w:rsid w:val="00D72106"/>
    <w:rsid w:val="00D725B5"/>
    <w:rsid w:val="00D72842"/>
    <w:rsid w:val="00D72FA1"/>
    <w:rsid w:val="00D73778"/>
    <w:rsid w:val="00D73875"/>
    <w:rsid w:val="00D73FB8"/>
    <w:rsid w:val="00D7484C"/>
    <w:rsid w:val="00D74B37"/>
    <w:rsid w:val="00D751D8"/>
    <w:rsid w:val="00D75D76"/>
    <w:rsid w:val="00D76257"/>
    <w:rsid w:val="00D76345"/>
    <w:rsid w:val="00D76C95"/>
    <w:rsid w:val="00D77505"/>
    <w:rsid w:val="00D80E4E"/>
    <w:rsid w:val="00D81716"/>
    <w:rsid w:val="00D8249A"/>
    <w:rsid w:val="00D82DAD"/>
    <w:rsid w:val="00D82FA2"/>
    <w:rsid w:val="00D836BE"/>
    <w:rsid w:val="00D83842"/>
    <w:rsid w:val="00D83FEF"/>
    <w:rsid w:val="00D844F6"/>
    <w:rsid w:val="00D8459B"/>
    <w:rsid w:val="00D856B3"/>
    <w:rsid w:val="00D85EAF"/>
    <w:rsid w:val="00D866E0"/>
    <w:rsid w:val="00D86BFC"/>
    <w:rsid w:val="00D87861"/>
    <w:rsid w:val="00D879F5"/>
    <w:rsid w:val="00D87F75"/>
    <w:rsid w:val="00D90EA0"/>
    <w:rsid w:val="00D913FF"/>
    <w:rsid w:val="00D914B3"/>
    <w:rsid w:val="00D91D89"/>
    <w:rsid w:val="00D9264B"/>
    <w:rsid w:val="00D92B55"/>
    <w:rsid w:val="00D93785"/>
    <w:rsid w:val="00D93F73"/>
    <w:rsid w:val="00D94569"/>
    <w:rsid w:val="00D9500E"/>
    <w:rsid w:val="00D95223"/>
    <w:rsid w:val="00D95302"/>
    <w:rsid w:val="00D955A1"/>
    <w:rsid w:val="00D95B8C"/>
    <w:rsid w:val="00D95EFF"/>
    <w:rsid w:val="00D96471"/>
    <w:rsid w:val="00D971A6"/>
    <w:rsid w:val="00D9737E"/>
    <w:rsid w:val="00D9779C"/>
    <w:rsid w:val="00D97962"/>
    <w:rsid w:val="00D97B60"/>
    <w:rsid w:val="00D97C66"/>
    <w:rsid w:val="00DA005A"/>
    <w:rsid w:val="00DA05CC"/>
    <w:rsid w:val="00DA0B34"/>
    <w:rsid w:val="00DA109D"/>
    <w:rsid w:val="00DA238E"/>
    <w:rsid w:val="00DA24E0"/>
    <w:rsid w:val="00DA2685"/>
    <w:rsid w:val="00DA28AC"/>
    <w:rsid w:val="00DA2993"/>
    <w:rsid w:val="00DA3026"/>
    <w:rsid w:val="00DA40FA"/>
    <w:rsid w:val="00DA4507"/>
    <w:rsid w:val="00DA4E36"/>
    <w:rsid w:val="00DA5841"/>
    <w:rsid w:val="00DA68B0"/>
    <w:rsid w:val="00DB1539"/>
    <w:rsid w:val="00DB18D9"/>
    <w:rsid w:val="00DB2232"/>
    <w:rsid w:val="00DB2410"/>
    <w:rsid w:val="00DB259B"/>
    <w:rsid w:val="00DB2A73"/>
    <w:rsid w:val="00DB35D8"/>
    <w:rsid w:val="00DB3779"/>
    <w:rsid w:val="00DB3B83"/>
    <w:rsid w:val="00DB3E29"/>
    <w:rsid w:val="00DB4A3B"/>
    <w:rsid w:val="00DB5768"/>
    <w:rsid w:val="00DB5849"/>
    <w:rsid w:val="00DB5FAD"/>
    <w:rsid w:val="00DB6181"/>
    <w:rsid w:val="00DB6A4F"/>
    <w:rsid w:val="00DB760C"/>
    <w:rsid w:val="00DB76FA"/>
    <w:rsid w:val="00DB7ECF"/>
    <w:rsid w:val="00DC02ED"/>
    <w:rsid w:val="00DC23E6"/>
    <w:rsid w:val="00DC2A29"/>
    <w:rsid w:val="00DC2F6C"/>
    <w:rsid w:val="00DC3005"/>
    <w:rsid w:val="00DC42DB"/>
    <w:rsid w:val="00DC4D5C"/>
    <w:rsid w:val="00DC510B"/>
    <w:rsid w:val="00DC59C9"/>
    <w:rsid w:val="00DC5ACA"/>
    <w:rsid w:val="00DC5CD6"/>
    <w:rsid w:val="00DC668A"/>
    <w:rsid w:val="00DC6FF5"/>
    <w:rsid w:val="00DC76AE"/>
    <w:rsid w:val="00DD01EB"/>
    <w:rsid w:val="00DD0654"/>
    <w:rsid w:val="00DD093C"/>
    <w:rsid w:val="00DD12AB"/>
    <w:rsid w:val="00DD12BE"/>
    <w:rsid w:val="00DD1A3F"/>
    <w:rsid w:val="00DD1D65"/>
    <w:rsid w:val="00DD1E35"/>
    <w:rsid w:val="00DD2A43"/>
    <w:rsid w:val="00DD4683"/>
    <w:rsid w:val="00DD4A2D"/>
    <w:rsid w:val="00DD4BAF"/>
    <w:rsid w:val="00DD4D0D"/>
    <w:rsid w:val="00DD5186"/>
    <w:rsid w:val="00DD572F"/>
    <w:rsid w:val="00DD5B0F"/>
    <w:rsid w:val="00DD6B99"/>
    <w:rsid w:val="00DD6EE9"/>
    <w:rsid w:val="00DE09A7"/>
    <w:rsid w:val="00DE1991"/>
    <w:rsid w:val="00DE1AC3"/>
    <w:rsid w:val="00DE1B23"/>
    <w:rsid w:val="00DE265F"/>
    <w:rsid w:val="00DE2C8C"/>
    <w:rsid w:val="00DE32C6"/>
    <w:rsid w:val="00DE39A8"/>
    <w:rsid w:val="00DE4DAD"/>
    <w:rsid w:val="00DE5623"/>
    <w:rsid w:val="00DE5C50"/>
    <w:rsid w:val="00DE5E8B"/>
    <w:rsid w:val="00DE5FE9"/>
    <w:rsid w:val="00DE6D55"/>
    <w:rsid w:val="00DE753E"/>
    <w:rsid w:val="00DE7CC4"/>
    <w:rsid w:val="00DF0392"/>
    <w:rsid w:val="00DF0818"/>
    <w:rsid w:val="00DF122A"/>
    <w:rsid w:val="00DF1737"/>
    <w:rsid w:val="00DF1FB6"/>
    <w:rsid w:val="00DF2B91"/>
    <w:rsid w:val="00DF6B90"/>
    <w:rsid w:val="00DF6FD1"/>
    <w:rsid w:val="00DF7600"/>
    <w:rsid w:val="00E017FC"/>
    <w:rsid w:val="00E0188E"/>
    <w:rsid w:val="00E0221B"/>
    <w:rsid w:val="00E02720"/>
    <w:rsid w:val="00E03565"/>
    <w:rsid w:val="00E03CDB"/>
    <w:rsid w:val="00E041D3"/>
    <w:rsid w:val="00E054E6"/>
    <w:rsid w:val="00E05EE2"/>
    <w:rsid w:val="00E0600B"/>
    <w:rsid w:val="00E06BD4"/>
    <w:rsid w:val="00E07CC1"/>
    <w:rsid w:val="00E07E93"/>
    <w:rsid w:val="00E10B9D"/>
    <w:rsid w:val="00E10FE5"/>
    <w:rsid w:val="00E12AE3"/>
    <w:rsid w:val="00E12DC4"/>
    <w:rsid w:val="00E136E6"/>
    <w:rsid w:val="00E13A7A"/>
    <w:rsid w:val="00E13A7C"/>
    <w:rsid w:val="00E15D2E"/>
    <w:rsid w:val="00E16930"/>
    <w:rsid w:val="00E16B55"/>
    <w:rsid w:val="00E16C87"/>
    <w:rsid w:val="00E175F6"/>
    <w:rsid w:val="00E1766A"/>
    <w:rsid w:val="00E17839"/>
    <w:rsid w:val="00E202E3"/>
    <w:rsid w:val="00E20958"/>
    <w:rsid w:val="00E21EDC"/>
    <w:rsid w:val="00E2258E"/>
    <w:rsid w:val="00E22C93"/>
    <w:rsid w:val="00E25429"/>
    <w:rsid w:val="00E25744"/>
    <w:rsid w:val="00E25FA8"/>
    <w:rsid w:val="00E26303"/>
    <w:rsid w:val="00E27719"/>
    <w:rsid w:val="00E2797F"/>
    <w:rsid w:val="00E307C0"/>
    <w:rsid w:val="00E30A73"/>
    <w:rsid w:val="00E30C86"/>
    <w:rsid w:val="00E30EC4"/>
    <w:rsid w:val="00E31C44"/>
    <w:rsid w:val="00E325C6"/>
    <w:rsid w:val="00E32A27"/>
    <w:rsid w:val="00E32B02"/>
    <w:rsid w:val="00E3302B"/>
    <w:rsid w:val="00E3332D"/>
    <w:rsid w:val="00E34370"/>
    <w:rsid w:val="00E348A2"/>
    <w:rsid w:val="00E34E81"/>
    <w:rsid w:val="00E35115"/>
    <w:rsid w:val="00E355C7"/>
    <w:rsid w:val="00E35E03"/>
    <w:rsid w:val="00E363B8"/>
    <w:rsid w:val="00E36C4C"/>
    <w:rsid w:val="00E37340"/>
    <w:rsid w:val="00E379FB"/>
    <w:rsid w:val="00E37A32"/>
    <w:rsid w:val="00E4041E"/>
    <w:rsid w:val="00E4128A"/>
    <w:rsid w:val="00E426CE"/>
    <w:rsid w:val="00E42702"/>
    <w:rsid w:val="00E42D71"/>
    <w:rsid w:val="00E42E62"/>
    <w:rsid w:val="00E43239"/>
    <w:rsid w:val="00E432FC"/>
    <w:rsid w:val="00E43D03"/>
    <w:rsid w:val="00E441B9"/>
    <w:rsid w:val="00E4554E"/>
    <w:rsid w:val="00E4602C"/>
    <w:rsid w:val="00E462CB"/>
    <w:rsid w:val="00E47921"/>
    <w:rsid w:val="00E50169"/>
    <w:rsid w:val="00E50C57"/>
    <w:rsid w:val="00E5182F"/>
    <w:rsid w:val="00E51E9B"/>
    <w:rsid w:val="00E52170"/>
    <w:rsid w:val="00E537FE"/>
    <w:rsid w:val="00E53CB5"/>
    <w:rsid w:val="00E5530E"/>
    <w:rsid w:val="00E55D70"/>
    <w:rsid w:val="00E55DE1"/>
    <w:rsid w:val="00E563C1"/>
    <w:rsid w:val="00E56D5C"/>
    <w:rsid w:val="00E57984"/>
    <w:rsid w:val="00E57B6E"/>
    <w:rsid w:val="00E600CB"/>
    <w:rsid w:val="00E60B50"/>
    <w:rsid w:val="00E60F3C"/>
    <w:rsid w:val="00E610F2"/>
    <w:rsid w:val="00E63269"/>
    <w:rsid w:val="00E63850"/>
    <w:rsid w:val="00E63CE0"/>
    <w:rsid w:val="00E6465A"/>
    <w:rsid w:val="00E64CBD"/>
    <w:rsid w:val="00E656B0"/>
    <w:rsid w:val="00E65A62"/>
    <w:rsid w:val="00E663D5"/>
    <w:rsid w:val="00E6683E"/>
    <w:rsid w:val="00E67571"/>
    <w:rsid w:val="00E676AF"/>
    <w:rsid w:val="00E679CF"/>
    <w:rsid w:val="00E67A7D"/>
    <w:rsid w:val="00E67E19"/>
    <w:rsid w:val="00E700ED"/>
    <w:rsid w:val="00E7066B"/>
    <w:rsid w:val="00E70746"/>
    <w:rsid w:val="00E709C1"/>
    <w:rsid w:val="00E71AE2"/>
    <w:rsid w:val="00E720D3"/>
    <w:rsid w:val="00E72A99"/>
    <w:rsid w:val="00E730F0"/>
    <w:rsid w:val="00E736A3"/>
    <w:rsid w:val="00E73F3C"/>
    <w:rsid w:val="00E7423A"/>
    <w:rsid w:val="00E76E64"/>
    <w:rsid w:val="00E774D0"/>
    <w:rsid w:val="00E77B19"/>
    <w:rsid w:val="00E77D86"/>
    <w:rsid w:val="00E8023E"/>
    <w:rsid w:val="00E80FE0"/>
    <w:rsid w:val="00E81080"/>
    <w:rsid w:val="00E815D9"/>
    <w:rsid w:val="00E819D0"/>
    <w:rsid w:val="00E82925"/>
    <w:rsid w:val="00E832D3"/>
    <w:rsid w:val="00E83C1E"/>
    <w:rsid w:val="00E83D89"/>
    <w:rsid w:val="00E84271"/>
    <w:rsid w:val="00E84F32"/>
    <w:rsid w:val="00E84F9D"/>
    <w:rsid w:val="00E8588B"/>
    <w:rsid w:val="00E87060"/>
    <w:rsid w:val="00E8798C"/>
    <w:rsid w:val="00E879DB"/>
    <w:rsid w:val="00E87D73"/>
    <w:rsid w:val="00E905E9"/>
    <w:rsid w:val="00E91287"/>
    <w:rsid w:val="00E922BD"/>
    <w:rsid w:val="00E926EE"/>
    <w:rsid w:val="00E92BE4"/>
    <w:rsid w:val="00E935D4"/>
    <w:rsid w:val="00E94394"/>
    <w:rsid w:val="00E943BD"/>
    <w:rsid w:val="00E948DC"/>
    <w:rsid w:val="00E95336"/>
    <w:rsid w:val="00E95AF6"/>
    <w:rsid w:val="00E960AE"/>
    <w:rsid w:val="00E962E2"/>
    <w:rsid w:val="00E96B67"/>
    <w:rsid w:val="00EA06D8"/>
    <w:rsid w:val="00EA0891"/>
    <w:rsid w:val="00EA0AD2"/>
    <w:rsid w:val="00EA0DC6"/>
    <w:rsid w:val="00EA2BB4"/>
    <w:rsid w:val="00EA31D0"/>
    <w:rsid w:val="00EA440B"/>
    <w:rsid w:val="00EA494A"/>
    <w:rsid w:val="00EA4AE4"/>
    <w:rsid w:val="00EA5325"/>
    <w:rsid w:val="00EA5399"/>
    <w:rsid w:val="00EA56D9"/>
    <w:rsid w:val="00EA5F69"/>
    <w:rsid w:val="00EA61A9"/>
    <w:rsid w:val="00EB0343"/>
    <w:rsid w:val="00EB170D"/>
    <w:rsid w:val="00EB1DDC"/>
    <w:rsid w:val="00EB2006"/>
    <w:rsid w:val="00EB202D"/>
    <w:rsid w:val="00EB2602"/>
    <w:rsid w:val="00EB2A17"/>
    <w:rsid w:val="00EB2AA9"/>
    <w:rsid w:val="00EB301A"/>
    <w:rsid w:val="00EB3720"/>
    <w:rsid w:val="00EB5351"/>
    <w:rsid w:val="00EB5759"/>
    <w:rsid w:val="00EB6293"/>
    <w:rsid w:val="00EB62FF"/>
    <w:rsid w:val="00EB67FE"/>
    <w:rsid w:val="00EB69AB"/>
    <w:rsid w:val="00EB6A51"/>
    <w:rsid w:val="00EB7523"/>
    <w:rsid w:val="00EB7B1D"/>
    <w:rsid w:val="00EC0743"/>
    <w:rsid w:val="00EC0DBA"/>
    <w:rsid w:val="00EC1749"/>
    <w:rsid w:val="00EC1D1C"/>
    <w:rsid w:val="00EC1EDD"/>
    <w:rsid w:val="00EC1FFD"/>
    <w:rsid w:val="00EC2442"/>
    <w:rsid w:val="00EC3CA7"/>
    <w:rsid w:val="00EC3D75"/>
    <w:rsid w:val="00EC45A8"/>
    <w:rsid w:val="00EC50A1"/>
    <w:rsid w:val="00EC5537"/>
    <w:rsid w:val="00EC60D9"/>
    <w:rsid w:val="00EC6548"/>
    <w:rsid w:val="00EC6B3F"/>
    <w:rsid w:val="00EC7239"/>
    <w:rsid w:val="00EC74C2"/>
    <w:rsid w:val="00EC786F"/>
    <w:rsid w:val="00ED109B"/>
    <w:rsid w:val="00ED1CF6"/>
    <w:rsid w:val="00ED1D49"/>
    <w:rsid w:val="00ED235C"/>
    <w:rsid w:val="00ED2439"/>
    <w:rsid w:val="00ED25EA"/>
    <w:rsid w:val="00ED285B"/>
    <w:rsid w:val="00ED29C1"/>
    <w:rsid w:val="00ED2F76"/>
    <w:rsid w:val="00ED34B2"/>
    <w:rsid w:val="00ED3D17"/>
    <w:rsid w:val="00ED4298"/>
    <w:rsid w:val="00ED4F6D"/>
    <w:rsid w:val="00ED782F"/>
    <w:rsid w:val="00ED7BA9"/>
    <w:rsid w:val="00EE0027"/>
    <w:rsid w:val="00EE0C94"/>
    <w:rsid w:val="00EE2079"/>
    <w:rsid w:val="00EE2AB9"/>
    <w:rsid w:val="00EE387A"/>
    <w:rsid w:val="00EE3FC4"/>
    <w:rsid w:val="00EE4902"/>
    <w:rsid w:val="00EE56CD"/>
    <w:rsid w:val="00EE5B1B"/>
    <w:rsid w:val="00EE638B"/>
    <w:rsid w:val="00EE7DAC"/>
    <w:rsid w:val="00EF1931"/>
    <w:rsid w:val="00EF20CB"/>
    <w:rsid w:val="00EF2379"/>
    <w:rsid w:val="00EF24BD"/>
    <w:rsid w:val="00EF2B04"/>
    <w:rsid w:val="00EF37E4"/>
    <w:rsid w:val="00EF452F"/>
    <w:rsid w:val="00EF4CBC"/>
    <w:rsid w:val="00EF51AD"/>
    <w:rsid w:val="00EF5E7F"/>
    <w:rsid w:val="00EF77BD"/>
    <w:rsid w:val="00EF7F49"/>
    <w:rsid w:val="00F00013"/>
    <w:rsid w:val="00F007C1"/>
    <w:rsid w:val="00F0085F"/>
    <w:rsid w:val="00F012AC"/>
    <w:rsid w:val="00F01D05"/>
    <w:rsid w:val="00F02035"/>
    <w:rsid w:val="00F029F3"/>
    <w:rsid w:val="00F02D12"/>
    <w:rsid w:val="00F042A7"/>
    <w:rsid w:val="00F04D88"/>
    <w:rsid w:val="00F05062"/>
    <w:rsid w:val="00F06517"/>
    <w:rsid w:val="00F0653D"/>
    <w:rsid w:val="00F06546"/>
    <w:rsid w:val="00F0669A"/>
    <w:rsid w:val="00F07325"/>
    <w:rsid w:val="00F07476"/>
    <w:rsid w:val="00F07CB5"/>
    <w:rsid w:val="00F10600"/>
    <w:rsid w:val="00F10B23"/>
    <w:rsid w:val="00F10CDE"/>
    <w:rsid w:val="00F11304"/>
    <w:rsid w:val="00F1133D"/>
    <w:rsid w:val="00F11821"/>
    <w:rsid w:val="00F118E5"/>
    <w:rsid w:val="00F119DC"/>
    <w:rsid w:val="00F11B9C"/>
    <w:rsid w:val="00F1381A"/>
    <w:rsid w:val="00F140B6"/>
    <w:rsid w:val="00F14588"/>
    <w:rsid w:val="00F14A8D"/>
    <w:rsid w:val="00F150F7"/>
    <w:rsid w:val="00F156E2"/>
    <w:rsid w:val="00F159F0"/>
    <w:rsid w:val="00F16B78"/>
    <w:rsid w:val="00F1705E"/>
    <w:rsid w:val="00F17541"/>
    <w:rsid w:val="00F175FF"/>
    <w:rsid w:val="00F17743"/>
    <w:rsid w:val="00F21718"/>
    <w:rsid w:val="00F21E3C"/>
    <w:rsid w:val="00F227F7"/>
    <w:rsid w:val="00F22D9C"/>
    <w:rsid w:val="00F236E2"/>
    <w:rsid w:val="00F247C8"/>
    <w:rsid w:val="00F24B9A"/>
    <w:rsid w:val="00F24CA8"/>
    <w:rsid w:val="00F24D2F"/>
    <w:rsid w:val="00F262EF"/>
    <w:rsid w:val="00F263E4"/>
    <w:rsid w:val="00F265C0"/>
    <w:rsid w:val="00F26CFA"/>
    <w:rsid w:val="00F26E62"/>
    <w:rsid w:val="00F26FAC"/>
    <w:rsid w:val="00F27118"/>
    <w:rsid w:val="00F27170"/>
    <w:rsid w:val="00F2747A"/>
    <w:rsid w:val="00F27C99"/>
    <w:rsid w:val="00F3014B"/>
    <w:rsid w:val="00F308A1"/>
    <w:rsid w:val="00F30CC9"/>
    <w:rsid w:val="00F30FD8"/>
    <w:rsid w:val="00F3111E"/>
    <w:rsid w:val="00F311F3"/>
    <w:rsid w:val="00F31B0B"/>
    <w:rsid w:val="00F3378A"/>
    <w:rsid w:val="00F33A86"/>
    <w:rsid w:val="00F33C34"/>
    <w:rsid w:val="00F33C63"/>
    <w:rsid w:val="00F3404C"/>
    <w:rsid w:val="00F3426A"/>
    <w:rsid w:val="00F342F3"/>
    <w:rsid w:val="00F353C4"/>
    <w:rsid w:val="00F35FEC"/>
    <w:rsid w:val="00F36BD2"/>
    <w:rsid w:val="00F36FAA"/>
    <w:rsid w:val="00F37354"/>
    <w:rsid w:val="00F374E0"/>
    <w:rsid w:val="00F37B09"/>
    <w:rsid w:val="00F37E0B"/>
    <w:rsid w:val="00F37EFA"/>
    <w:rsid w:val="00F40809"/>
    <w:rsid w:val="00F40AE7"/>
    <w:rsid w:val="00F41518"/>
    <w:rsid w:val="00F4233B"/>
    <w:rsid w:val="00F425EE"/>
    <w:rsid w:val="00F433D7"/>
    <w:rsid w:val="00F4376C"/>
    <w:rsid w:val="00F440FD"/>
    <w:rsid w:val="00F44810"/>
    <w:rsid w:val="00F44EB4"/>
    <w:rsid w:val="00F45235"/>
    <w:rsid w:val="00F45822"/>
    <w:rsid w:val="00F45B9D"/>
    <w:rsid w:val="00F465A2"/>
    <w:rsid w:val="00F46830"/>
    <w:rsid w:val="00F46A46"/>
    <w:rsid w:val="00F473DE"/>
    <w:rsid w:val="00F477E7"/>
    <w:rsid w:val="00F47AF9"/>
    <w:rsid w:val="00F50568"/>
    <w:rsid w:val="00F5079E"/>
    <w:rsid w:val="00F50D75"/>
    <w:rsid w:val="00F514BC"/>
    <w:rsid w:val="00F528AF"/>
    <w:rsid w:val="00F52CE2"/>
    <w:rsid w:val="00F52D29"/>
    <w:rsid w:val="00F52F91"/>
    <w:rsid w:val="00F53EC8"/>
    <w:rsid w:val="00F53F62"/>
    <w:rsid w:val="00F54795"/>
    <w:rsid w:val="00F554DD"/>
    <w:rsid w:val="00F5664B"/>
    <w:rsid w:val="00F56C93"/>
    <w:rsid w:val="00F56F6C"/>
    <w:rsid w:val="00F572F0"/>
    <w:rsid w:val="00F61287"/>
    <w:rsid w:val="00F61E06"/>
    <w:rsid w:val="00F6253A"/>
    <w:rsid w:val="00F62F0F"/>
    <w:rsid w:val="00F63812"/>
    <w:rsid w:val="00F63BD4"/>
    <w:rsid w:val="00F64E39"/>
    <w:rsid w:val="00F64F2F"/>
    <w:rsid w:val="00F65F5B"/>
    <w:rsid w:val="00F666D7"/>
    <w:rsid w:val="00F67355"/>
    <w:rsid w:val="00F67739"/>
    <w:rsid w:val="00F67885"/>
    <w:rsid w:val="00F6791E"/>
    <w:rsid w:val="00F70A1B"/>
    <w:rsid w:val="00F70AFD"/>
    <w:rsid w:val="00F714F4"/>
    <w:rsid w:val="00F7180F"/>
    <w:rsid w:val="00F71D1C"/>
    <w:rsid w:val="00F71F18"/>
    <w:rsid w:val="00F7245F"/>
    <w:rsid w:val="00F727B2"/>
    <w:rsid w:val="00F73415"/>
    <w:rsid w:val="00F73A16"/>
    <w:rsid w:val="00F74079"/>
    <w:rsid w:val="00F74525"/>
    <w:rsid w:val="00F7499E"/>
    <w:rsid w:val="00F75770"/>
    <w:rsid w:val="00F75FF3"/>
    <w:rsid w:val="00F7668F"/>
    <w:rsid w:val="00F76CA1"/>
    <w:rsid w:val="00F77F8A"/>
    <w:rsid w:val="00F8096F"/>
    <w:rsid w:val="00F809BD"/>
    <w:rsid w:val="00F80C2C"/>
    <w:rsid w:val="00F81081"/>
    <w:rsid w:val="00F818BE"/>
    <w:rsid w:val="00F81E8B"/>
    <w:rsid w:val="00F82394"/>
    <w:rsid w:val="00F82B10"/>
    <w:rsid w:val="00F82EA5"/>
    <w:rsid w:val="00F82ED6"/>
    <w:rsid w:val="00F83180"/>
    <w:rsid w:val="00F83260"/>
    <w:rsid w:val="00F83C39"/>
    <w:rsid w:val="00F843E0"/>
    <w:rsid w:val="00F846C9"/>
    <w:rsid w:val="00F84ACD"/>
    <w:rsid w:val="00F857B8"/>
    <w:rsid w:val="00F869A9"/>
    <w:rsid w:val="00F87648"/>
    <w:rsid w:val="00F90031"/>
    <w:rsid w:val="00F90C18"/>
    <w:rsid w:val="00F91BB1"/>
    <w:rsid w:val="00F91F12"/>
    <w:rsid w:val="00F92634"/>
    <w:rsid w:val="00F92A5C"/>
    <w:rsid w:val="00F92DAA"/>
    <w:rsid w:val="00F93214"/>
    <w:rsid w:val="00F9363C"/>
    <w:rsid w:val="00F93DC2"/>
    <w:rsid w:val="00F93F27"/>
    <w:rsid w:val="00F948C1"/>
    <w:rsid w:val="00F95269"/>
    <w:rsid w:val="00F9543E"/>
    <w:rsid w:val="00F96339"/>
    <w:rsid w:val="00F968DF"/>
    <w:rsid w:val="00F9726D"/>
    <w:rsid w:val="00F97E6E"/>
    <w:rsid w:val="00FA0857"/>
    <w:rsid w:val="00FA15B8"/>
    <w:rsid w:val="00FA161A"/>
    <w:rsid w:val="00FA1879"/>
    <w:rsid w:val="00FA19D6"/>
    <w:rsid w:val="00FA1FEC"/>
    <w:rsid w:val="00FA2413"/>
    <w:rsid w:val="00FA285F"/>
    <w:rsid w:val="00FA2C52"/>
    <w:rsid w:val="00FA3A24"/>
    <w:rsid w:val="00FA3FDF"/>
    <w:rsid w:val="00FA514C"/>
    <w:rsid w:val="00FA5EF0"/>
    <w:rsid w:val="00FA624D"/>
    <w:rsid w:val="00FB01DC"/>
    <w:rsid w:val="00FB1E4A"/>
    <w:rsid w:val="00FB2120"/>
    <w:rsid w:val="00FB260E"/>
    <w:rsid w:val="00FB26DE"/>
    <w:rsid w:val="00FB2B1B"/>
    <w:rsid w:val="00FB34EB"/>
    <w:rsid w:val="00FB4C44"/>
    <w:rsid w:val="00FB673D"/>
    <w:rsid w:val="00FB6F54"/>
    <w:rsid w:val="00FB7619"/>
    <w:rsid w:val="00FB7CB0"/>
    <w:rsid w:val="00FC0D7D"/>
    <w:rsid w:val="00FC13E7"/>
    <w:rsid w:val="00FC15E0"/>
    <w:rsid w:val="00FC20A6"/>
    <w:rsid w:val="00FC256B"/>
    <w:rsid w:val="00FC2727"/>
    <w:rsid w:val="00FC2B36"/>
    <w:rsid w:val="00FC38A9"/>
    <w:rsid w:val="00FC3D9F"/>
    <w:rsid w:val="00FC518B"/>
    <w:rsid w:val="00FC529A"/>
    <w:rsid w:val="00FC54DF"/>
    <w:rsid w:val="00FC5515"/>
    <w:rsid w:val="00FC570E"/>
    <w:rsid w:val="00FC5B34"/>
    <w:rsid w:val="00FC6164"/>
    <w:rsid w:val="00FC69B5"/>
    <w:rsid w:val="00FC6CFB"/>
    <w:rsid w:val="00FC7368"/>
    <w:rsid w:val="00FC7525"/>
    <w:rsid w:val="00FD04DE"/>
    <w:rsid w:val="00FD0642"/>
    <w:rsid w:val="00FD0D15"/>
    <w:rsid w:val="00FD0F06"/>
    <w:rsid w:val="00FD147D"/>
    <w:rsid w:val="00FD3146"/>
    <w:rsid w:val="00FD33EC"/>
    <w:rsid w:val="00FD3B4E"/>
    <w:rsid w:val="00FD40BD"/>
    <w:rsid w:val="00FD41E6"/>
    <w:rsid w:val="00FD4210"/>
    <w:rsid w:val="00FD4F33"/>
    <w:rsid w:val="00FD524C"/>
    <w:rsid w:val="00FD6AEF"/>
    <w:rsid w:val="00FD742C"/>
    <w:rsid w:val="00FD7C75"/>
    <w:rsid w:val="00FE1E57"/>
    <w:rsid w:val="00FE1ECB"/>
    <w:rsid w:val="00FE27D8"/>
    <w:rsid w:val="00FE2948"/>
    <w:rsid w:val="00FE2C54"/>
    <w:rsid w:val="00FE2EE9"/>
    <w:rsid w:val="00FE376F"/>
    <w:rsid w:val="00FE3D5C"/>
    <w:rsid w:val="00FE4A97"/>
    <w:rsid w:val="00FE5063"/>
    <w:rsid w:val="00FE5513"/>
    <w:rsid w:val="00FE5AD4"/>
    <w:rsid w:val="00FE7083"/>
    <w:rsid w:val="00FE7685"/>
    <w:rsid w:val="00FF075D"/>
    <w:rsid w:val="00FF09A5"/>
    <w:rsid w:val="00FF1008"/>
    <w:rsid w:val="00FF119C"/>
    <w:rsid w:val="00FF1F52"/>
    <w:rsid w:val="00FF2139"/>
    <w:rsid w:val="00FF25DE"/>
    <w:rsid w:val="00FF323B"/>
    <w:rsid w:val="00FF326E"/>
    <w:rsid w:val="00FF363F"/>
    <w:rsid w:val="00FF4007"/>
    <w:rsid w:val="00FF4307"/>
    <w:rsid w:val="00FF46D1"/>
    <w:rsid w:val="00FF5765"/>
    <w:rsid w:val="00FF5C87"/>
    <w:rsid w:val="00FF6D69"/>
    <w:rsid w:val="00FF6DA0"/>
    <w:rsid w:val="00FF7C91"/>
    <w:rsid w:val="00FF7E40"/>
    <w:rsid w:val="019E1DFF"/>
    <w:rsid w:val="01AE1201"/>
    <w:rsid w:val="01FC47C2"/>
    <w:rsid w:val="024D1295"/>
    <w:rsid w:val="025304E2"/>
    <w:rsid w:val="025A62D2"/>
    <w:rsid w:val="025E69C5"/>
    <w:rsid w:val="026D62A7"/>
    <w:rsid w:val="02AD1925"/>
    <w:rsid w:val="03724001"/>
    <w:rsid w:val="03AD14AC"/>
    <w:rsid w:val="03DA6281"/>
    <w:rsid w:val="04B239D1"/>
    <w:rsid w:val="04BB35B5"/>
    <w:rsid w:val="04C779B1"/>
    <w:rsid w:val="04E55818"/>
    <w:rsid w:val="0522259F"/>
    <w:rsid w:val="054E5680"/>
    <w:rsid w:val="05A8307D"/>
    <w:rsid w:val="060823F4"/>
    <w:rsid w:val="06A76CE7"/>
    <w:rsid w:val="06F8427D"/>
    <w:rsid w:val="07456D69"/>
    <w:rsid w:val="0749475C"/>
    <w:rsid w:val="07A47201"/>
    <w:rsid w:val="07CF03B6"/>
    <w:rsid w:val="07D50D23"/>
    <w:rsid w:val="08370800"/>
    <w:rsid w:val="085C053F"/>
    <w:rsid w:val="089B6610"/>
    <w:rsid w:val="08AF463E"/>
    <w:rsid w:val="08C051D3"/>
    <w:rsid w:val="08FE695C"/>
    <w:rsid w:val="090173C9"/>
    <w:rsid w:val="0907269C"/>
    <w:rsid w:val="0917595F"/>
    <w:rsid w:val="093B72F6"/>
    <w:rsid w:val="09671C26"/>
    <w:rsid w:val="09AB7083"/>
    <w:rsid w:val="09C0350B"/>
    <w:rsid w:val="09D07CEF"/>
    <w:rsid w:val="0A3D0D9C"/>
    <w:rsid w:val="0A494442"/>
    <w:rsid w:val="0A5A4D9D"/>
    <w:rsid w:val="0A6C7192"/>
    <w:rsid w:val="0A99432D"/>
    <w:rsid w:val="0A99446E"/>
    <w:rsid w:val="0AD36A3A"/>
    <w:rsid w:val="0ADB12FF"/>
    <w:rsid w:val="0AEE0260"/>
    <w:rsid w:val="0B0C080E"/>
    <w:rsid w:val="0B6F29D0"/>
    <w:rsid w:val="0B803EA7"/>
    <w:rsid w:val="0BC54175"/>
    <w:rsid w:val="0BF44AF2"/>
    <w:rsid w:val="0CBE0040"/>
    <w:rsid w:val="0CDA20BB"/>
    <w:rsid w:val="0CEC2743"/>
    <w:rsid w:val="0D0B504C"/>
    <w:rsid w:val="0D100CDB"/>
    <w:rsid w:val="0D457620"/>
    <w:rsid w:val="0D464F30"/>
    <w:rsid w:val="0E0A58A5"/>
    <w:rsid w:val="0E164D7E"/>
    <w:rsid w:val="0E79072C"/>
    <w:rsid w:val="0EBA07C3"/>
    <w:rsid w:val="0EBB6CBF"/>
    <w:rsid w:val="0EEF0CF3"/>
    <w:rsid w:val="0F1A2258"/>
    <w:rsid w:val="0F2A705B"/>
    <w:rsid w:val="0F580E4F"/>
    <w:rsid w:val="0FDF15BB"/>
    <w:rsid w:val="0FE42624"/>
    <w:rsid w:val="0FF8688E"/>
    <w:rsid w:val="1071693E"/>
    <w:rsid w:val="10F64F3B"/>
    <w:rsid w:val="113B4D26"/>
    <w:rsid w:val="113E01E4"/>
    <w:rsid w:val="11473094"/>
    <w:rsid w:val="11697674"/>
    <w:rsid w:val="11B36421"/>
    <w:rsid w:val="11D11470"/>
    <w:rsid w:val="11DC4F05"/>
    <w:rsid w:val="121776B4"/>
    <w:rsid w:val="131205F5"/>
    <w:rsid w:val="13724BA1"/>
    <w:rsid w:val="13827A99"/>
    <w:rsid w:val="13EF55B3"/>
    <w:rsid w:val="14125B95"/>
    <w:rsid w:val="14E652D9"/>
    <w:rsid w:val="14F04F9F"/>
    <w:rsid w:val="151F0E95"/>
    <w:rsid w:val="15430ADD"/>
    <w:rsid w:val="1547241A"/>
    <w:rsid w:val="157B273C"/>
    <w:rsid w:val="15854B55"/>
    <w:rsid w:val="15B546C1"/>
    <w:rsid w:val="16077095"/>
    <w:rsid w:val="165D56A4"/>
    <w:rsid w:val="16FB5874"/>
    <w:rsid w:val="17045205"/>
    <w:rsid w:val="17150E18"/>
    <w:rsid w:val="173425DD"/>
    <w:rsid w:val="17433F0E"/>
    <w:rsid w:val="175317FC"/>
    <w:rsid w:val="177D10DB"/>
    <w:rsid w:val="18381A88"/>
    <w:rsid w:val="18715EE8"/>
    <w:rsid w:val="188C1206"/>
    <w:rsid w:val="18946648"/>
    <w:rsid w:val="18C3123C"/>
    <w:rsid w:val="199F0084"/>
    <w:rsid w:val="19BA0914"/>
    <w:rsid w:val="19F759C5"/>
    <w:rsid w:val="1A08644B"/>
    <w:rsid w:val="1A0E2793"/>
    <w:rsid w:val="1A2D4FC7"/>
    <w:rsid w:val="1A862667"/>
    <w:rsid w:val="1A8D09D5"/>
    <w:rsid w:val="1AA2749B"/>
    <w:rsid w:val="1AF2080C"/>
    <w:rsid w:val="1B1E4D1E"/>
    <w:rsid w:val="1BCF1407"/>
    <w:rsid w:val="1C33473D"/>
    <w:rsid w:val="1C342872"/>
    <w:rsid w:val="1C3D11E4"/>
    <w:rsid w:val="1C975EF8"/>
    <w:rsid w:val="1CD85D92"/>
    <w:rsid w:val="1D1E4799"/>
    <w:rsid w:val="1D61671C"/>
    <w:rsid w:val="1D995372"/>
    <w:rsid w:val="1DAC1CBB"/>
    <w:rsid w:val="1DC32703"/>
    <w:rsid w:val="1DED494D"/>
    <w:rsid w:val="1E015B2A"/>
    <w:rsid w:val="1E047EE0"/>
    <w:rsid w:val="1E0A0719"/>
    <w:rsid w:val="1E415363"/>
    <w:rsid w:val="1E736DF0"/>
    <w:rsid w:val="1E79171E"/>
    <w:rsid w:val="1E8E154B"/>
    <w:rsid w:val="1FA31F53"/>
    <w:rsid w:val="1FBC108E"/>
    <w:rsid w:val="1FE40D82"/>
    <w:rsid w:val="20AB1AE9"/>
    <w:rsid w:val="21423DA4"/>
    <w:rsid w:val="214F4ED3"/>
    <w:rsid w:val="217B0FF3"/>
    <w:rsid w:val="2191150C"/>
    <w:rsid w:val="21FF3B99"/>
    <w:rsid w:val="221B00C7"/>
    <w:rsid w:val="222C3B9F"/>
    <w:rsid w:val="224627FE"/>
    <w:rsid w:val="22A97165"/>
    <w:rsid w:val="22B02483"/>
    <w:rsid w:val="22BB0A37"/>
    <w:rsid w:val="22D43CFA"/>
    <w:rsid w:val="22E81F00"/>
    <w:rsid w:val="230A2A82"/>
    <w:rsid w:val="232534F5"/>
    <w:rsid w:val="23325FBD"/>
    <w:rsid w:val="233B0733"/>
    <w:rsid w:val="23653A4C"/>
    <w:rsid w:val="24043035"/>
    <w:rsid w:val="2411197F"/>
    <w:rsid w:val="24A60817"/>
    <w:rsid w:val="24D95E07"/>
    <w:rsid w:val="24EE7FFD"/>
    <w:rsid w:val="25493A75"/>
    <w:rsid w:val="256472A1"/>
    <w:rsid w:val="25D24419"/>
    <w:rsid w:val="25D87738"/>
    <w:rsid w:val="25DD78A6"/>
    <w:rsid w:val="25F5652C"/>
    <w:rsid w:val="2608153A"/>
    <w:rsid w:val="26132331"/>
    <w:rsid w:val="26AF091C"/>
    <w:rsid w:val="26D436BB"/>
    <w:rsid w:val="26EE392B"/>
    <w:rsid w:val="271A67FC"/>
    <w:rsid w:val="27945C46"/>
    <w:rsid w:val="279F6B98"/>
    <w:rsid w:val="27AC65E6"/>
    <w:rsid w:val="27C22469"/>
    <w:rsid w:val="280C7338"/>
    <w:rsid w:val="281B469F"/>
    <w:rsid w:val="28457C0F"/>
    <w:rsid w:val="287E0FE7"/>
    <w:rsid w:val="288232E8"/>
    <w:rsid w:val="28D42390"/>
    <w:rsid w:val="29133524"/>
    <w:rsid w:val="291F5FBC"/>
    <w:rsid w:val="292103B9"/>
    <w:rsid w:val="29503F1D"/>
    <w:rsid w:val="295735CE"/>
    <w:rsid w:val="299761A0"/>
    <w:rsid w:val="29B74BFC"/>
    <w:rsid w:val="29CE4283"/>
    <w:rsid w:val="29CF4C69"/>
    <w:rsid w:val="2A731BAA"/>
    <w:rsid w:val="2A7A604D"/>
    <w:rsid w:val="2A960C5C"/>
    <w:rsid w:val="2AD83885"/>
    <w:rsid w:val="2AEA4144"/>
    <w:rsid w:val="2C0F09B6"/>
    <w:rsid w:val="2C244633"/>
    <w:rsid w:val="2C5E045A"/>
    <w:rsid w:val="2CA66676"/>
    <w:rsid w:val="2CC47A3D"/>
    <w:rsid w:val="2CDA11A2"/>
    <w:rsid w:val="2CED151F"/>
    <w:rsid w:val="2D200DA4"/>
    <w:rsid w:val="2D24139F"/>
    <w:rsid w:val="2D6629A2"/>
    <w:rsid w:val="2D7E359D"/>
    <w:rsid w:val="2D9F14DB"/>
    <w:rsid w:val="2E3B5AF2"/>
    <w:rsid w:val="2E4127ED"/>
    <w:rsid w:val="2E9620C9"/>
    <w:rsid w:val="2F07178F"/>
    <w:rsid w:val="2F5234DC"/>
    <w:rsid w:val="2F897C24"/>
    <w:rsid w:val="2F9B2074"/>
    <w:rsid w:val="2FB40F5F"/>
    <w:rsid w:val="2FDB53C0"/>
    <w:rsid w:val="2FE40045"/>
    <w:rsid w:val="2FF164D0"/>
    <w:rsid w:val="30283BD1"/>
    <w:rsid w:val="3071481A"/>
    <w:rsid w:val="30716877"/>
    <w:rsid w:val="309F1948"/>
    <w:rsid w:val="30B16396"/>
    <w:rsid w:val="30C06A71"/>
    <w:rsid w:val="30EA49A9"/>
    <w:rsid w:val="312126E1"/>
    <w:rsid w:val="31256B3E"/>
    <w:rsid w:val="31306293"/>
    <w:rsid w:val="31314789"/>
    <w:rsid w:val="313935D6"/>
    <w:rsid w:val="31437078"/>
    <w:rsid w:val="31CD44C7"/>
    <w:rsid w:val="31CF727B"/>
    <w:rsid w:val="31DA5AFC"/>
    <w:rsid w:val="323E2AA7"/>
    <w:rsid w:val="327416E6"/>
    <w:rsid w:val="32B774FA"/>
    <w:rsid w:val="32D805D4"/>
    <w:rsid w:val="32F350FA"/>
    <w:rsid w:val="3326296F"/>
    <w:rsid w:val="333A0BF9"/>
    <w:rsid w:val="33B2016C"/>
    <w:rsid w:val="33BA51E2"/>
    <w:rsid w:val="341723DD"/>
    <w:rsid w:val="34480D6E"/>
    <w:rsid w:val="34733ED0"/>
    <w:rsid w:val="349355E6"/>
    <w:rsid w:val="34AE4178"/>
    <w:rsid w:val="34B77DCA"/>
    <w:rsid w:val="34B92981"/>
    <w:rsid w:val="34C64318"/>
    <w:rsid w:val="34F1310E"/>
    <w:rsid w:val="35593F72"/>
    <w:rsid w:val="35A7636C"/>
    <w:rsid w:val="35BC5EA8"/>
    <w:rsid w:val="35DB6A9C"/>
    <w:rsid w:val="361D05A7"/>
    <w:rsid w:val="362B06EF"/>
    <w:rsid w:val="364C7191"/>
    <w:rsid w:val="367D2D2D"/>
    <w:rsid w:val="36907EB8"/>
    <w:rsid w:val="37862C63"/>
    <w:rsid w:val="37BA44AA"/>
    <w:rsid w:val="37F93FDA"/>
    <w:rsid w:val="38175D84"/>
    <w:rsid w:val="381841BF"/>
    <w:rsid w:val="385A1014"/>
    <w:rsid w:val="38B7303D"/>
    <w:rsid w:val="38DF2000"/>
    <w:rsid w:val="38FC3369"/>
    <w:rsid w:val="39045775"/>
    <w:rsid w:val="39984796"/>
    <w:rsid w:val="39F85854"/>
    <w:rsid w:val="3A0D6176"/>
    <w:rsid w:val="3A480F44"/>
    <w:rsid w:val="3A6F0AAF"/>
    <w:rsid w:val="3A865D79"/>
    <w:rsid w:val="3ADD0043"/>
    <w:rsid w:val="3B520754"/>
    <w:rsid w:val="3B6E5C0E"/>
    <w:rsid w:val="3B6F2EC3"/>
    <w:rsid w:val="3BAC79EB"/>
    <w:rsid w:val="3BB50910"/>
    <w:rsid w:val="3BFB1584"/>
    <w:rsid w:val="3C225478"/>
    <w:rsid w:val="3C490B20"/>
    <w:rsid w:val="3C590019"/>
    <w:rsid w:val="3C746CA1"/>
    <w:rsid w:val="3CE65D59"/>
    <w:rsid w:val="3D1370E4"/>
    <w:rsid w:val="3D530399"/>
    <w:rsid w:val="3D7B2835"/>
    <w:rsid w:val="3D913878"/>
    <w:rsid w:val="3DB64939"/>
    <w:rsid w:val="3DD5535E"/>
    <w:rsid w:val="3DDE76F3"/>
    <w:rsid w:val="3DF8285F"/>
    <w:rsid w:val="3E1C3532"/>
    <w:rsid w:val="3E5E1696"/>
    <w:rsid w:val="3E665F5C"/>
    <w:rsid w:val="3E7B45F3"/>
    <w:rsid w:val="3E963E3D"/>
    <w:rsid w:val="3EB54CBC"/>
    <w:rsid w:val="3ED870AC"/>
    <w:rsid w:val="3EFB74FC"/>
    <w:rsid w:val="3F047A9C"/>
    <w:rsid w:val="3F097571"/>
    <w:rsid w:val="3F501356"/>
    <w:rsid w:val="3FCE07D9"/>
    <w:rsid w:val="40344604"/>
    <w:rsid w:val="404E3E81"/>
    <w:rsid w:val="408F648C"/>
    <w:rsid w:val="40C87106"/>
    <w:rsid w:val="40DF47F3"/>
    <w:rsid w:val="41171FD0"/>
    <w:rsid w:val="411C15F2"/>
    <w:rsid w:val="411F0485"/>
    <w:rsid w:val="41437B1D"/>
    <w:rsid w:val="41764B14"/>
    <w:rsid w:val="417F7599"/>
    <w:rsid w:val="41DC23F4"/>
    <w:rsid w:val="425803F2"/>
    <w:rsid w:val="42B607F9"/>
    <w:rsid w:val="42B70FB1"/>
    <w:rsid w:val="4343730A"/>
    <w:rsid w:val="434900C7"/>
    <w:rsid w:val="43AD73AD"/>
    <w:rsid w:val="440A0DC7"/>
    <w:rsid w:val="44125433"/>
    <w:rsid w:val="447E1E7C"/>
    <w:rsid w:val="448E23D7"/>
    <w:rsid w:val="449D183A"/>
    <w:rsid w:val="450D31B1"/>
    <w:rsid w:val="451D1BEC"/>
    <w:rsid w:val="45415DD7"/>
    <w:rsid w:val="457271D8"/>
    <w:rsid w:val="45AF70B0"/>
    <w:rsid w:val="45B23828"/>
    <w:rsid w:val="45E227C9"/>
    <w:rsid w:val="45F70842"/>
    <w:rsid w:val="46E43F98"/>
    <w:rsid w:val="47604BAD"/>
    <w:rsid w:val="47742072"/>
    <w:rsid w:val="481B045B"/>
    <w:rsid w:val="483A50B2"/>
    <w:rsid w:val="48685133"/>
    <w:rsid w:val="48B261D3"/>
    <w:rsid w:val="48EB53FB"/>
    <w:rsid w:val="48F264D1"/>
    <w:rsid w:val="490E1195"/>
    <w:rsid w:val="49A07C2D"/>
    <w:rsid w:val="49F418B6"/>
    <w:rsid w:val="4A491FE2"/>
    <w:rsid w:val="4A657694"/>
    <w:rsid w:val="4AFD21E5"/>
    <w:rsid w:val="4B66670F"/>
    <w:rsid w:val="4BA71110"/>
    <w:rsid w:val="4BAB5E81"/>
    <w:rsid w:val="4BBD284C"/>
    <w:rsid w:val="4C0338FA"/>
    <w:rsid w:val="4CC871B7"/>
    <w:rsid w:val="4CDE0ABF"/>
    <w:rsid w:val="4D134C58"/>
    <w:rsid w:val="4D7923B0"/>
    <w:rsid w:val="4D87245D"/>
    <w:rsid w:val="4DB13816"/>
    <w:rsid w:val="4DD629C4"/>
    <w:rsid w:val="4EA358B7"/>
    <w:rsid w:val="4EEB0CE9"/>
    <w:rsid w:val="4FA724DF"/>
    <w:rsid w:val="4FE12A2F"/>
    <w:rsid w:val="50306C0B"/>
    <w:rsid w:val="50405148"/>
    <w:rsid w:val="50893361"/>
    <w:rsid w:val="50AE51FA"/>
    <w:rsid w:val="50B23F25"/>
    <w:rsid w:val="50B51B6A"/>
    <w:rsid w:val="50DA1C7A"/>
    <w:rsid w:val="50F746A5"/>
    <w:rsid w:val="512B483B"/>
    <w:rsid w:val="51502CF4"/>
    <w:rsid w:val="518B01F1"/>
    <w:rsid w:val="51C23B7F"/>
    <w:rsid w:val="52253DCF"/>
    <w:rsid w:val="52767AC9"/>
    <w:rsid w:val="527F1B0B"/>
    <w:rsid w:val="529E5C77"/>
    <w:rsid w:val="530443C4"/>
    <w:rsid w:val="532E075D"/>
    <w:rsid w:val="53761589"/>
    <w:rsid w:val="53854544"/>
    <w:rsid w:val="538C2C92"/>
    <w:rsid w:val="539A2DD8"/>
    <w:rsid w:val="53D54042"/>
    <w:rsid w:val="5413159A"/>
    <w:rsid w:val="546B248F"/>
    <w:rsid w:val="54977A6C"/>
    <w:rsid w:val="54C12A7F"/>
    <w:rsid w:val="554C597C"/>
    <w:rsid w:val="557379B2"/>
    <w:rsid w:val="559C24EB"/>
    <w:rsid w:val="559F7CB5"/>
    <w:rsid w:val="55B56238"/>
    <w:rsid w:val="55C24F74"/>
    <w:rsid w:val="561D3019"/>
    <w:rsid w:val="5751695D"/>
    <w:rsid w:val="5758472D"/>
    <w:rsid w:val="5763791E"/>
    <w:rsid w:val="576817FE"/>
    <w:rsid w:val="58014A53"/>
    <w:rsid w:val="585113D5"/>
    <w:rsid w:val="586D398C"/>
    <w:rsid w:val="589C468B"/>
    <w:rsid w:val="58E50450"/>
    <w:rsid w:val="59C32F63"/>
    <w:rsid w:val="5A2129CB"/>
    <w:rsid w:val="5A565C47"/>
    <w:rsid w:val="5A66206F"/>
    <w:rsid w:val="5A677D99"/>
    <w:rsid w:val="5AB4582B"/>
    <w:rsid w:val="5B1275BE"/>
    <w:rsid w:val="5B765EED"/>
    <w:rsid w:val="5B7F6A84"/>
    <w:rsid w:val="5B8D3163"/>
    <w:rsid w:val="5C6215E8"/>
    <w:rsid w:val="5C775AA2"/>
    <w:rsid w:val="5C79780C"/>
    <w:rsid w:val="5CCB6E93"/>
    <w:rsid w:val="5CEA71E1"/>
    <w:rsid w:val="5CF009E2"/>
    <w:rsid w:val="5D293A88"/>
    <w:rsid w:val="5D331386"/>
    <w:rsid w:val="5D3A0831"/>
    <w:rsid w:val="5D866F63"/>
    <w:rsid w:val="5DAA7FFC"/>
    <w:rsid w:val="5DB10DAB"/>
    <w:rsid w:val="5DF44112"/>
    <w:rsid w:val="5DFA6C58"/>
    <w:rsid w:val="5E51648E"/>
    <w:rsid w:val="5E5605FB"/>
    <w:rsid w:val="5E6B6242"/>
    <w:rsid w:val="5E9A4BDD"/>
    <w:rsid w:val="5E9F378F"/>
    <w:rsid w:val="5EB6301E"/>
    <w:rsid w:val="5ED665B2"/>
    <w:rsid w:val="5ED91760"/>
    <w:rsid w:val="5F2A642A"/>
    <w:rsid w:val="5F5A0004"/>
    <w:rsid w:val="5FD7C524"/>
    <w:rsid w:val="5FFF746F"/>
    <w:rsid w:val="605614DA"/>
    <w:rsid w:val="607F7202"/>
    <w:rsid w:val="60D57C07"/>
    <w:rsid w:val="60E56D83"/>
    <w:rsid w:val="60F33C27"/>
    <w:rsid w:val="61805798"/>
    <w:rsid w:val="61882AE5"/>
    <w:rsid w:val="61AD2C1C"/>
    <w:rsid w:val="61E57033"/>
    <w:rsid w:val="61F801AA"/>
    <w:rsid w:val="61FC7B92"/>
    <w:rsid w:val="6217707B"/>
    <w:rsid w:val="62790A40"/>
    <w:rsid w:val="627D0DAC"/>
    <w:rsid w:val="62A92B05"/>
    <w:rsid w:val="62F132D5"/>
    <w:rsid w:val="62F452D4"/>
    <w:rsid w:val="639844BE"/>
    <w:rsid w:val="63B04C37"/>
    <w:rsid w:val="63BF4706"/>
    <w:rsid w:val="63C94F54"/>
    <w:rsid w:val="649066B5"/>
    <w:rsid w:val="650C061A"/>
    <w:rsid w:val="651427B4"/>
    <w:rsid w:val="651F1297"/>
    <w:rsid w:val="652D11DB"/>
    <w:rsid w:val="65C007B6"/>
    <w:rsid w:val="663A16CD"/>
    <w:rsid w:val="6644277E"/>
    <w:rsid w:val="66482D0A"/>
    <w:rsid w:val="66C67885"/>
    <w:rsid w:val="678F4548"/>
    <w:rsid w:val="67E939DC"/>
    <w:rsid w:val="67F23D59"/>
    <w:rsid w:val="681208D7"/>
    <w:rsid w:val="68605AE1"/>
    <w:rsid w:val="68AF799B"/>
    <w:rsid w:val="68E209E5"/>
    <w:rsid w:val="695F50F9"/>
    <w:rsid w:val="697C3ACA"/>
    <w:rsid w:val="69ED7C61"/>
    <w:rsid w:val="69FD1B93"/>
    <w:rsid w:val="6ACA4D39"/>
    <w:rsid w:val="6ACB6806"/>
    <w:rsid w:val="6B0A5BAB"/>
    <w:rsid w:val="6B75012A"/>
    <w:rsid w:val="6B9F5404"/>
    <w:rsid w:val="6C1C70D1"/>
    <w:rsid w:val="6C461091"/>
    <w:rsid w:val="6CA56473"/>
    <w:rsid w:val="6DA236E0"/>
    <w:rsid w:val="6E496575"/>
    <w:rsid w:val="6E620D90"/>
    <w:rsid w:val="6E8533B9"/>
    <w:rsid w:val="6ED04788"/>
    <w:rsid w:val="6EDDA447"/>
    <w:rsid w:val="6EF77738"/>
    <w:rsid w:val="6F0C39B5"/>
    <w:rsid w:val="6F354AB3"/>
    <w:rsid w:val="6F7E5898"/>
    <w:rsid w:val="6F7FA184"/>
    <w:rsid w:val="6FD3468D"/>
    <w:rsid w:val="6FFB01B7"/>
    <w:rsid w:val="70542498"/>
    <w:rsid w:val="70CC2477"/>
    <w:rsid w:val="70F218B2"/>
    <w:rsid w:val="71033266"/>
    <w:rsid w:val="71305F42"/>
    <w:rsid w:val="71B045AB"/>
    <w:rsid w:val="71C30B7B"/>
    <w:rsid w:val="72161116"/>
    <w:rsid w:val="723B40EF"/>
    <w:rsid w:val="72413671"/>
    <w:rsid w:val="724201FA"/>
    <w:rsid w:val="72807EAC"/>
    <w:rsid w:val="728817EB"/>
    <w:rsid w:val="73140A40"/>
    <w:rsid w:val="73454FF1"/>
    <w:rsid w:val="734A72E9"/>
    <w:rsid w:val="73A07C9B"/>
    <w:rsid w:val="73DF1E4C"/>
    <w:rsid w:val="73EB2A1F"/>
    <w:rsid w:val="7453617E"/>
    <w:rsid w:val="747859E4"/>
    <w:rsid w:val="748E609B"/>
    <w:rsid w:val="74AC7D5E"/>
    <w:rsid w:val="74BA4A66"/>
    <w:rsid w:val="74E10216"/>
    <w:rsid w:val="74E36D90"/>
    <w:rsid w:val="74E4780E"/>
    <w:rsid w:val="74FF0B12"/>
    <w:rsid w:val="7567093F"/>
    <w:rsid w:val="759262E4"/>
    <w:rsid w:val="75CB52AA"/>
    <w:rsid w:val="75E26082"/>
    <w:rsid w:val="75F86520"/>
    <w:rsid w:val="76103112"/>
    <w:rsid w:val="76306FAD"/>
    <w:rsid w:val="76381F6B"/>
    <w:rsid w:val="76466004"/>
    <w:rsid w:val="7682648D"/>
    <w:rsid w:val="770B701A"/>
    <w:rsid w:val="77571356"/>
    <w:rsid w:val="780810C2"/>
    <w:rsid w:val="784F351A"/>
    <w:rsid w:val="786A0E1A"/>
    <w:rsid w:val="78767706"/>
    <w:rsid w:val="78A619A2"/>
    <w:rsid w:val="78EF285F"/>
    <w:rsid w:val="791A3688"/>
    <w:rsid w:val="791B0BDE"/>
    <w:rsid w:val="79520593"/>
    <w:rsid w:val="79DC0892"/>
    <w:rsid w:val="7A007F40"/>
    <w:rsid w:val="7A3C5BD1"/>
    <w:rsid w:val="7A8030B0"/>
    <w:rsid w:val="7A855C3A"/>
    <w:rsid w:val="7AB04F02"/>
    <w:rsid w:val="7AFC7B96"/>
    <w:rsid w:val="7B12035E"/>
    <w:rsid w:val="7BAF31A3"/>
    <w:rsid w:val="7BD155A9"/>
    <w:rsid w:val="7C90763F"/>
    <w:rsid w:val="7CA45F53"/>
    <w:rsid w:val="7D4E459A"/>
    <w:rsid w:val="7DC30F81"/>
    <w:rsid w:val="7DD95722"/>
    <w:rsid w:val="7EA6D8A0"/>
    <w:rsid w:val="7F325412"/>
    <w:rsid w:val="7F5E42D3"/>
    <w:rsid w:val="7F605F3F"/>
    <w:rsid w:val="7FA92774"/>
    <w:rsid w:val="7FBFCD89"/>
    <w:rsid w:val="7FD35DED"/>
    <w:rsid w:val="7FEA4089"/>
    <w:rsid w:val="7FFC64CA"/>
    <w:rsid w:val="7FFF9591"/>
    <w:rsid w:val="BF777D3A"/>
    <w:rsid w:val="DBFF96B4"/>
    <w:rsid w:val="EDFFB149"/>
    <w:rsid w:val="EE73ABA1"/>
    <w:rsid w:val="F3D33A55"/>
    <w:rsid w:val="F83DD960"/>
    <w:rsid w:val="FB3B2296"/>
    <w:rsid w:val="FBFA4B9D"/>
    <w:rsid w:val="FDDFF4C0"/>
    <w:rsid w:val="FDFD4767"/>
    <w:rsid w:val="FEF7D103"/>
    <w:rsid w:val="FFC9DC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qFormat="1" w:uiPriority="0" w:semiHidden="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37"/>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8"/>
    <w:qFormat/>
    <w:uiPriority w:val="9"/>
    <w:pPr>
      <w:keepNext/>
      <w:keepLines/>
      <w:spacing w:before="260" w:after="260" w:line="416" w:lineRule="auto"/>
      <w:outlineLvl w:val="1"/>
    </w:pPr>
    <w:rPr>
      <w:rFonts w:ascii="Cambria" w:hAnsi="Cambria"/>
      <w:b/>
      <w:bCs/>
      <w:sz w:val="32"/>
      <w:szCs w:val="32"/>
    </w:rPr>
  </w:style>
  <w:style w:type="paragraph" w:styleId="5">
    <w:name w:val="heading 3"/>
    <w:basedOn w:val="1"/>
    <w:next w:val="6"/>
    <w:link w:val="39"/>
    <w:qFormat/>
    <w:uiPriority w:val="9"/>
    <w:pPr>
      <w:keepNext/>
      <w:keepLines/>
      <w:numPr>
        <w:ilvl w:val="0"/>
        <w:numId w:val="1"/>
      </w:numPr>
      <w:spacing w:before="260" w:after="260" w:line="416" w:lineRule="auto"/>
      <w:outlineLvl w:val="2"/>
    </w:pPr>
    <w:rPr>
      <w:b/>
      <w:bCs/>
      <w:sz w:val="32"/>
      <w:szCs w:val="32"/>
    </w:rPr>
  </w:style>
  <w:style w:type="paragraph" w:styleId="6">
    <w:name w:val="heading 4"/>
    <w:basedOn w:val="1"/>
    <w:next w:val="1"/>
    <w:link w:val="40"/>
    <w:qFormat/>
    <w:uiPriority w:val="9"/>
    <w:pPr>
      <w:keepNext/>
      <w:keepLines/>
      <w:numPr>
        <w:ilvl w:val="1"/>
        <w:numId w:val="1"/>
      </w:numPr>
      <w:spacing w:line="360" w:lineRule="auto"/>
      <w:outlineLvl w:val="3"/>
    </w:pPr>
    <w:rPr>
      <w:rFonts w:ascii="Cambria" w:hAnsi="Cambria"/>
      <w:b/>
      <w:bCs/>
      <w:sz w:val="24"/>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36"/>
    <w:unhideWhenUsed/>
    <w:qFormat/>
    <w:uiPriority w:val="0"/>
    <w:pPr>
      <w:ind w:firstLine="420"/>
    </w:pPr>
    <w:rPr>
      <w:szCs w:val="20"/>
    </w:rPr>
  </w:style>
  <w:style w:type="paragraph" w:styleId="7">
    <w:name w:val="toc 7"/>
    <w:basedOn w:val="1"/>
    <w:next w:val="1"/>
    <w:unhideWhenUsed/>
    <w:qFormat/>
    <w:uiPriority w:val="39"/>
    <w:pPr>
      <w:ind w:left="1260"/>
      <w:jc w:val="left"/>
    </w:pPr>
    <w:rPr>
      <w:rFonts w:ascii="Calibri" w:hAnsi="Calibri"/>
      <w:sz w:val="18"/>
      <w:szCs w:val="18"/>
    </w:rPr>
  </w:style>
  <w:style w:type="paragraph" w:styleId="8">
    <w:name w:val="Document Map"/>
    <w:basedOn w:val="1"/>
    <w:link w:val="41"/>
    <w:unhideWhenUsed/>
    <w:qFormat/>
    <w:uiPriority w:val="99"/>
    <w:rPr>
      <w:rFonts w:ascii="宋体"/>
      <w:sz w:val="18"/>
      <w:szCs w:val="18"/>
    </w:rPr>
  </w:style>
  <w:style w:type="paragraph" w:styleId="9">
    <w:name w:val="annotation text"/>
    <w:basedOn w:val="1"/>
    <w:link w:val="42"/>
    <w:unhideWhenUsed/>
    <w:qFormat/>
    <w:uiPriority w:val="99"/>
    <w:pPr>
      <w:jc w:val="left"/>
    </w:pPr>
  </w:style>
  <w:style w:type="paragraph" w:styleId="10">
    <w:name w:val="Body Text"/>
    <w:basedOn w:val="1"/>
    <w:link w:val="43"/>
    <w:unhideWhenUsed/>
    <w:qFormat/>
    <w:uiPriority w:val="0"/>
    <w:pPr>
      <w:spacing w:line="360" w:lineRule="auto"/>
    </w:pPr>
    <w:rPr>
      <w:szCs w:val="20"/>
    </w:rPr>
  </w:style>
  <w:style w:type="paragraph" w:styleId="11">
    <w:name w:val="toc 5"/>
    <w:basedOn w:val="1"/>
    <w:next w:val="1"/>
    <w:unhideWhenUsed/>
    <w:qFormat/>
    <w:uiPriority w:val="39"/>
    <w:pPr>
      <w:ind w:left="840"/>
      <w:jc w:val="left"/>
    </w:pPr>
    <w:rPr>
      <w:rFonts w:ascii="Calibri" w:hAnsi="Calibri"/>
      <w:sz w:val="18"/>
      <w:szCs w:val="18"/>
    </w:rPr>
  </w:style>
  <w:style w:type="paragraph" w:styleId="12">
    <w:name w:val="toc 3"/>
    <w:basedOn w:val="1"/>
    <w:next w:val="1"/>
    <w:unhideWhenUsed/>
    <w:qFormat/>
    <w:uiPriority w:val="39"/>
    <w:pPr>
      <w:ind w:left="420"/>
      <w:jc w:val="left"/>
    </w:pPr>
    <w:rPr>
      <w:rFonts w:ascii="Calibri" w:hAnsi="Calibri"/>
      <w:i/>
      <w:iCs/>
      <w:sz w:val="20"/>
      <w:szCs w:val="20"/>
    </w:rPr>
  </w:style>
  <w:style w:type="paragraph" w:styleId="13">
    <w:name w:val="Plain Text"/>
    <w:basedOn w:val="1"/>
    <w:link w:val="44"/>
    <w:unhideWhenUsed/>
    <w:qFormat/>
    <w:uiPriority w:val="0"/>
    <w:rPr>
      <w:rFonts w:ascii="宋体" w:hAnsi="Courier New"/>
      <w:szCs w:val="21"/>
    </w:rPr>
  </w:style>
  <w:style w:type="paragraph" w:styleId="14">
    <w:name w:val="toc 8"/>
    <w:basedOn w:val="1"/>
    <w:next w:val="1"/>
    <w:unhideWhenUsed/>
    <w:qFormat/>
    <w:uiPriority w:val="39"/>
    <w:pPr>
      <w:ind w:left="1470"/>
      <w:jc w:val="left"/>
    </w:pPr>
    <w:rPr>
      <w:rFonts w:ascii="Calibri" w:hAnsi="Calibri"/>
      <w:sz w:val="18"/>
      <w:szCs w:val="18"/>
    </w:rPr>
  </w:style>
  <w:style w:type="paragraph" w:styleId="15">
    <w:name w:val="Date"/>
    <w:basedOn w:val="1"/>
    <w:next w:val="1"/>
    <w:link w:val="45"/>
    <w:unhideWhenUsed/>
    <w:qFormat/>
    <w:uiPriority w:val="99"/>
    <w:pPr>
      <w:ind w:left="100" w:leftChars="2500"/>
    </w:pPr>
  </w:style>
  <w:style w:type="paragraph" w:styleId="16">
    <w:name w:val="Body Text Indent 2"/>
    <w:basedOn w:val="1"/>
    <w:link w:val="46"/>
    <w:unhideWhenUsed/>
    <w:qFormat/>
    <w:uiPriority w:val="99"/>
    <w:pPr>
      <w:spacing w:after="120" w:line="480" w:lineRule="auto"/>
      <w:ind w:left="420" w:leftChars="200"/>
    </w:pPr>
  </w:style>
  <w:style w:type="paragraph" w:styleId="17">
    <w:name w:val="Balloon Text"/>
    <w:basedOn w:val="1"/>
    <w:link w:val="47"/>
    <w:unhideWhenUsed/>
    <w:qFormat/>
    <w:uiPriority w:val="99"/>
    <w:rPr>
      <w:kern w:val="0"/>
      <w:sz w:val="18"/>
      <w:szCs w:val="18"/>
    </w:rPr>
  </w:style>
  <w:style w:type="paragraph" w:styleId="18">
    <w:name w:val="footer"/>
    <w:basedOn w:val="1"/>
    <w:link w:val="48"/>
    <w:unhideWhenUsed/>
    <w:qFormat/>
    <w:uiPriority w:val="99"/>
    <w:pPr>
      <w:tabs>
        <w:tab w:val="center" w:pos="4153"/>
        <w:tab w:val="right" w:pos="8306"/>
      </w:tabs>
      <w:snapToGrid w:val="0"/>
      <w:jc w:val="left"/>
    </w:pPr>
    <w:rPr>
      <w:sz w:val="18"/>
      <w:szCs w:val="18"/>
    </w:rPr>
  </w:style>
  <w:style w:type="paragraph" w:styleId="19">
    <w:name w:val="header"/>
    <w:basedOn w:val="1"/>
    <w:link w:val="49"/>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spacing w:before="120" w:after="120"/>
      <w:jc w:val="left"/>
    </w:pPr>
    <w:rPr>
      <w:rFonts w:ascii="Calibri" w:hAnsi="Calibri"/>
      <w:b/>
      <w:bCs/>
      <w:caps/>
      <w:sz w:val="20"/>
      <w:szCs w:val="20"/>
    </w:rPr>
  </w:style>
  <w:style w:type="paragraph" w:styleId="21">
    <w:name w:val="toc 4"/>
    <w:basedOn w:val="1"/>
    <w:next w:val="1"/>
    <w:unhideWhenUsed/>
    <w:qFormat/>
    <w:uiPriority w:val="39"/>
    <w:pPr>
      <w:ind w:left="630"/>
      <w:jc w:val="left"/>
    </w:pPr>
    <w:rPr>
      <w:rFonts w:ascii="Calibri" w:hAnsi="Calibri"/>
      <w:sz w:val="18"/>
      <w:szCs w:val="18"/>
    </w:rPr>
  </w:style>
  <w:style w:type="paragraph" w:styleId="22">
    <w:name w:val="index heading"/>
    <w:basedOn w:val="1"/>
    <w:next w:val="23"/>
    <w:unhideWhenUsed/>
    <w:qFormat/>
    <w:uiPriority w:val="0"/>
    <w:rPr>
      <w:szCs w:val="20"/>
    </w:rPr>
  </w:style>
  <w:style w:type="paragraph" w:styleId="23">
    <w:name w:val="index 1"/>
    <w:basedOn w:val="1"/>
    <w:next w:val="1"/>
    <w:unhideWhenUsed/>
    <w:qFormat/>
    <w:uiPriority w:val="99"/>
  </w:style>
  <w:style w:type="paragraph" w:styleId="24">
    <w:name w:val="toc 6"/>
    <w:basedOn w:val="1"/>
    <w:next w:val="1"/>
    <w:unhideWhenUsed/>
    <w:qFormat/>
    <w:uiPriority w:val="39"/>
    <w:pPr>
      <w:ind w:left="1050"/>
      <w:jc w:val="left"/>
    </w:pPr>
    <w:rPr>
      <w:rFonts w:ascii="Calibri" w:hAnsi="Calibri"/>
      <w:sz w:val="18"/>
      <w:szCs w:val="18"/>
    </w:rPr>
  </w:style>
  <w:style w:type="paragraph" w:styleId="25">
    <w:name w:val="toc 2"/>
    <w:basedOn w:val="1"/>
    <w:next w:val="1"/>
    <w:unhideWhenUsed/>
    <w:qFormat/>
    <w:uiPriority w:val="39"/>
    <w:pPr>
      <w:ind w:left="210"/>
      <w:jc w:val="left"/>
    </w:pPr>
    <w:rPr>
      <w:rFonts w:ascii="Calibri" w:hAnsi="Calibri"/>
      <w:smallCaps/>
      <w:sz w:val="20"/>
      <w:szCs w:val="20"/>
    </w:rPr>
  </w:style>
  <w:style w:type="paragraph" w:styleId="26">
    <w:name w:val="toc 9"/>
    <w:basedOn w:val="1"/>
    <w:next w:val="1"/>
    <w:unhideWhenUsed/>
    <w:qFormat/>
    <w:uiPriority w:val="39"/>
    <w:pPr>
      <w:ind w:left="1680"/>
      <w:jc w:val="left"/>
    </w:pPr>
    <w:rPr>
      <w:rFonts w:ascii="Calibri" w:hAnsi="Calibri"/>
      <w:sz w:val="18"/>
      <w:szCs w:val="18"/>
    </w:rPr>
  </w:style>
  <w:style w:type="paragraph" w:styleId="27">
    <w:name w:val="Normal (Web)"/>
    <w:basedOn w:val="1"/>
    <w:unhideWhenUsed/>
    <w:qFormat/>
    <w:uiPriority w:val="99"/>
    <w:pPr>
      <w:widowControl/>
      <w:spacing w:before="100" w:beforeAutospacing="1" w:after="100" w:afterAutospacing="1"/>
      <w:jc w:val="left"/>
    </w:pPr>
    <w:rPr>
      <w:rFonts w:ascii="宋体" w:hAnsi="宋体"/>
      <w:color w:val="000000"/>
      <w:kern w:val="0"/>
      <w:sz w:val="24"/>
      <w:szCs w:val="24"/>
    </w:rPr>
  </w:style>
  <w:style w:type="paragraph" w:styleId="28">
    <w:name w:val="annotation subject"/>
    <w:basedOn w:val="9"/>
    <w:next w:val="9"/>
    <w:link w:val="50"/>
    <w:unhideWhenUsed/>
    <w:qFormat/>
    <w:uiPriority w:val="99"/>
    <w:rPr>
      <w:b/>
      <w:bCs/>
    </w:rPr>
  </w:style>
  <w:style w:type="table" w:styleId="30">
    <w:name w:val="Table Grid"/>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qFormat/>
    <w:uiPriority w:val="22"/>
    <w:rPr>
      <w:b/>
      <w:bCs/>
    </w:rPr>
  </w:style>
  <w:style w:type="character" w:styleId="33">
    <w:name w:val="FollowedHyperlink"/>
    <w:unhideWhenUsed/>
    <w:qFormat/>
    <w:uiPriority w:val="99"/>
    <w:rPr>
      <w:color w:val="800080"/>
      <w:u w:val="single"/>
    </w:rPr>
  </w:style>
  <w:style w:type="character" w:styleId="34">
    <w:name w:val="Hyperlink"/>
    <w:unhideWhenUsed/>
    <w:qFormat/>
    <w:uiPriority w:val="99"/>
    <w:rPr>
      <w:color w:val="0000FF"/>
      <w:u w:val="single"/>
    </w:rPr>
  </w:style>
  <w:style w:type="character" w:styleId="35">
    <w:name w:val="annotation reference"/>
    <w:unhideWhenUsed/>
    <w:qFormat/>
    <w:uiPriority w:val="99"/>
    <w:rPr>
      <w:sz w:val="21"/>
      <w:szCs w:val="21"/>
    </w:rPr>
  </w:style>
  <w:style w:type="character" w:customStyle="1" w:styleId="36">
    <w:name w:val="正文缩进 字符"/>
    <w:link w:val="2"/>
    <w:qFormat/>
    <w:locked/>
    <w:uiPriority w:val="0"/>
    <w:rPr>
      <w:kern w:val="2"/>
      <w:sz w:val="21"/>
    </w:rPr>
  </w:style>
  <w:style w:type="character" w:customStyle="1" w:styleId="37">
    <w:name w:val="标题 1 字符"/>
    <w:link w:val="3"/>
    <w:qFormat/>
    <w:uiPriority w:val="9"/>
    <w:rPr>
      <w:b/>
      <w:bCs/>
      <w:kern w:val="44"/>
      <w:sz w:val="44"/>
      <w:szCs w:val="44"/>
    </w:rPr>
  </w:style>
  <w:style w:type="character" w:customStyle="1" w:styleId="38">
    <w:name w:val="标题 2 字符"/>
    <w:link w:val="4"/>
    <w:qFormat/>
    <w:uiPriority w:val="9"/>
    <w:rPr>
      <w:rFonts w:ascii="Cambria" w:hAnsi="Cambria"/>
      <w:b/>
      <w:bCs/>
      <w:kern w:val="2"/>
      <w:sz w:val="32"/>
      <w:szCs w:val="32"/>
    </w:rPr>
  </w:style>
  <w:style w:type="character" w:customStyle="1" w:styleId="39">
    <w:name w:val="标题 3 字符"/>
    <w:link w:val="5"/>
    <w:qFormat/>
    <w:uiPriority w:val="9"/>
    <w:rPr>
      <w:b/>
      <w:bCs/>
      <w:kern w:val="2"/>
      <w:sz w:val="32"/>
      <w:szCs w:val="32"/>
    </w:rPr>
  </w:style>
  <w:style w:type="character" w:customStyle="1" w:styleId="40">
    <w:name w:val="标题 4 字符"/>
    <w:link w:val="6"/>
    <w:qFormat/>
    <w:uiPriority w:val="9"/>
    <w:rPr>
      <w:rFonts w:ascii="Cambria" w:hAnsi="Cambria"/>
      <w:b/>
      <w:bCs/>
      <w:kern w:val="2"/>
      <w:sz w:val="24"/>
      <w:szCs w:val="28"/>
    </w:rPr>
  </w:style>
  <w:style w:type="character" w:customStyle="1" w:styleId="41">
    <w:name w:val="文档结构图 字符"/>
    <w:link w:val="8"/>
    <w:semiHidden/>
    <w:qFormat/>
    <w:uiPriority w:val="99"/>
    <w:rPr>
      <w:rFonts w:ascii="宋体"/>
      <w:kern w:val="2"/>
      <w:sz w:val="18"/>
      <w:szCs w:val="18"/>
    </w:rPr>
  </w:style>
  <w:style w:type="character" w:customStyle="1" w:styleId="42">
    <w:name w:val="批注文字 字符"/>
    <w:link w:val="9"/>
    <w:qFormat/>
    <w:uiPriority w:val="99"/>
    <w:rPr>
      <w:kern w:val="2"/>
      <w:sz w:val="21"/>
      <w:szCs w:val="22"/>
    </w:rPr>
  </w:style>
  <w:style w:type="character" w:customStyle="1" w:styleId="43">
    <w:name w:val="正文文本 字符"/>
    <w:link w:val="10"/>
    <w:semiHidden/>
    <w:qFormat/>
    <w:locked/>
    <w:uiPriority w:val="0"/>
    <w:rPr>
      <w:kern w:val="2"/>
      <w:sz w:val="21"/>
    </w:rPr>
  </w:style>
  <w:style w:type="character" w:customStyle="1" w:styleId="44">
    <w:name w:val="纯文本 字符"/>
    <w:link w:val="13"/>
    <w:qFormat/>
    <w:locked/>
    <w:uiPriority w:val="0"/>
    <w:rPr>
      <w:rFonts w:ascii="宋体" w:hAnsi="Courier New" w:cs="Courier New"/>
      <w:kern w:val="2"/>
      <w:sz w:val="21"/>
      <w:szCs w:val="21"/>
    </w:rPr>
  </w:style>
  <w:style w:type="character" w:customStyle="1" w:styleId="45">
    <w:name w:val="日期 字符"/>
    <w:link w:val="15"/>
    <w:semiHidden/>
    <w:qFormat/>
    <w:uiPriority w:val="99"/>
    <w:rPr>
      <w:kern w:val="2"/>
      <w:sz w:val="21"/>
      <w:szCs w:val="22"/>
    </w:rPr>
  </w:style>
  <w:style w:type="character" w:customStyle="1" w:styleId="46">
    <w:name w:val="正文文本缩进 2 字符"/>
    <w:link w:val="16"/>
    <w:semiHidden/>
    <w:qFormat/>
    <w:uiPriority w:val="99"/>
    <w:rPr>
      <w:kern w:val="2"/>
      <w:sz w:val="21"/>
      <w:szCs w:val="22"/>
    </w:rPr>
  </w:style>
  <w:style w:type="character" w:customStyle="1" w:styleId="47">
    <w:name w:val="批注框文本 字符"/>
    <w:link w:val="17"/>
    <w:semiHidden/>
    <w:qFormat/>
    <w:uiPriority w:val="99"/>
    <w:rPr>
      <w:rFonts w:ascii="Calibri" w:hAnsi="Calibri" w:eastAsia="宋体" w:cs="Times New Roman"/>
      <w:sz w:val="18"/>
      <w:szCs w:val="18"/>
    </w:rPr>
  </w:style>
  <w:style w:type="character" w:customStyle="1" w:styleId="48">
    <w:name w:val="页脚 字符"/>
    <w:link w:val="18"/>
    <w:qFormat/>
    <w:uiPriority w:val="99"/>
    <w:rPr>
      <w:kern w:val="2"/>
      <w:sz w:val="18"/>
      <w:szCs w:val="18"/>
    </w:rPr>
  </w:style>
  <w:style w:type="character" w:customStyle="1" w:styleId="49">
    <w:name w:val="页眉 字符"/>
    <w:link w:val="19"/>
    <w:semiHidden/>
    <w:qFormat/>
    <w:uiPriority w:val="99"/>
    <w:rPr>
      <w:kern w:val="2"/>
      <w:sz w:val="18"/>
      <w:szCs w:val="18"/>
    </w:rPr>
  </w:style>
  <w:style w:type="character" w:customStyle="1" w:styleId="50">
    <w:name w:val="批注主题 字符"/>
    <w:link w:val="28"/>
    <w:semiHidden/>
    <w:qFormat/>
    <w:uiPriority w:val="99"/>
    <w:rPr>
      <w:b/>
      <w:bCs/>
    </w:rPr>
  </w:style>
  <w:style w:type="character" w:customStyle="1" w:styleId="51">
    <w:name w:val="小标1 Char"/>
    <w:link w:val="52"/>
    <w:qFormat/>
    <w:uiPriority w:val="0"/>
    <w:rPr>
      <w:b/>
      <w:sz w:val="21"/>
    </w:rPr>
  </w:style>
  <w:style w:type="paragraph" w:customStyle="1" w:styleId="52">
    <w:name w:val="小标1"/>
    <w:basedOn w:val="1"/>
    <w:link w:val="51"/>
    <w:qFormat/>
    <w:uiPriority w:val="0"/>
    <w:pPr>
      <w:widowControl/>
      <w:spacing w:line="300" w:lineRule="auto"/>
      <w:jc w:val="center"/>
    </w:pPr>
    <w:rPr>
      <w:b/>
      <w:kern w:val="0"/>
      <w:szCs w:val="20"/>
    </w:rPr>
  </w:style>
  <w:style w:type="character" w:customStyle="1" w:styleId="53">
    <w:name w:val="正文文本 Char1"/>
    <w:semiHidden/>
    <w:qFormat/>
    <w:uiPriority w:val="99"/>
    <w:rPr>
      <w:kern w:val="2"/>
      <w:sz w:val="21"/>
      <w:szCs w:val="22"/>
    </w:rPr>
  </w:style>
  <w:style w:type="character" w:customStyle="1" w:styleId="54">
    <w:name w:val="正文1 Char"/>
    <w:link w:val="55"/>
    <w:qFormat/>
    <w:uiPriority w:val="0"/>
    <w:rPr>
      <w:sz w:val="21"/>
    </w:rPr>
  </w:style>
  <w:style w:type="paragraph" w:customStyle="1" w:styleId="55">
    <w:name w:val="正文1"/>
    <w:basedOn w:val="1"/>
    <w:link w:val="54"/>
    <w:qFormat/>
    <w:uiPriority w:val="0"/>
    <w:pPr>
      <w:widowControl/>
      <w:spacing w:line="300" w:lineRule="auto"/>
      <w:jc w:val="left"/>
    </w:pPr>
    <w:rPr>
      <w:kern w:val="0"/>
      <w:szCs w:val="20"/>
    </w:rPr>
  </w:style>
  <w:style w:type="character" w:customStyle="1" w:styleId="56">
    <w:name w:val="p141"/>
    <w:qFormat/>
    <w:uiPriority w:val="0"/>
    <w:rPr>
      <w:sz w:val="21"/>
      <w:szCs w:val="21"/>
    </w:rPr>
  </w:style>
  <w:style w:type="character" w:customStyle="1" w:styleId="57">
    <w:name w:val="列表段落 字符"/>
    <w:link w:val="58"/>
    <w:qFormat/>
    <w:uiPriority w:val="34"/>
    <w:rPr>
      <w:kern w:val="2"/>
      <w:sz w:val="21"/>
      <w:szCs w:val="22"/>
    </w:rPr>
  </w:style>
  <w:style w:type="paragraph" w:styleId="58">
    <w:name w:val="List Paragraph"/>
    <w:basedOn w:val="1"/>
    <w:link w:val="57"/>
    <w:qFormat/>
    <w:uiPriority w:val="34"/>
    <w:pPr>
      <w:ind w:firstLine="420" w:firstLineChars="200"/>
    </w:pPr>
  </w:style>
  <w:style w:type="character" w:customStyle="1" w:styleId="59">
    <w:name w:val="15"/>
    <w:qFormat/>
    <w:uiPriority w:val="0"/>
  </w:style>
  <w:style w:type="character" w:customStyle="1" w:styleId="60">
    <w:name w:val="纯文本 Char"/>
    <w:qFormat/>
    <w:uiPriority w:val="0"/>
    <w:rPr>
      <w:rFonts w:ascii="宋体" w:hAnsi="Courier New" w:cs="Courier New"/>
      <w:kern w:val="2"/>
      <w:sz w:val="21"/>
      <w:szCs w:val="21"/>
    </w:rPr>
  </w:style>
  <w:style w:type="paragraph" w:customStyle="1" w:styleId="61">
    <w:name w:val="正文_0_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2">
    <w:name w:val="Table Paragraph"/>
    <w:basedOn w:val="1"/>
    <w:qFormat/>
    <w:uiPriority w:val="1"/>
    <w:pPr>
      <w:autoSpaceDE w:val="0"/>
      <w:autoSpaceDN w:val="0"/>
      <w:adjustRightInd w:val="0"/>
      <w:jc w:val="left"/>
    </w:pPr>
    <w:rPr>
      <w:rFonts w:ascii="宋体" w:cs="宋体"/>
      <w:kern w:val="0"/>
      <w:sz w:val="24"/>
      <w:szCs w:val="24"/>
    </w:rPr>
  </w:style>
  <w:style w:type="paragraph" w:customStyle="1" w:styleId="63">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64">
    <w:name w:val="p0"/>
    <w:basedOn w:val="1"/>
    <w:qFormat/>
    <w:uiPriority w:val="0"/>
    <w:pPr>
      <w:widowControl/>
      <w:jc w:val="left"/>
    </w:pPr>
    <w:rPr>
      <w:rFonts w:ascii="宋体" w:hAnsi="宋体" w:cs="宋体"/>
      <w:kern w:val="0"/>
      <w:sz w:val="24"/>
      <w:szCs w:val="24"/>
    </w:rPr>
  </w:style>
  <w:style w:type="paragraph" w:customStyle="1" w:styleId="65">
    <w:name w:val="Char Char2"/>
    <w:basedOn w:val="1"/>
    <w:qFormat/>
    <w:uiPriority w:val="0"/>
    <w:rPr>
      <w:rFonts w:ascii="宋体" w:hAnsi="宋体"/>
      <w:b/>
      <w:sz w:val="28"/>
      <w:szCs w:val="28"/>
    </w:rPr>
  </w:style>
  <w:style w:type="paragraph" w:customStyle="1" w:styleId="66">
    <w:name w:val="_Style 65"/>
    <w:semiHidden/>
    <w:qFormat/>
    <w:uiPriority w:val="99"/>
    <w:rPr>
      <w:rFonts w:ascii="Times New Roman" w:hAnsi="Times New Roman" w:eastAsia="宋体" w:cs="Times New Roman"/>
      <w:kern w:val="2"/>
      <w:sz w:val="21"/>
      <w:szCs w:val="22"/>
      <w:lang w:val="en-US" w:eastAsia="zh-CN" w:bidi="ar-SA"/>
    </w:rPr>
  </w:style>
  <w:style w:type="paragraph" w:customStyle="1" w:styleId="67">
    <w:name w:val="默认"/>
    <w:qFormat/>
    <w:uiPriority w:val="0"/>
    <w:rPr>
      <w:rFonts w:ascii="Helvetica Neue" w:hAnsi="Helvetica Neue" w:eastAsia="Helvetica Neue" w:cs="Helvetica Neue"/>
      <w:color w:val="000000"/>
      <w:sz w:val="22"/>
      <w:szCs w:val="22"/>
      <w:lang w:val="en-US" w:eastAsia="zh-CN" w:bidi="ar-SA"/>
    </w:rPr>
  </w:style>
  <w:style w:type="paragraph" w:customStyle="1" w:styleId="68">
    <w:name w:val="正文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9">
    <w:name w:val="大标题"/>
    <w:next w:val="1"/>
    <w:qFormat/>
    <w:uiPriority w:val="0"/>
    <w:pPr>
      <w:keepNext/>
    </w:pPr>
    <w:rPr>
      <w:rFonts w:hint="eastAsia" w:ascii="Arial Unicode MS" w:hAnsi="Arial Unicode MS" w:eastAsia="Helvetica Neue" w:cs="Arial Unicode MS"/>
      <w:b/>
      <w:bCs/>
      <w:color w:val="000000"/>
      <w:sz w:val="60"/>
      <w:szCs w:val="60"/>
      <w:lang w:val="zh-CN" w:eastAsia="zh-CN" w:bidi="ar-SA"/>
    </w:rPr>
  </w:style>
  <w:style w:type="paragraph" w:customStyle="1" w:styleId="70">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71">
    <w:name w:val="Table Normal"/>
    <w:semiHidden/>
    <w:qFormat/>
    <w:uiPriority w:val="2"/>
    <w:pPr>
      <w:widowControl w:val="0"/>
      <w:autoSpaceDE w:val="0"/>
      <w:autoSpaceDN w:val="0"/>
    </w:pPr>
    <w:rPr>
      <w:rFonts w:eastAsia="Times New Roman"/>
      <w:sz w:val="22"/>
      <w:lang w:eastAsia="en-US"/>
    </w:rPr>
    <w:tblPr>
      <w:tblCellMar>
        <w:top w:w="0" w:type="dxa"/>
        <w:left w:w="0" w:type="dxa"/>
        <w:bottom w:w="0" w:type="dxa"/>
        <w:right w:w="0" w:type="dxa"/>
      </w:tblCellMar>
    </w:tblPr>
  </w:style>
  <w:style w:type="paragraph" w:customStyle="1" w:styleId="72">
    <w:name w:val="正文_9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73">
    <w:name w:val="Normal_19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74">
    <w:name w:val="_Style 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5">
    <w:name w:val="彩色列表 - 强调文字颜色 11"/>
    <w:basedOn w:val="1"/>
    <w:qFormat/>
    <w:uiPriority w:val="0"/>
    <w:pPr>
      <w:ind w:firstLine="420" w:firstLineChars="200"/>
    </w:pPr>
  </w:style>
  <w:style w:type="paragraph" w:customStyle="1" w:styleId="76">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77">
    <w:name w:val="_Style 84"/>
    <w:basedOn w:val="1"/>
    <w:next w:val="58"/>
    <w:qFormat/>
    <w:uiPriority w:val="34"/>
    <w:pPr>
      <w:ind w:firstLine="420" w:firstLineChars="200"/>
    </w:pPr>
  </w:style>
  <w:style w:type="paragraph" w:customStyle="1" w:styleId="78">
    <w:name w:val="列出段落1"/>
    <w:basedOn w:val="1"/>
    <w:qFormat/>
    <w:uiPriority w:val="0"/>
    <w:pPr>
      <w:ind w:firstLine="420" w:firstLineChars="200"/>
    </w:pPr>
    <w:rPr>
      <w:rFonts w:hint="eastAsia" w:ascii="Calibri" w:hAnsi="Calibri"/>
    </w:rPr>
  </w:style>
  <w:style w:type="paragraph" w:customStyle="1" w:styleId="79">
    <w:name w:val="BodyText1I"/>
    <w:basedOn w:val="80"/>
    <w:qFormat/>
    <w:uiPriority w:val="99"/>
    <w:pPr>
      <w:ind w:firstLine="420" w:firstLineChars="100"/>
    </w:pPr>
  </w:style>
  <w:style w:type="paragraph" w:customStyle="1" w:styleId="80">
    <w:name w:val="BodyText"/>
    <w:basedOn w:val="1"/>
    <w:qFormat/>
    <w:uiPriority w:val="99"/>
    <w:pPr>
      <w:spacing w:after="120"/>
    </w:pPr>
  </w:style>
  <w:style w:type="paragraph" w:customStyle="1" w:styleId="81">
    <w:name w:val="Revision"/>
    <w:hidden/>
    <w:semiHidden/>
    <w:qFormat/>
    <w:uiPriority w:val="99"/>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41"/>
    <customShpInfo spid="_x0000_s1043"/>
    <customShpInfo spid="_x0000_s1044"/>
    <customShpInfo spid="_x0000_s2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160</Pages>
  <Words>95168</Words>
  <Characters>102800</Characters>
  <Lines>838</Lines>
  <Paragraphs>235</Paragraphs>
  <TotalTime>7</TotalTime>
  <ScaleCrop>false</ScaleCrop>
  <LinksUpToDate>false</LinksUpToDate>
  <CharactersWithSpaces>110788</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2022-02-24T02:52:00Z</dcterms:created>
  <dc:creator>黄志峰</dc:creator>
  <cp:lastModifiedBy>田工</cp:lastModifiedBy>
  <cp:lastPrinted>2022-01-19T08:43:00Z</cp:lastPrinted>
  <dcterms:modified xsi:type="dcterms:W3CDTF">2022-05-10T07:24:55Z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CEA9FAA7E0A14F03833105A18702BD49</vt:lpwstr>
  </property>
  <property fmtid="{D5CDD505-2E9C-101B-9397-08002B2CF9AE}" pid="4" name="commondata">
    <vt:lpwstr>eyJoZGlkIjoiNzViMzU1MDAwYmI4NmU4NmRlZGI0Nzc4ZjUyNmUzMmYifQ==</vt:lpwstr>
  </property>
</Properties>
</file>