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480" w:lineRule="exact"/>
        <w:ind w:firstLine="883" w:firstLineChars="200"/>
        <w:jc w:val="center"/>
        <w:rPr>
          <w:rFonts w:hint="eastAsia" w:asciiTheme="minorEastAsia" w:hAnsiTheme="minorEastAsia" w:eastAsiaTheme="minorEastAsia"/>
          <w:b/>
          <w:bCs/>
          <w:sz w:val="44"/>
          <w:szCs w:val="44"/>
          <w:lang w:val="en-US" w:eastAsia="zh-CN"/>
        </w:rPr>
      </w:pPr>
      <w:r>
        <w:rPr>
          <w:rFonts w:hint="eastAsia" w:asciiTheme="minorEastAsia" w:hAnsiTheme="minorEastAsia"/>
          <w:b/>
          <w:bCs/>
          <w:sz w:val="44"/>
          <w:szCs w:val="44"/>
          <w:lang w:val="en-US" w:eastAsia="zh-CN"/>
        </w:rPr>
        <w:t>电影票采购项目评分标准</w:t>
      </w:r>
    </w:p>
    <w:p>
      <w:pPr>
        <w:spacing w:afterLines="50" w:line="480" w:lineRule="exact"/>
        <w:ind w:firstLine="480" w:firstLineChars="200"/>
        <w:rPr>
          <w:rFonts w:asciiTheme="minorEastAsia" w:hAnsiTheme="minorEastAsia"/>
          <w:sz w:val="24"/>
          <w:szCs w:val="32"/>
        </w:rPr>
      </w:pPr>
      <w:r>
        <w:rPr>
          <w:rFonts w:hint="eastAsia" w:asciiTheme="minorEastAsia" w:hAnsiTheme="minorEastAsia"/>
          <w:sz w:val="24"/>
          <w:szCs w:val="32"/>
        </w:rPr>
        <w:t>本</w:t>
      </w:r>
      <w:r>
        <w:rPr>
          <w:rFonts w:hint="eastAsia" w:asciiTheme="minorEastAsia" w:hAnsiTheme="minorEastAsia"/>
          <w:sz w:val="24"/>
          <w:szCs w:val="32"/>
          <w:lang w:eastAsia="zh-CN"/>
        </w:rPr>
        <w:t>项目</w:t>
      </w:r>
      <w:r>
        <w:rPr>
          <w:rFonts w:hint="eastAsia" w:asciiTheme="minorEastAsia" w:hAnsiTheme="minorEastAsia"/>
          <w:sz w:val="24"/>
          <w:szCs w:val="32"/>
        </w:rPr>
        <w:t>选择采用综合评分法，按技术、商务和价格三部份分别打分的方式进行评分。三项总分为100分，其中</w:t>
      </w:r>
      <w:r>
        <w:rPr>
          <w:rFonts w:hint="eastAsia" w:asciiTheme="minorEastAsia" w:hAnsiTheme="minorEastAsia"/>
          <w:b/>
          <w:sz w:val="24"/>
          <w:szCs w:val="32"/>
        </w:rPr>
        <w:t>价格得分占35分，商务得分占25分，技术得分占40分</w:t>
      </w:r>
      <w:r>
        <w:rPr>
          <w:rFonts w:hint="eastAsia" w:asciiTheme="minorEastAsia" w:hAnsiTheme="minorEastAsia"/>
          <w:sz w:val="24"/>
          <w:szCs w:val="32"/>
        </w:rPr>
        <w:t>，以总得分最高的作为</w:t>
      </w:r>
      <w:r>
        <w:rPr>
          <w:rFonts w:hint="eastAsia" w:asciiTheme="minorEastAsia" w:hAnsiTheme="minorEastAsia"/>
          <w:sz w:val="24"/>
          <w:szCs w:val="32"/>
          <w:lang w:eastAsia="zh-CN"/>
        </w:rPr>
        <w:t>成交候选供应商</w:t>
      </w:r>
      <w:r>
        <w:rPr>
          <w:rFonts w:hint="eastAsia" w:asciiTheme="minorEastAsia" w:hAnsiTheme="minorEastAsia"/>
          <w:sz w:val="24"/>
          <w:szCs w:val="32"/>
        </w:rPr>
        <w:t>。</w:t>
      </w:r>
    </w:p>
    <w:p>
      <w:pPr>
        <w:widowControl/>
        <w:spacing w:line="520" w:lineRule="exact"/>
        <w:ind w:firstLine="422" w:firstLineChars="150"/>
        <w:jc w:val="left"/>
        <w:rPr>
          <w:rFonts w:ascii="仿宋" w:hAnsi="仿宋" w:eastAsia="仿宋"/>
          <w:b/>
          <w:sz w:val="28"/>
          <w:szCs w:val="21"/>
        </w:rPr>
      </w:pPr>
      <w:r>
        <w:rPr>
          <w:rFonts w:hint="eastAsia" w:ascii="仿宋" w:hAnsi="仿宋" w:eastAsia="仿宋"/>
          <w:b/>
          <w:sz w:val="28"/>
          <w:szCs w:val="21"/>
        </w:rPr>
        <w:t>一、价格分（</w:t>
      </w:r>
      <w:r>
        <w:rPr>
          <w:rFonts w:hint="eastAsia" w:ascii="仿宋" w:hAnsi="仿宋" w:eastAsia="仿宋"/>
          <w:b/>
          <w:sz w:val="28"/>
          <w:szCs w:val="21"/>
          <w:lang w:val="en-US" w:eastAsia="zh-CN"/>
        </w:rPr>
        <w:t>40</w:t>
      </w:r>
      <w:r>
        <w:rPr>
          <w:rFonts w:hint="eastAsia" w:ascii="仿宋" w:hAnsi="仿宋" w:eastAsia="仿宋"/>
          <w:b/>
          <w:sz w:val="28"/>
          <w:szCs w:val="21"/>
        </w:rPr>
        <w:t>分）</w:t>
      </w:r>
    </w:p>
    <w:tbl>
      <w:tblPr>
        <w:tblStyle w:val="9"/>
        <w:tblW w:w="9291" w:type="dxa"/>
        <w:jc w:val="center"/>
        <w:tblLayout w:type="fixed"/>
        <w:tblCellMar>
          <w:top w:w="0" w:type="dxa"/>
          <w:left w:w="0" w:type="dxa"/>
          <w:bottom w:w="0" w:type="dxa"/>
          <w:right w:w="0" w:type="dxa"/>
        </w:tblCellMar>
      </w:tblPr>
      <w:tblGrid>
        <w:gridCol w:w="997"/>
        <w:gridCol w:w="1065"/>
        <w:gridCol w:w="1034"/>
        <w:gridCol w:w="6195"/>
      </w:tblGrid>
      <w:tr>
        <w:tblPrEx>
          <w:tblCellMar>
            <w:top w:w="0" w:type="dxa"/>
            <w:left w:w="0" w:type="dxa"/>
            <w:bottom w:w="0" w:type="dxa"/>
            <w:right w:w="0" w:type="dxa"/>
          </w:tblCellMar>
        </w:tblPrEx>
        <w:trPr>
          <w:trHeight w:val="538" w:hRule="atLeast"/>
          <w:jc w:val="center"/>
        </w:trPr>
        <w:tc>
          <w:tcPr>
            <w:tcW w:w="997" w:type="dxa"/>
            <w:tcBorders>
              <w:top w:val="single" w:color="000000" w:sz="4" w:space="0"/>
              <w:left w:val="single" w:color="000000" w:sz="4" w:space="0"/>
              <w:bottom w:val="single" w:color="000000" w:sz="4" w:space="0"/>
              <w:right w:val="single" w:color="000000" w:sz="4" w:space="0"/>
            </w:tcBorders>
            <w:vAlign w:val="center"/>
          </w:tcPr>
          <w:p>
            <w:pPr>
              <w:spacing w:afterLines="50" w:line="480" w:lineRule="exact"/>
              <w:jc w:val="center"/>
              <w:rPr>
                <w:rFonts w:hint="eastAsia" w:asciiTheme="minorEastAsia" w:hAnsiTheme="minorEastAsia"/>
                <w:sz w:val="24"/>
                <w:szCs w:val="32"/>
              </w:rPr>
            </w:pPr>
            <w:r>
              <w:rPr>
                <w:rFonts w:hint="eastAsia" w:asciiTheme="minorEastAsia" w:hAnsiTheme="minorEastAsia"/>
                <w:sz w:val="24"/>
                <w:szCs w:val="32"/>
              </w:rPr>
              <w:t>序号</w:t>
            </w:r>
          </w:p>
        </w:tc>
        <w:tc>
          <w:tcPr>
            <w:tcW w:w="1065" w:type="dxa"/>
            <w:tcBorders>
              <w:top w:val="single" w:color="000000" w:sz="4" w:space="0"/>
              <w:left w:val="single" w:color="000000" w:sz="4" w:space="0"/>
              <w:bottom w:val="single" w:color="000000" w:sz="4" w:space="0"/>
              <w:right w:val="single" w:color="000000" w:sz="4" w:space="0"/>
            </w:tcBorders>
            <w:vAlign w:val="center"/>
          </w:tcPr>
          <w:p>
            <w:pPr>
              <w:spacing w:afterLines="50" w:line="480" w:lineRule="exact"/>
              <w:jc w:val="center"/>
              <w:rPr>
                <w:rFonts w:hint="eastAsia" w:asciiTheme="minorEastAsia" w:hAnsiTheme="minorEastAsia"/>
                <w:sz w:val="24"/>
                <w:szCs w:val="32"/>
              </w:rPr>
            </w:pPr>
            <w:r>
              <w:rPr>
                <w:rFonts w:hint="eastAsia" w:asciiTheme="minorEastAsia" w:hAnsiTheme="minorEastAsia"/>
                <w:sz w:val="24"/>
                <w:szCs w:val="32"/>
              </w:rPr>
              <w:t>评分内容</w:t>
            </w:r>
          </w:p>
        </w:tc>
        <w:tc>
          <w:tcPr>
            <w:tcW w:w="1034" w:type="dxa"/>
            <w:tcBorders>
              <w:top w:val="single" w:color="000000" w:sz="4" w:space="0"/>
              <w:left w:val="single" w:color="000000" w:sz="4" w:space="0"/>
              <w:bottom w:val="single" w:color="000000" w:sz="4" w:space="0"/>
              <w:right w:val="single" w:color="000000" w:sz="4" w:space="0"/>
            </w:tcBorders>
            <w:vAlign w:val="center"/>
          </w:tcPr>
          <w:p>
            <w:pPr>
              <w:spacing w:afterLines="50" w:line="480" w:lineRule="exact"/>
              <w:jc w:val="center"/>
              <w:rPr>
                <w:rFonts w:hint="eastAsia" w:asciiTheme="minorEastAsia" w:hAnsiTheme="minorEastAsia"/>
                <w:sz w:val="24"/>
                <w:szCs w:val="32"/>
              </w:rPr>
            </w:pPr>
            <w:r>
              <w:rPr>
                <w:rFonts w:hint="eastAsia" w:asciiTheme="minorEastAsia" w:hAnsiTheme="minorEastAsia"/>
                <w:sz w:val="24"/>
                <w:szCs w:val="32"/>
              </w:rPr>
              <w:t>分值</w:t>
            </w:r>
          </w:p>
        </w:tc>
        <w:tc>
          <w:tcPr>
            <w:tcW w:w="6195" w:type="dxa"/>
            <w:tcBorders>
              <w:top w:val="single" w:color="000000" w:sz="4" w:space="0"/>
              <w:left w:val="single" w:color="000000" w:sz="4" w:space="0"/>
              <w:bottom w:val="single" w:color="000000" w:sz="4" w:space="0"/>
              <w:right w:val="single" w:color="000000" w:sz="4" w:space="0"/>
            </w:tcBorders>
            <w:vAlign w:val="center"/>
          </w:tcPr>
          <w:p>
            <w:pPr>
              <w:spacing w:afterLines="50" w:line="480" w:lineRule="exact"/>
              <w:ind w:firstLine="480" w:firstLineChars="200"/>
              <w:jc w:val="center"/>
              <w:rPr>
                <w:rFonts w:hint="eastAsia" w:asciiTheme="minorEastAsia" w:hAnsiTheme="minorEastAsia"/>
                <w:sz w:val="24"/>
                <w:szCs w:val="32"/>
              </w:rPr>
            </w:pPr>
            <w:r>
              <w:rPr>
                <w:rFonts w:hint="eastAsia" w:asciiTheme="minorEastAsia" w:hAnsiTheme="minorEastAsia"/>
                <w:sz w:val="24"/>
                <w:szCs w:val="32"/>
              </w:rPr>
              <w:t>评审标准</w:t>
            </w:r>
          </w:p>
        </w:tc>
      </w:tr>
      <w:tr>
        <w:tblPrEx>
          <w:tblCellMar>
            <w:top w:w="0" w:type="dxa"/>
            <w:left w:w="0" w:type="dxa"/>
            <w:bottom w:w="0" w:type="dxa"/>
            <w:right w:w="0" w:type="dxa"/>
          </w:tblCellMar>
        </w:tblPrEx>
        <w:trPr>
          <w:trHeight w:val="1635" w:hRule="atLeast"/>
          <w:jc w:val="center"/>
        </w:trPr>
        <w:tc>
          <w:tcPr>
            <w:tcW w:w="997" w:type="dxa"/>
            <w:tcBorders>
              <w:top w:val="single" w:color="000000" w:sz="4" w:space="0"/>
              <w:left w:val="single" w:color="000000" w:sz="4" w:space="0"/>
              <w:bottom w:val="single" w:color="000000" w:sz="4" w:space="0"/>
              <w:right w:val="single" w:color="000000" w:sz="4" w:space="0"/>
            </w:tcBorders>
            <w:vAlign w:val="center"/>
          </w:tcPr>
          <w:p>
            <w:pPr>
              <w:spacing w:afterLines="50" w:line="480" w:lineRule="exact"/>
              <w:ind w:firstLine="480" w:firstLineChars="200"/>
              <w:jc w:val="center"/>
              <w:rPr>
                <w:rFonts w:hint="eastAsia" w:asciiTheme="minorEastAsia" w:hAnsiTheme="minorEastAsia"/>
                <w:sz w:val="24"/>
                <w:szCs w:val="32"/>
              </w:rPr>
            </w:pPr>
            <w:r>
              <w:rPr>
                <w:rFonts w:hint="eastAsia" w:asciiTheme="minorEastAsia" w:hAnsiTheme="minorEastAsia"/>
                <w:sz w:val="24"/>
                <w:szCs w:val="32"/>
              </w:rPr>
              <w:t>1</w:t>
            </w:r>
          </w:p>
        </w:tc>
        <w:tc>
          <w:tcPr>
            <w:tcW w:w="1065" w:type="dxa"/>
            <w:tcBorders>
              <w:top w:val="single" w:color="000000" w:sz="4" w:space="0"/>
              <w:left w:val="single" w:color="000000" w:sz="4" w:space="0"/>
              <w:bottom w:val="single" w:color="000000" w:sz="4" w:space="0"/>
              <w:right w:val="single" w:color="000000" w:sz="4" w:space="0"/>
            </w:tcBorders>
            <w:vAlign w:val="center"/>
          </w:tcPr>
          <w:p>
            <w:pPr>
              <w:spacing w:afterLines="50" w:line="480" w:lineRule="exact"/>
              <w:jc w:val="center"/>
              <w:rPr>
                <w:rFonts w:hint="eastAsia" w:asciiTheme="minorEastAsia" w:hAnsiTheme="minorEastAsia"/>
                <w:sz w:val="24"/>
                <w:szCs w:val="32"/>
              </w:rPr>
            </w:pPr>
            <w:r>
              <w:rPr>
                <w:rFonts w:hint="eastAsia" w:asciiTheme="minorEastAsia" w:hAnsiTheme="minorEastAsia"/>
                <w:sz w:val="24"/>
                <w:szCs w:val="32"/>
              </w:rPr>
              <w:t>价格分</w:t>
            </w:r>
          </w:p>
        </w:tc>
        <w:tc>
          <w:tcPr>
            <w:tcW w:w="1034" w:type="dxa"/>
            <w:tcBorders>
              <w:top w:val="single" w:color="000000" w:sz="4" w:space="0"/>
              <w:left w:val="single" w:color="000000" w:sz="4" w:space="0"/>
              <w:bottom w:val="single" w:color="000000" w:sz="4" w:space="0"/>
              <w:right w:val="single" w:color="000000" w:sz="4" w:space="0"/>
            </w:tcBorders>
            <w:vAlign w:val="center"/>
          </w:tcPr>
          <w:p>
            <w:pPr>
              <w:spacing w:afterLines="50" w:line="480" w:lineRule="exact"/>
              <w:ind w:firstLine="480" w:firstLineChars="200"/>
              <w:jc w:val="left"/>
              <w:rPr>
                <w:rFonts w:hint="default" w:asciiTheme="minorEastAsia" w:hAnsiTheme="minorEastAsia" w:eastAsiaTheme="minorEastAsia"/>
                <w:sz w:val="24"/>
                <w:szCs w:val="32"/>
                <w:lang w:val="en-US" w:eastAsia="zh-CN"/>
              </w:rPr>
            </w:pPr>
            <w:r>
              <w:rPr>
                <w:rFonts w:hint="eastAsia" w:asciiTheme="minorEastAsia" w:hAnsiTheme="minorEastAsia"/>
                <w:sz w:val="24"/>
                <w:szCs w:val="32"/>
                <w:lang w:val="en-US" w:eastAsia="zh-CN"/>
              </w:rPr>
              <w:t>35</w:t>
            </w:r>
          </w:p>
        </w:tc>
        <w:tc>
          <w:tcPr>
            <w:tcW w:w="61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Lines="50" w:line="360" w:lineRule="exact"/>
              <w:jc w:val="center"/>
              <w:textAlignment w:val="auto"/>
              <w:rPr>
                <w:rFonts w:hint="eastAsia" w:asciiTheme="minorEastAsia" w:hAnsiTheme="minorEastAsia"/>
                <w:sz w:val="24"/>
                <w:szCs w:val="32"/>
              </w:rPr>
            </w:pPr>
            <w:r>
              <w:rPr>
                <w:rFonts w:hint="eastAsia" w:asciiTheme="minorEastAsia" w:hAnsiTheme="minorEastAsia"/>
                <w:sz w:val="24"/>
                <w:szCs w:val="32"/>
              </w:rPr>
              <w:t>价格分是以满足招标文件要求且投标价格最低的投标报价为评标基准价，其他投标人的价格分则按比例算出。</w:t>
            </w:r>
          </w:p>
          <w:p>
            <w:pPr>
              <w:keepNext w:val="0"/>
              <w:keepLines w:val="0"/>
              <w:pageBreakBefore w:val="0"/>
              <w:widowControl w:val="0"/>
              <w:kinsoku/>
              <w:wordWrap/>
              <w:overflowPunct/>
              <w:topLinePunct w:val="0"/>
              <w:autoSpaceDE/>
              <w:autoSpaceDN/>
              <w:bidi w:val="0"/>
              <w:adjustRightInd/>
              <w:snapToGrid/>
              <w:spacing w:afterLines="50" w:line="360" w:lineRule="exact"/>
              <w:jc w:val="center"/>
              <w:textAlignment w:val="auto"/>
              <w:rPr>
                <w:rFonts w:hint="eastAsia" w:asciiTheme="minorEastAsia" w:hAnsiTheme="minorEastAsia"/>
                <w:sz w:val="24"/>
                <w:szCs w:val="32"/>
              </w:rPr>
            </w:pPr>
            <w:r>
              <w:rPr>
                <w:rFonts w:hint="eastAsia" w:asciiTheme="minorEastAsia" w:hAnsiTheme="minorEastAsia"/>
                <w:sz w:val="24"/>
                <w:szCs w:val="32"/>
              </w:rPr>
              <w:t>价格分＝（评标基准价/投标报价）×</w:t>
            </w:r>
            <w:r>
              <w:rPr>
                <w:rFonts w:hint="eastAsia" w:asciiTheme="minorEastAsia" w:hAnsiTheme="minorEastAsia"/>
                <w:sz w:val="24"/>
                <w:szCs w:val="32"/>
                <w:lang w:val="en-US" w:eastAsia="zh-CN"/>
              </w:rPr>
              <w:t>35</w:t>
            </w:r>
            <w:bookmarkStart w:id="0" w:name="_GoBack"/>
            <w:bookmarkEnd w:id="0"/>
          </w:p>
        </w:tc>
      </w:tr>
    </w:tbl>
    <w:p>
      <w:pPr>
        <w:ind w:firstLine="422" w:firstLineChars="150"/>
        <w:jc w:val="center"/>
        <w:rPr>
          <w:rFonts w:ascii="仿宋" w:hAnsi="仿宋" w:eastAsia="仿宋"/>
          <w:b/>
          <w:sz w:val="28"/>
          <w:szCs w:val="21"/>
        </w:rPr>
      </w:pPr>
      <w:r>
        <w:rPr>
          <w:rFonts w:hint="eastAsia" w:ascii="仿宋" w:hAnsi="仿宋" w:eastAsia="仿宋"/>
          <w:b/>
          <w:sz w:val="28"/>
          <w:szCs w:val="21"/>
        </w:rPr>
        <w:t>二、商务分 （</w:t>
      </w:r>
      <w:r>
        <w:rPr>
          <w:rFonts w:hint="eastAsia" w:ascii="仿宋" w:hAnsi="仿宋" w:eastAsia="仿宋"/>
          <w:b/>
          <w:sz w:val="28"/>
          <w:szCs w:val="21"/>
          <w:lang w:val="en-US" w:eastAsia="zh-CN"/>
        </w:rPr>
        <w:t>25</w:t>
      </w:r>
      <w:r>
        <w:rPr>
          <w:rFonts w:hint="eastAsia" w:ascii="仿宋" w:hAnsi="仿宋" w:eastAsia="仿宋"/>
          <w:b/>
          <w:sz w:val="28"/>
          <w:szCs w:val="21"/>
        </w:rPr>
        <w:t>分）</w:t>
      </w:r>
    </w:p>
    <w:tbl>
      <w:tblPr>
        <w:tblStyle w:val="9"/>
        <w:tblW w:w="93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1"/>
        <w:gridCol w:w="1363"/>
        <w:gridCol w:w="888"/>
        <w:gridCol w:w="6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blHeader/>
          <w:jc w:val="center"/>
        </w:trPr>
        <w:tc>
          <w:tcPr>
            <w:tcW w:w="981" w:type="dxa"/>
            <w:tcBorders>
              <w:top w:val="single" w:color="000000" w:sz="4" w:space="0"/>
              <w:left w:val="single" w:color="000000" w:sz="4" w:space="0"/>
              <w:bottom w:val="single" w:color="000000" w:sz="4" w:space="0"/>
              <w:right w:val="single" w:color="000000" w:sz="4" w:space="0"/>
            </w:tcBorders>
            <w:shd w:val="solid" w:color="FFFFFF" w:fill="auto"/>
            <w:vAlign w:val="center"/>
          </w:tcPr>
          <w:p>
            <w:pPr>
              <w:pStyle w:val="21"/>
              <w:overflowPunct w:val="0"/>
              <w:snapToGrid w:val="0"/>
              <w:spacing w:line="2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363" w:type="dxa"/>
            <w:tcBorders>
              <w:top w:val="single" w:color="000000" w:sz="4" w:space="0"/>
              <w:left w:val="single" w:color="000000" w:sz="4" w:space="0"/>
              <w:bottom w:val="single" w:color="000000" w:sz="4" w:space="0"/>
              <w:right w:val="single" w:color="000000" w:sz="4" w:space="0"/>
            </w:tcBorders>
            <w:shd w:val="solid" w:color="FFFFFF" w:fill="auto"/>
            <w:vAlign w:val="center"/>
          </w:tcPr>
          <w:p>
            <w:pPr>
              <w:pStyle w:val="21"/>
              <w:overflowPunct w:val="0"/>
              <w:snapToGrid w:val="0"/>
              <w:spacing w:line="2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评审项目</w:t>
            </w:r>
          </w:p>
        </w:tc>
        <w:tc>
          <w:tcPr>
            <w:tcW w:w="888" w:type="dxa"/>
            <w:tcBorders>
              <w:top w:val="single" w:color="000000" w:sz="4" w:space="0"/>
              <w:left w:val="single" w:color="000000" w:sz="4" w:space="0"/>
              <w:bottom w:val="single" w:color="000000" w:sz="4" w:space="0"/>
              <w:right w:val="single" w:color="000000" w:sz="4" w:space="0"/>
            </w:tcBorders>
            <w:shd w:val="solid" w:color="FFFFFF" w:fill="auto"/>
            <w:vAlign w:val="center"/>
          </w:tcPr>
          <w:p>
            <w:pPr>
              <w:pStyle w:val="21"/>
              <w:overflowPunct w:val="0"/>
              <w:snapToGrid w:val="0"/>
              <w:spacing w:line="2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分值</w:t>
            </w:r>
          </w:p>
        </w:tc>
        <w:tc>
          <w:tcPr>
            <w:tcW w:w="6146" w:type="dxa"/>
            <w:tcBorders>
              <w:top w:val="single" w:color="000000" w:sz="4" w:space="0"/>
              <w:left w:val="single" w:color="000000" w:sz="4" w:space="0"/>
              <w:bottom w:val="single" w:color="000000" w:sz="4" w:space="0"/>
              <w:right w:val="single" w:color="000000" w:sz="4" w:space="0"/>
            </w:tcBorders>
            <w:shd w:val="solid" w:color="FFFFFF" w:fill="auto"/>
            <w:vAlign w:val="center"/>
          </w:tcPr>
          <w:p>
            <w:pPr>
              <w:pStyle w:val="21"/>
              <w:overflowPunct w:val="0"/>
              <w:snapToGrid w:val="0"/>
              <w:spacing w:line="2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评审细则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 w:hRule="atLeast"/>
          <w:jc w:val="center"/>
        </w:trPr>
        <w:tc>
          <w:tcPr>
            <w:tcW w:w="981" w:type="dxa"/>
            <w:tcBorders>
              <w:top w:val="single" w:color="000000" w:sz="4" w:space="0"/>
              <w:left w:val="single" w:color="000000" w:sz="4" w:space="0"/>
              <w:bottom w:val="single" w:color="000000" w:sz="4" w:space="0"/>
              <w:right w:val="single" w:color="000000" w:sz="4" w:space="0"/>
            </w:tcBorders>
            <w:vAlign w:val="center"/>
          </w:tcPr>
          <w:p>
            <w:pPr>
              <w:pStyle w:val="21"/>
              <w:overflowPunct w:val="0"/>
              <w:snapToGrid w:val="0"/>
              <w:spacing w:line="2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363" w:type="dxa"/>
            <w:tcBorders>
              <w:top w:val="single" w:color="000000" w:sz="4" w:space="0"/>
              <w:left w:val="single" w:color="000000" w:sz="4" w:space="0"/>
              <w:bottom w:val="single" w:color="000000" w:sz="4" w:space="0"/>
              <w:right w:val="single" w:color="000000" w:sz="4" w:space="0"/>
            </w:tcBorders>
            <w:vAlign w:val="center"/>
          </w:tcPr>
          <w:p>
            <w:pPr>
              <w:pStyle w:val="21"/>
              <w:overflowPunct w:val="0"/>
              <w:snapToGrid w:val="0"/>
              <w:spacing w:line="2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公司资质</w:t>
            </w:r>
          </w:p>
        </w:tc>
        <w:tc>
          <w:tcPr>
            <w:tcW w:w="888" w:type="dxa"/>
            <w:tcBorders>
              <w:top w:val="single" w:color="000000" w:sz="4" w:space="0"/>
              <w:left w:val="single" w:color="000000" w:sz="4" w:space="0"/>
              <w:bottom w:val="single" w:color="000000" w:sz="4" w:space="0"/>
              <w:right w:val="single" w:color="000000" w:sz="4" w:space="0"/>
            </w:tcBorders>
            <w:vAlign w:val="center"/>
          </w:tcPr>
          <w:p>
            <w:pPr>
              <w:pStyle w:val="21"/>
              <w:overflowPunct w:val="0"/>
              <w:snapToGrid w:val="0"/>
              <w:spacing w:line="2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6146" w:type="dxa"/>
            <w:tcBorders>
              <w:top w:val="single" w:color="000000" w:sz="4" w:space="0"/>
              <w:left w:val="single" w:color="000000" w:sz="4" w:space="0"/>
              <w:bottom w:val="single" w:color="000000" w:sz="4" w:space="0"/>
              <w:right w:val="single" w:color="auto" w:sz="4" w:space="0"/>
            </w:tcBorders>
            <w:vAlign w:val="center"/>
          </w:tcPr>
          <w:p>
            <w:pPr>
              <w:pStyle w:val="21"/>
              <w:overflowPunct w:val="0"/>
              <w:snapToGrid w:val="0"/>
              <w:spacing w:line="280" w:lineRule="exact"/>
              <w:ind w:firstLine="1200" w:firstLineChars="5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成立时间的长短、规模</w:t>
            </w:r>
            <w:r>
              <w:rPr>
                <w:rFonts w:hint="eastAsia" w:asciiTheme="minorEastAsia" w:hAnsiTheme="minorEastAsia" w:eastAsiaTheme="minorEastAsia" w:cstheme="minorEastAsia"/>
                <w:sz w:val="24"/>
                <w:szCs w:val="24"/>
                <w:lang w:eastAsia="zh-CN"/>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3" w:hRule="atLeast"/>
          <w:jc w:val="center"/>
        </w:trPr>
        <w:tc>
          <w:tcPr>
            <w:tcW w:w="981" w:type="dxa"/>
            <w:tcBorders>
              <w:top w:val="single" w:color="000000" w:sz="4" w:space="0"/>
              <w:left w:val="single" w:color="000000" w:sz="4" w:space="0"/>
              <w:bottom w:val="single" w:color="000000" w:sz="4" w:space="0"/>
              <w:right w:val="single" w:color="000000" w:sz="4" w:space="0"/>
            </w:tcBorders>
            <w:vAlign w:val="center"/>
          </w:tcPr>
          <w:p>
            <w:pPr>
              <w:pStyle w:val="21"/>
              <w:overflowPunct w:val="0"/>
              <w:snapToGrid w:val="0"/>
              <w:spacing w:line="2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363" w:type="dxa"/>
            <w:tcBorders>
              <w:top w:val="single" w:color="000000" w:sz="4" w:space="0"/>
              <w:left w:val="single" w:color="000000" w:sz="4" w:space="0"/>
              <w:bottom w:val="single" w:color="000000" w:sz="4" w:space="0"/>
              <w:right w:val="single" w:color="000000" w:sz="4" w:space="0"/>
            </w:tcBorders>
            <w:vAlign w:val="center"/>
          </w:tcPr>
          <w:p>
            <w:pPr>
              <w:pStyle w:val="21"/>
              <w:overflowPunct w:val="0"/>
              <w:snapToGrid w:val="0"/>
              <w:spacing w:line="2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相关业绩</w:t>
            </w:r>
          </w:p>
        </w:tc>
        <w:tc>
          <w:tcPr>
            <w:tcW w:w="888" w:type="dxa"/>
            <w:tcBorders>
              <w:top w:val="single" w:color="000000" w:sz="4" w:space="0"/>
              <w:left w:val="single" w:color="000000" w:sz="4" w:space="0"/>
              <w:bottom w:val="single" w:color="000000" w:sz="4" w:space="0"/>
              <w:right w:val="single" w:color="000000" w:sz="4" w:space="0"/>
            </w:tcBorders>
            <w:vAlign w:val="center"/>
          </w:tcPr>
          <w:p>
            <w:pPr>
              <w:pStyle w:val="21"/>
              <w:overflowPunct w:val="0"/>
              <w:snapToGrid w:val="0"/>
              <w:spacing w:line="2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c>
          <w:tcPr>
            <w:tcW w:w="6146" w:type="dxa"/>
            <w:tcBorders>
              <w:top w:val="single" w:color="000000" w:sz="4" w:space="0"/>
              <w:left w:val="single" w:color="000000" w:sz="4" w:space="0"/>
              <w:bottom w:val="single" w:color="000000" w:sz="4" w:space="0"/>
              <w:right w:val="single" w:color="auto" w:sz="4" w:space="0"/>
            </w:tcBorders>
            <w:vAlign w:val="center"/>
          </w:tcPr>
          <w:p>
            <w:pPr>
              <w:pStyle w:val="21"/>
              <w:overflowPunct w:val="0"/>
              <w:snapToGrid w:val="0"/>
              <w:spacing w:line="2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eastAsia="zh-CN"/>
              </w:rPr>
              <w:t>同类业绩超过</w:t>
            </w:r>
            <w:r>
              <w:rPr>
                <w:rFonts w:hint="eastAsia" w:asciiTheme="minorEastAsia" w:hAnsiTheme="minorEastAsia" w:eastAsiaTheme="minorEastAsia" w:cstheme="minorEastAsia"/>
                <w:sz w:val="24"/>
                <w:szCs w:val="24"/>
                <w:lang w:val="en-US" w:eastAsia="zh-CN"/>
              </w:rPr>
              <w:t>20万的合同</w:t>
            </w:r>
            <w:r>
              <w:rPr>
                <w:rFonts w:hint="eastAsia" w:asciiTheme="minorEastAsia" w:hAnsiTheme="minorEastAsia" w:eastAsiaTheme="minorEastAsia" w:cstheme="minorEastAsia"/>
                <w:sz w:val="24"/>
                <w:szCs w:val="24"/>
              </w:rPr>
              <w:t>数量</w:t>
            </w:r>
          </w:p>
        </w:tc>
      </w:tr>
    </w:tbl>
    <w:p>
      <w:pPr>
        <w:spacing w:line="600" w:lineRule="exact"/>
        <w:ind w:firstLine="422" w:firstLineChars="150"/>
        <w:jc w:val="center"/>
        <w:rPr>
          <w:rFonts w:ascii="仿宋" w:hAnsi="仿宋" w:eastAsia="仿宋"/>
          <w:b/>
          <w:sz w:val="28"/>
          <w:szCs w:val="21"/>
        </w:rPr>
      </w:pPr>
      <w:r>
        <w:rPr>
          <w:rFonts w:hint="eastAsia" w:ascii="仿宋" w:hAnsi="仿宋" w:eastAsia="仿宋"/>
          <w:b/>
          <w:sz w:val="28"/>
          <w:szCs w:val="21"/>
        </w:rPr>
        <w:t>三、技术分（40分）</w:t>
      </w:r>
    </w:p>
    <w:tbl>
      <w:tblPr>
        <w:tblStyle w:val="9"/>
        <w:tblW w:w="94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0"/>
        <w:gridCol w:w="1785"/>
        <w:gridCol w:w="815"/>
        <w:gridCol w:w="5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tblHeader/>
          <w:jc w:val="center"/>
        </w:trPr>
        <w:tc>
          <w:tcPr>
            <w:tcW w:w="1060" w:type="dxa"/>
            <w:tcBorders>
              <w:top w:val="single" w:color="000000" w:sz="4" w:space="0"/>
              <w:left w:val="single" w:color="000000" w:sz="4" w:space="0"/>
              <w:bottom w:val="single" w:color="000000" w:sz="4" w:space="0"/>
              <w:right w:val="single" w:color="000000" w:sz="4" w:space="0"/>
            </w:tcBorders>
            <w:shd w:val="solid" w:color="FFFFFF" w:fill="auto"/>
            <w:vAlign w:val="center"/>
          </w:tcPr>
          <w:p>
            <w:pPr>
              <w:pStyle w:val="21"/>
              <w:overflowPunct w:val="0"/>
              <w:spacing w:line="220" w:lineRule="exact"/>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序号</w:t>
            </w:r>
          </w:p>
        </w:tc>
        <w:tc>
          <w:tcPr>
            <w:tcW w:w="1785" w:type="dxa"/>
            <w:tcBorders>
              <w:top w:val="single" w:color="000000" w:sz="4" w:space="0"/>
              <w:left w:val="single" w:color="000000" w:sz="4" w:space="0"/>
              <w:bottom w:val="single" w:color="000000" w:sz="4" w:space="0"/>
              <w:right w:val="single" w:color="000000" w:sz="4" w:space="0"/>
            </w:tcBorders>
            <w:shd w:val="solid" w:color="FFFFFF" w:fill="auto"/>
            <w:vAlign w:val="center"/>
          </w:tcPr>
          <w:p>
            <w:pPr>
              <w:pStyle w:val="21"/>
              <w:overflowPunct w:val="0"/>
              <w:spacing w:line="220" w:lineRule="exact"/>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评审项目</w:t>
            </w:r>
          </w:p>
        </w:tc>
        <w:tc>
          <w:tcPr>
            <w:tcW w:w="815" w:type="dxa"/>
            <w:tcBorders>
              <w:top w:val="single" w:color="000000" w:sz="4" w:space="0"/>
              <w:left w:val="single" w:color="000000" w:sz="4" w:space="0"/>
              <w:bottom w:val="single" w:color="000000" w:sz="4" w:space="0"/>
              <w:right w:val="single" w:color="000000" w:sz="4" w:space="0"/>
            </w:tcBorders>
            <w:shd w:val="solid" w:color="FFFFFF" w:fill="auto"/>
            <w:vAlign w:val="center"/>
          </w:tcPr>
          <w:p>
            <w:pPr>
              <w:pStyle w:val="21"/>
              <w:overflowPunct w:val="0"/>
              <w:spacing w:line="220" w:lineRule="exact"/>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分值</w:t>
            </w:r>
          </w:p>
        </w:tc>
        <w:tc>
          <w:tcPr>
            <w:tcW w:w="5837" w:type="dxa"/>
            <w:tcBorders>
              <w:top w:val="single" w:color="000000" w:sz="4" w:space="0"/>
              <w:left w:val="single" w:color="000000" w:sz="4" w:space="0"/>
              <w:bottom w:val="single" w:color="000000" w:sz="4" w:space="0"/>
              <w:right w:val="single" w:color="000000" w:sz="4" w:space="0"/>
            </w:tcBorders>
            <w:shd w:val="solid" w:color="FFFFFF" w:fill="auto"/>
            <w:vAlign w:val="center"/>
          </w:tcPr>
          <w:p>
            <w:pPr>
              <w:pStyle w:val="21"/>
              <w:overflowPunct w:val="0"/>
              <w:spacing w:line="220" w:lineRule="exact"/>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评审细则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5" w:hRule="atLeast"/>
          <w:jc w:val="center"/>
        </w:trPr>
        <w:tc>
          <w:tcPr>
            <w:tcW w:w="1060" w:type="dxa"/>
            <w:tcBorders>
              <w:top w:val="single" w:color="000000" w:sz="4" w:space="0"/>
              <w:left w:val="single" w:color="000000" w:sz="4" w:space="0"/>
              <w:bottom w:val="single" w:color="000000" w:sz="4" w:space="0"/>
              <w:right w:val="single" w:color="000000" w:sz="4" w:space="0"/>
            </w:tcBorders>
            <w:vAlign w:val="center"/>
          </w:tcPr>
          <w:p>
            <w:pPr>
              <w:pStyle w:val="21"/>
              <w:overflowPunct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785" w:type="dxa"/>
            <w:tcBorders>
              <w:top w:val="single" w:color="000000" w:sz="4" w:space="0"/>
              <w:left w:val="single" w:color="000000" w:sz="4" w:space="0"/>
              <w:bottom w:val="single" w:color="000000" w:sz="4" w:space="0"/>
              <w:right w:val="single" w:color="000000" w:sz="4" w:space="0"/>
            </w:tcBorders>
            <w:vAlign w:val="center"/>
          </w:tcPr>
          <w:p>
            <w:pPr>
              <w:pStyle w:val="21"/>
              <w:overflowPunct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可观看影城2D\3D数量</w:t>
            </w:r>
          </w:p>
        </w:tc>
        <w:tc>
          <w:tcPr>
            <w:tcW w:w="815" w:type="dxa"/>
            <w:tcBorders>
              <w:top w:val="single" w:color="000000" w:sz="4" w:space="0"/>
              <w:left w:val="single" w:color="000000" w:sz="4" w:space="0"/>
              <w:bottom w:val="single" w:color="000000" w:sz="4" w:space="0"/>
              <w:right w:val="single" w:color="000000" w:sz="4" w:space="0"/>
            </w:tcBorders>
            <w:vAlign w:val="center"/>
          </w:tcPr>
          <w:p>
            <w:pPr>
              <w:pStyle w:val="21"/>
              <w:overflowPunct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c>
          <w:tcPr>
            <w:tcW w:w="5837" w:type="dxa"/>
            <w:tcBorders>
              <w:top w:val="single" w:color="000000" w:sz="4" w:space="0"/>
              <w:left w:val="single" w:color="000000" w:sz="4" w:space="0"/>
              <w:bottom w:val="single" w:color="000000" w:sz="4" w:space="0"/>
              <w:right w:val="single" w:color="000000" w:sz="4" w:space="0"/>
            </w:tcBorders>
            <w:vAlign w:val="center"/>
          </w:tcPr>
          <w:p>
            <w:pPr>
              <w:pStyle w:val="21"/>
              <w:overflowPunct w:val="0"/>
              <w:snapToGrid w:val="0"/>
              <w:spacing w:line="2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支持到广州市内大部分影院观看（不少于100家），广州市内所有辖区均有固定的合作电影院；大部分影院可通兑任意场次2D、3D影票，并至少支持在中华广场电影院、万达、UA、金逸等影院观看3D影片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4" w:hRule="atLeast"/>
          <w:jc w:val="center"/>
        </w:trPr>
        <w:tc>
          <w:tcPr>
            <w:tcW w:w="1060" w:type="dxa"/>
            <w:tcBorders>
              <w:top w:val="single" w:color="000000" w:sz="4" w:space="0"/>
              <w:left w:val="single" w:color="000000" w:sz="4" w:space="0"/>
              <w:bottom w:val="single" w:color="000000" w:sz="4" w:space="0"/>
              <w:right w:val="single" w:color="000000" w:sz="4" w:space="0"/>
            </w:tcBorders>
            <w:vAlign w:val="center"/>
          </w:tcPr>
          <w:p>
            <w:pPr>
              <w:pStyle w:val="21"/>
              <w:overflowPunct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785" w:type="dxa"/>
            <w:tcBorders>
              <w:top w:val="single" w:color="000000" w:sz="4" w:space="0"/>
              <w:left w:val="single" w:color="000000" w:sz="4" w:space="0"/>
              <w:bottom w:val="single" w:color="000000" w:sz="4" w:space="0"/>
              <w:right w:val="single" w:color="000000" w:sz="4" w:space="0"/>
            </w:tcBorders>
            <w:vAlign w:val="center"/>
          </w:tcPr>
          <w:p>
            <w:pPr>
              <w:pStyle w:val="21"/>
              <w:overflowPunct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兑换方便</w:t>
            </w:r>
          </w:p>
        </w:tc>
        <w:tc>
          <w:tcPr>
            <w:tcW w:w="815" w:type="dxa"/>
            <w:tcBorders>
              <w:top w:val="single" w:color="000000" w:sz="4" w:space="0"/>
              <w:left w:val="single" w:color="000000" w:sz="4" w:space="0"/>
              <w:bottom w:val="single" w:color="000000" w:sz="4" w:space="0"/>
              <w:right w:val="single" w:color="000000" w:sz="4" w:space="0"/>
            </w:tcBorders>
            <w:vAlign w:val="center"/>
          </w:tcPr>
          <w:p>
            <w:pPr>
              <w:pStyle w:val="21"/>
              <w:overflowPunct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5837" w:type="dxa"/>
            <w:tcBorders>
              <w:top w:val="single" w:color="000000" w:sz="4" w:space="0"/>
              <w:left w:val="single" w:color="000000" w:sz="4" w:space="0"/>
              <w:bottom w:val="single" w:color="000000" w:sz="4" w:space="0"/>
              <w:right w:val="single" w:color="000000" w:sz="4" w:space="0"/>
            </w:tcBorders>
            <w:vAlign w:val="center"/>
          </w:tcPr>
          <w:p>
            <w:pPr>
              <w:pStyle w:val="21"/>
              <w:overflowPunct w:val="0"/>
              <w:snapToGrid w:val="0"/>
              <w:spacing w:line="2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同时具有线上（微信或APP提前预定）和线下（现场）直接兑换两种形式；通兑券需有特殊措施保障产品安全，保证兑换通畅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1060" w:type="dxa"/>
            <w:tcBorders>
              <w:top w:val="single" w:color="000000" w:sz="4" w:space="0"/>
              <w:left w:val="single" w:color="000000" w:sz="4" w:space="0"/>
              <w:bottom w:val="single" w:color="000000" w:sz="4" w:space="0"/>
              <w:right w:val="single" w:color="000000" w:sz="4" w:space="0"/>
            </w:tcBorders>
            <w:vAlign w:val="center"/>
          </w:tcPr>
          <w:p>
            <w:pPr>
              <w:pStyle w:val="21"/>
              <w:overflowPunct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785" w:type="dxa"/>
            <w:tcBorders>
              <w:top w:val="single" w:color="000000" w:sz="4" w:space="0"/>
              <w:left w:val="single" w:color="000000" w:sz="4" w:space="0"/>
              <w:bottom w:val="single" w:color="000000" w:sz="4" w:space="0"/>
              <w:right w:val="single" w:color="000000" w:sz="4" w:space="0"/>
            </w:tcBorders>
            <w:vAlign w:val="center"/>
          </w:tcPr>
          <w:p>
            <w:pPr>
              <w:pStyle w:val="21"/>
              <w:overflowPunct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中华广场排片情况</w:t>
            </w:r>
          </w:p>
        </w:tc>
        <w:tc>
          <w:tcPr>
            <w:tcW w:w="815" w:type="dxa"/>
            <w:tcBorders>
              <w:top w:val="single" w:color="000000" w:sz="4" w:space="0"/>
              <w:left w:val="single" w:color="000000" w:sz="4" w:space="0"/>
              <w:bottom w:val="single" w:color="000000" w:sz="4" w:space="0"/>
              <w:right w:val="single" w:color="000000" w:sz="4" w:space="0"/>
            </w:tcBorders>
            <w:vAlign w:val="center"/>
          </w:tcPr>
          <w:p>
            <w:pPr>
              <w:pStyle w:val="21"/>
              <w:overflowPunct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5837" w:type="dxa"/>
            <w:tcBorders>
              <w:top w:val="single" w:color="000000" w:sz="4" w:space="0"/>
              <w:left w:val="single" w:color="000000" w:sz="4" w:space="0"/>
              <w:bottom w:val="single" w:color="000000" w:sz="4" w:space="0"/>
              <w:right w:val="single" w:color="000000" w:sz="4" w:space="0"/>
            </w:tcBorders>
            <w:vAlign w:val="center"/>
          </w:tcPr>
          <w:p>
            <w:pPr>
              <w:pStyle w:val="21"/>
              <w:overflowPunct w:val="0"/>
              <w:snapToGrid w:val="0"/>
              <w:spacing w:line="2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中华广场电影院上线电影必须与电影院实际排片相同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1060" w:type="dxa"/>
            <w:tcBorders>
              <w:top w:val="single" w:color="000000" w:sz="4" w:space="0"/>
              <w:left w:val="single" w:color="000000" w:sz="4" w:space="0"/>
              <w:bottom w:val="single" w:color="000000" w:sz="4" w:space="0"/>
              <w:right w:val="single" w:color="000000" w:sz="4" w:space="0"/>
            </w:tcBorders>
            <w:vAlign w:val="center"/>
          </w:tcPr>
          <w:p>
            <w:pPr>
              <w:pStyle w:val="21"/>
              <w:overflowPunct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785" w:type="dxa"/>
            <w:tcBorders>
              <w:top w:val="single" w:color="000000" w:sz="4" w:space="0"/>
              <w:left w:val="single" w:color="000000" w:sz="4" w:space="0"/>
              <w:bottom w:val="single" w:color="000000" w:sz="4" w:space="0"/>
              <w:right w:val="single" w:color="000000" w:sz="4" w:space="0"/>
            </w:tcBorders>
            <w:vAlign w:val="center"/>
          </w:tcPr>
          <w:p>
            <w:pPr>
              <w:pStyle w:val="21"/>
              <w:overflowPunct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有效期</w:t>
            </w:r>
          </w:p>
        </w:tc>
        <w:tc>
          <w:tcPr>
            <w:tcW w:w="815" w:type="dxa"/>
            <w:tcBorders>
              <w:top w:val="single" w:color="000000" w:sz="4" w:space="0"/>
              <w:left w:val="single" w:color="000000" w:sz="4" w:space="0"/>
              <w:bottom w:val="single" w:color="000000" w:sz="4" w:space="0"/>
              <w:right w:val="single" w:color="000000" w:sz="4" w:space="0"/>
            </w:tcBorders>
            <w:vAlign w:val="center"/>
          </w:tcPr>
          <w:p>
            <w:pPr>
              <w:pStyle w:val="21"/>
              <w:overflowPunct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5837" w:type="dxa"/>
            <w:tcBorders>
              <w:top w:val="single" w:color="000000" w:sz="4" w:space="0"/>
              <w:left w:val="single" w:color="000000" w:sz="4" w:space="0"/>
              <w:bottom w:val="single" w:color="000000" w:sz="4" w:space="0"/>
              <w:right w:val="single" w:color="000000" w:sz="4" w:space="0"/>
            </w:tcBorders>
            <w:vAlign w:val="center"/>
          </w:tcPr>
          <w:p>
            <w:pPr>
              <w:pStyle w:val="21"/>
              <w:overflowPunct w:val="0"/>
              <w:snapToGrid w:val="0"/>
              <w:spacing w:line="2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通兑券有效使用期限≥12个月且能适当延期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060" w:type="dxa"/>
            <w:tcBorders>
              <w:top w:val="single" w:color="000000" w:sz="4" w:space="0"/>
              <w:left w:val="single" w:color="000000" w:sz="4" w:space="0"/>
              <w:bottom w:val="single" w:color="000000" w:sz="4" w:space="0"/>
              <w:right w:val="single" w:color="000000" w:sz="4" w:space="0"/>
            </w:tcBorders>
            <w:vAlign w:val="center"/>
          </w:tcPr>
          <w:p>
            <w:pPr>
              <w:pStyle w:val="21"/>
              <w:overflowPunct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785" w:type="dxa"/>
            <w:tcBorders>
              <w:top w:val="single" w:color="000000" w:sz="4" w:space="0"/>
              <w:left w:val="single" w:color="000000" w:sz="4" w:space="0"/>
              <w:bottom w:val="single" w:color="000000" w:sz="4" w:space="0"/>
              <w:right w:val="single" w:color="000000" w:sz="4" w:space="0"/>
            </w:tcBorders>
            <w:vAlign w:val="center"/>
          </w:tcPr>
          <w:p>
            <w:pPr>
              <w:pStyle w:val="21"/>
              <w:overflowPunct w:val="0"/>
              <w:snapToGrid w:val="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增值服务</w:t>
            </w:r>
          </w:p>
        </w:tc>
        <w:tc>
          <w:tcPr>
            <w:tcW w:w="815" w:type="dxa"/>
            <w:tcBorders>
              <w:top w:val="single" w:color="000000" w:sz="4" w:space="0"/>
              <w:left w:val="single" w:color="000000" w:sz="4" w:space="0"/>
              <w:bottom w:val="single" w:color="000000" w:sz="4" w:space="0"/>
              <w:right w:val="single" w:color="000000" w:sz="4" w:space="0"/>
            </w:tcBorders>
            <w:vAlign w:val="center"/>
          </w:tcPr>
          <w:p>
            <w:pPr>
              <w:pStyle w:val="21"/>
              <w:overflowPunct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5837" w:type="dxa"/>
            <w:tcBorders>
              <w:top w:val="single" w:color="000000" w:sz="4" w:space="0"/>
              <w:left w:val="single" w:color="000000" w:sz="4" w:space="0"/>
              <w:bottom w:val="single" w:color="000000" w:sz="4" w:space="0"/>
              <w:right w:val="single" w:color="000000" w:sz="4" w:space="0"/>
            </w:tcBorders>
            <w:vAlign w:val="center"/>
          </w:tcPr>
          <w:p>
            <w:pPr>
              <w:pStyle w:val="21"/>
              <w:overflowPunct w:val="0"/>
              <w:snapToGrid w:val="0"/>
              <w:spacing w:line="2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w:t>
            </w:r>
            <w:r>
              <w:rPr>
                <w:rFonts w:hint="eastAsia" w:asciiTheme="minorEastAsia" w:hAnsiTheme="minorEastAsia" w:eastAsiaTheme="minorEastAsia" w:cstheme="minorEastAsia"/>
                <w:sz w:val="24"/>
                <w:szCs w:val="24"/>
                <w:lang w:eastAsia="zh-CN"/>
              </w:rPr>
              <w:t>可全国通兑等</w:t>
            </w:r>
          </w:p>
        </w:tc>
      </w:tr>
    </w:tbl>
    <w:p>
      <w:pPr>
        <w:spacing w:line="600" w:lineRule="exact"/>
        <w:jc w:val="left"/>
        <w:rPr>
          <w:rFonts w:ascii="仿宋" w:hAnsi="仿宋" w:eastAsia="仿宋"/>
          <w:szCs w:val="21"/>
        </w:rPr>
      </w:pPr>
    </w:p>
    <w:sectPr>
      <w:pgSz w:w="11906" w:h="16838"/>
      <w:pgMar w:top="1440" w:right="1080" w:bottom="1440" w:left="108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C653C"/>
    <w:rsid w:val="000033B4"/>
    <w:rsid w:val="00004946"/>
    <w:rsid w:val="00015BCA"/>
    <w:rsid w:val="00022836"/>
    <w:rsid w:val="0002332A"/>
    <w:rsid w:val="00054533"/>
    <w:rsid w:val="00080DC9"/>
    <w:rsid w:val="00082882"/>
    <w:rsid w:val="000A46BD"/>
    <w:rsid w:val="000B1252"/>
    <w:rsid w:val="000B13F1"/>
    <w:rsid w:val="000B3966"/>
    <w:rsid w:val="000B49D8"/>
    <w:rsid w:val="000B76DE"/>
    <w:rsid w:val="000C759F"/>
    <w:rsid w:val="000D2127"/>
    <w:rsid w:val="000E43FC"/>
    <w:rsid w:val="000F1A81"/>
    <w:rsid w:val="000F415A"/>
    <w:rsid w:val="00101849"/>
    <w:rsid w:val="0010318C"/>
    <w:rsid w:val="0011572E"/>
    <w:rsid w:val="00136533"/>
    <w:rsid w:val="00151B20"/>
    <w:rsid w:val="00177581"/>
    <w:rsid w:val="001A06C4"/>
    <w:rsid w:val="001C319A"/>
    <w:rsid w:val="001C7D0F"/>
    <w:rsid w:val="001E33F6"/>
    <w:rsid w:val="001E5E02"/>
    <w:rsid w:val="00206D18"/>
    <w:rsid w:val="00253957"/>
    <w:rsid w:val="00281FEE"/>
    <w:rsid w:val="0029655B"/>
    <w:rsid w:val="0029668B"/>
    <w:rsid w:val="002B339E"/>
    <w:rsid w:val="002D7EFE"/>
    <w:rsid w:val="002E510A"/>
    <w:rsid w:val="003031A3"/>
    <w:rsid w:val="00306866"/>
    <w:rsid w:val="003106F0"/>
    <w:rsid w:val="00323AC7"/>
    <w:rsid w:val="00326AD6"/>
    <w:rsid w:val="003337E9"/>
    <w:rsid w:val="0036745B"/>
    <w:rsid w:val="00381B70"/>
    <w:rsid w:val="00392C5B"/>
    <w:rsid w:val="00397F60"/>
    <w:rsid w:val="003A0EEF"/>
    <w:rsid w:val="003B2E35"/>
    <w:rsid w:val="003B51CE"/>
    <w:rsid w:val="003B5B84"/>
    <w:rsid w:val="003C32F3"/>
    <w:rsid w:val="003F5C16"/>
    <w:rsid w:val="00400C21"/>
    <w:rsid w:val="004062E4"/>
    <w:rsid w:val="004110FA"/>
    <w:rsid w:val="00411675"/>
    <w:rsid w:val="00415040"/>
    <w:rsid w:val="00415901"/>
    <w:rsid w:val="004336C5"/>
    <w:rsid w:val="00445915"/>
    <w:rsid w:val="00452C9F"/>
    <w:rsid w:val="00465C1C"/>
    <w:rsid w:val="00472435"/>
    <w:rsid w:val="00480EAA"/>
    <w:rsid w:val="004A4E7F"/>
    <w:rsid w:val="004A7116"/>
    <w:rsid w:val="004E24F1"/>
    <w:rsid w:val="004E3AB0"/>
    <w:rsid w:val="004E692F"/>
    <w:rsid w:val="00500750"/>
    <w:rsid w:val="005330D7"/>
    <w:rsid w:val="00540188"/>
    <w:rsid w:val="005562B8"/>
    <w:rsid w:val="00587732"/>
    <w:rsid w:val="005A389C"/>
    <w:rsid w:val="005B4600"/>
    <w:rsid w:val="005B4D59"/>
    <w:rsid w:val="005C43B0"/>
    <w:rsid w:val="005C653C"/>
    <w:rsid w:val="005D167D"/>
    <w:rsid w:val="005F7F6D"/>
    <w:rsid w:val="006004D2"/>
    <w:rsid w:val="006028E3"/>
    <w:rsid w:val="00614CE1"/>
    <w:rsid w:val="00634FF1"/>
    <w:rsid w:val="00646081"/>
    <w:rsid w:val="006521DA"/>
    <w:rsid w:val="00671D2B"/>
    <w:rsid w:val="006B23F1"/>
    <w:rsid w:val="006D6910"/>
    <w:rsid w:val="006E418C"/>
    <w:rsid w:val="006E5FE5"/>
    <w:rsid w:val="006F23E3"/>
    <w:rsid w:val="00705074"/>
    <w:rsid w:val="00715D3A"/>
    <w:rsid w:val="00726356"/>
    <w:rsid w:val="00743505"/>
    <w:rsid w:val="00762126"/>
    <w:rsid w:val="0076307B"/>
    <w:rsid w:val="00763398"/>
    <w:rsid w:val="0078375D"/>
    <w:rsid w:val="00797BFA"/>
    <w:rsid w:val="007A6F51"/>
    <w:rsid w:val="007B5259"/>
    <w:rsid w:val="007C010C"/>
    <w:rsid w:val="007C1F3C"/>
    <w:rsid w:val="007D0870"/>
    <w:rsid w:val="007D2872"/>
    <w:rsid w:val="007D7C39"/>
    <w:rsid w:val="007E63A8"/>
    <w:rsid w:val="007E6866"/>
    <w:rsid w:val="007F1E3C"/>
    <w:rsid w:val="00811490"/>
    <w:rsid w:val="00812051"/>
    <w:rsid w:val="008122CF"/>
    <w:rsid w:val="00832422"/>
    <w:rsid w:val="008361C5"/>
    <w:rsid w:val="0085690F"/>
    <w:rsid w:val="008605FA"/>
    <w:rsid w:val="00876612"/>
    <w:rsid w:val="00884B02"/>
    <w:rsid w:val="008876AF"/>
    <w:rsid w:val="0089034F"/>
    <w:rsid w:val="00893366"/>
    <w:rsid w:val="008A2176"/>
    <w:rsid w:val="008A311C"/>
    <w:rsid w:val="00931A75"/>
    <w:rsid w:val="00951F09"/>
    <w:rsid w:val="009535B8"/>
    <w:rsid w:val="00954751"/>
    <w:rsid w:val="00960662"/>
    <w:rsid w:val="009B3BED"/>
    <w:rsid w:val="009B5A50"/>
    <w:rsid w:val="009E7297"/>
    <w:rsid w:val="009F7121"/>
    <w:rsid w:val="00A23D13"/>
    <w:rsid w:val="00A26C1E"/>
    <w:rsid w:val="00A433B6"/>
    <w:rsid w:val="00A4446B"/>
    <w:rsid w:val="00A470BB"/>
    <w:rsid w:val="00A60553"/>
    <w:rsid w:val="00A912C8"/>
    <w:rsid w:val="00A977EB"/>
    <w:rsid w:val="00AB104D"/>
    <w:rsid w:val="00AC6D1B"/>
    <w:rsid w:val="00AD0C90"/>
    <w:rsid w:val="00AD40ED"/>
    <w:rsid w:val="00AD5691"/>
    <w:rsid w:val="00AE1A87"/>
    <w:rsid w:val="00AE2A43"/>
    <w:rsid w:val="00AE7693"/>
    <w:rsid w:val="00AF365C"/>
    <w:rsid w:val="00B17069"/>
    <w:rsid w:val="00B30E89"/>
    <w:rsid w:val="00B37487"/>
    <w:rsid w:val="00B74C8A"/>
    <w:rsid w:val="00BA39A3"/>
    <w:rsid w:val="00BA76FF"/>
    <w:rsid w:val="00BB2B8F"/>
    <w:rsid w:val="00BB7021"/>
    <w:rsid w:val="00BD3AB8"/>
    <w:rsid w:val="00BE3776"/>
    <w:rsid w:val="00BF08C7"/>
    <w:rsid w:val="00BF15AD"/>
    <w:rsid w:val="00BF507B"/>
    <w:rsid w:val="00C22D8A"/>
    <w:rsid w:val="00C43071"/>
    <w:rsid w:val="00C513B1"/>
    <w:rsid w:val="00C73D09"/>
    <w:rsid w:val="00C837D0"/>
    <w:rsid w:val="00C90ED5"/>
    <w:rsid w:val="00CB4E61"/>
    <w:rsid w:val="00CD43C1"/>
    <w:rsid w:val="00CE5B0F"/>
    <w:rsid w:val="00CF50C5"/>
    <w:rsid w:val="00D41E76"/>
    <w:rsid w:val="00D46E20"/>
    <w:rsid w:val="00D70630"/>
    <w:rsid w:val="00D73C97"/>
    <w:rsid w:val="00DA3194"/>
    <w:rsid w:val="00DC2D32"/>
    <w:rsid w:val="00DF1873"/>
    <w:rsid w:val="00E076E7"/>
    <w:rsid w:val="00E20685"/>
    <w:rsid w:val="00E2271E"/>
    <w:rsid w:val="00E22CF6"/>
    <w:rsid w:val="00E471BB"/>
    <w:rsid w:val="00E63339"/>
    <w:rsid w:val="00EA466C"/>
    <w:rsid w:val="00ED5BC7"/>
    <w:rsid w:val="00ED7A51"/>
    <w:rsid w:val="00EE68CB"/>
    <w:rsid w:val="00EF324D"/>
    <w:rsid w:val="00F7331C"/>
    <w:rsid w:val="00FB33DA"/>
    <w:rsid w:val="00FB4351"/>
    <w:rsid w:val="00FB540D"/>
    <w:rsid w:val="00FC558E"/>
    <w:rsid w:val="00FF6062"/>
    <w:rsid w:val="04B54658"/>
    <w:rsid w:val="159C295C"/>
    <w:rsid w:val="4A55296C"/>
    <w:rsid w:val="4AF15143"/>
    <w:rsid w:val="5018687A"/>
    <w:rsid w:val="50C711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2">
    <w:name w:val="heading 3"/>
    <w:basedOn w:val="1"/>
    <w:next w:val="1"/>
    <w:link w:val="2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24"/>
    <w:qFormat/>
    <w:uiPriority w:val="0"/>
    <w:pPr>
      <w:ind w:firstLine="420"/>
    </w:pPr>
    <w:rPr>
      <w:rFonts w:ascii="Times New Roman" w:hAnsi="Times New Roman" w:eastAsia="宋体" w:cs="Times New Roman"/>
      <w:sz w:val="21"/>
      <w:szCs w:val="20"/>
    </w:rPr>
  </w:style>
  <w:style w:type="paragraph" w:styleId="4">
    <w:name w:val="Body Text"/>
    <w:basedOn w:val="1"/>
    <w:link w:val="20"/>
    <w:qFormat/>
    <w:uiPriority w:val="1"/>
    <w:pPr>
      <w:autoSpaceDE w:val="0"/>
      <w:autoSpaceDN w:val="0"/>
      <w:adjustRightInd w:val="0"/>
      <w:ind w:left="120"/>
      <w:jc w:val="left"/>
    </w:pPr>
    <w:rPr>
      <w:rFonts w:ascii="仿宋" w:hAnsi="Times New Roman" w:eastAsia="仿宋" w:cs="仿宋"/>
      <w:kern w:val="0"/>
      <w:szCs w:val="32"/>
    </w:rPr>
  </w:style>
  <w:style w:type="paragraph" w:styleId="5">
    <w:name w:val="Plain Text"/>
    <w:basedOn w:val="1"/>
    <w:link w:val="23"/>
    <w:unhideWhenUsed/>
    <w:qFormat/>
    <w:uiPriority w:val="0"/>
    <w:rPr>
      <w:rFonts w:ascii="宋体" w:hAnsi="Courier New" w:eastAsia="宋体" w:cs="Times New Roman"/>
      <w:kern w:val="0"/>
      <w:sz w:val="20"/>
      <w:szCs w:val="20"/>
    </w:rPr>
  </w:style>
  <w:style w:type="paragraph" w:styleId="6">
    <w:name w:val="Balloon Text"/>
    <w:basedOn w:val="1"/>
    <w:link w:val="19"/>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Emphasis"/>
    <w:basedOn w:val="11"/>
    <w:qFormat/>
    <w:uiPriority w:val="20"/>
    <w:rPr>
      <w:i/>
      <w:iCs/>
    </w:rPr>
  </w:style>
  <w:style w:type="character" w:styleId="13">
    <w:name w:val="Hyperlink"/>
    <w:basedOn w:val="11"/>
    <w:semiHidden/>
    <w:unhideWhenUsed/>
    <w:qFormat/>
    <w:uiPriority w:val="99"/>
    <w:rPr>
      <w:color w:val="0000FF"/>
      <w:u w:val="single"/>
    </w:rPr>
  </w:style>
  <w:style w:type="character" w:customStyle="1" w:styleId="14">
    <w:name w:val="页眉 Char"/>
    <w:basedOn w:val="11"/>
    <w:link w:val="8"/>
    <w:qFormat/>
    <w:uiPriority w:val="99"/>
    <w:rPr>
      <w:sz w:val="18"/>
      <w:szCs w:val="18"/>
    </w:rPr>
  </w:style>
  <w:style w:type="character" w:customStyle="1" w:styleId="15">
    <w:name w:val="页脚 Char"/>
    <w:basedOn w:val="11"/>
    <w:link w:val="7"/>
    <w:qFormat/>
    <w:uiPriority w:val="99"/>
    <w:rPr>
      <w:sz w:val="18"/>
      <w:szCs w:val="18"/>
    </w:rPr>
  </w:style>
  <w:style w:type="paragraph" w:customStyle="1" w:styleId="16">
    <w:name w:val="正文缩进2格"/>
    <w:basedOn w:val="1"/>
    <w:qFormat/>
    <w:uiPriority w:val="0"/>
    <w:pPr>
      <w:spacing w:line="600" w:lineRule="exact"/>
      <w:ind w:firstLine="639" w:firstLineChars="206"/>
    </w:pPr>
    <w:rPr>
      <w:rFonts w:ascii="仿宋_GB2312" w:hAnsi="宋体" w:eastAsia="仿宋_GB2312" w:cs="Times New Roman"/>
      <w:sz w:val="31"/>
      <w:szCs w:val="28"/>
    </w:rPr>
  </w:style>
  <w:style w:type="paragraph" w:customStyle="1" w:styleId="17">
    <w:name w:val="列出段落1"/>
    <w:basedOn w:val="1"/>
    <w:unhideWhenUsed/>
    <w:qFormat/>
    <w:uiPriority w:val="99"/>
    <w:pPr>
      <w:ind w:firstLine="420" w:firstLineChars="200"/>
    </w:pPr>
  </w:style>
  <w:style w:type="paragraph" w:styleId="18">
    <w:name w:val="List Paragraph"/>
    <w:basedOn w:val="1"/>
    <w:unhideWhenUsed/>
    <w:qFormat/>
    <w:uiPriority w:val="34"/>
    <w:pPr>
      <w:ind w:firstLine="420" w:firstLineChars="200"/>
    </w:pPr>
  </w:style>
  <w:style w:type="character" w:customStyle="1" w:styleId="19">
    <w:name w:val="批注框文本 Char"/>
    <w:basedOn w:val="11"/>
    <w:link w:val="6"/>
    <w:semiHidden/>
    <w:qFormat/>
    <w:uiPriority w:val="99"/>
    <w:rPr>
      <w:sz w:val="18"/>
      <w:szCs w:val="18"/>
    </w:rPr>
  </w:style>
  <w:style w:type="character" w:customStyle="1" w:styleId="20">
    <w:name w:val="正文文本 Char"/>
    <w:basedOn w:val="11"/>
    <w:link w:val="4"/>
    <w:qFormat/>
    <w:uiPriority w:val="1"/>
    <w:rPr>
      <w:rFonts w:ascii="仿宋" w:hAnsi="Times New Roman" w:eastAsia="仿宋" w:cs="仿宋"/>
      <w:kern w:val="0"/>
      <w:sz w:val="32"/>
      <w:szCs w:val="32"/>
    </w:rPr>
  </w:style>
  <w:style w:type="paragraph" w:customStyle="1" w:styleId="21">
    <w:name w:val="Table Paragraph"/>
    <w:basedOn w:val="1"/>
    <w:qFormat/>
    <w:uiPriority w:val="1"/>
    <w:pPr>
      <w:autoSpaceDE w:val="0"/>
      <w:autoSpaceDN w:val="0"/>
      <w:adjustRightInd w:val="0"/>
      <w:jc w:val="left"/>
    </w:pPr>
    <w:rPr>
      <w:rFonts w:ascii="Times New Roman" w:hAnsi="Times New Roman" w:eastAsia="宋体" w:cs="Times New Roman"/>
      <w:kern w:val="0"/>
      <w:sz w:val="24"/>
    </w:rPr>
  </w:style>
  <w:style w:type="character" w:customStyle="1" w:styleId="22">
    <w:name w:val="标题 3 Char"/>
    <w:basedOn w:val="11"/>
    <w:link w:val="2"/>
    <w:qFormat/>
    <w:uiPriority w:val="9"/>
    <w:rPr>
      <w:rFonts w:ascii="宋体" w:hAnsi="宋体" w:eastAsia="宋体" w:cs="宋体"/>
      <w:b/>
      <w:bCs/>
      <w:kern w:val="0"/>
      <w:sz w:val="27"/>
      <w:szCs w:val="27"/>
    </w:rPr>
  </w:style>
  <w:style w:type="character" w:customStyle="1" w:styleId="23">
    <w:name w:val="纯文本 Char"/>
    <w:basedOn w:val="11"/>
    <w:link w:val="5"/>
    <w:uiPriority w:val="0"/>
    <w:rPr>
      <w:rFonts w:ascii="宋体" w:hAnsi="Courier New" w:eastAsia="宋体" w:cs="Times New Roman"/>
      <w:kern w:val="0"/>
      <w:sz w:val="20"/>
      <w:szCs w:val="20"/>
    </w:rPr>
  </w:style>
  <w:style w:type="character" w:customStyle="1" w:styleId="24">
    <w:name w:val="正文缩进 Char"/>
    <w:link w:val="3"/>
    <w:qFormat/>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86BB71-C9C1-4783-9727-4937E776B04A}">
  <ds:schemaRefs/>
</ds:datastoreItem>
</file>

<file path=docProps/app.xml><?xml version="1.0" encoding="utf-8"?>
<Properties xmlns="http://schemas.openxmlformats.org/officeDocument/2006/extended-properties" xmlns:vt="http://schemas.openxmlformats.org/officeDocument/2006/docPropsVTypes">
  <Template>Normal</Template>
  <Company>www.deepinghost.com</Company>
  <Pages>2</Pages>
  <Words>108</Words>
  <Characters>621</Characters>
  <Lines>5</Lines>
  <Paragraphs>1</Paragraphs>
  <TotalTime>1675</TotalTime>
  <ScaleCrop>false</ScaleCrop>
  <LinksUpToDate>false</LinksUpToDate>
  <CharactersWithSpaces>728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2017-01-11T12:17:00Z</dcterms:created>
  <dc:creator>颜桁</dc:creator>
  <cp:lastModifiedBy>舜娟</cp:lastModifiedBy>
  <cp:lastPrinted>2019-11-18T06:50:00Z</cp:lastPrinted>
  <dcterms:modified xsi:type="dcterms:W3CDTF">2021-11-30T09:34:52Z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F8289AAE78434E5190078010E000C73F</vt:lpwstr>
  </property>
</Properties>
</file>