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C3" w:rsidRPr="00D805C3" w:rsidRDefault="00D805C3" w:rsidP="00D805C3">
      <w:pPr>
        <w:jc w:val="center"/>
        <w:rPr>
          <w:rFonts w:asciiTheme="minorEastAsia" w:hAnsiTheme="minorEastAsia" w:hint="eastAsia"/>
          <w:b/>
          <w:sz w:val="44"/>
          <w:szCs w:val="44"/>
        </w:rPr>
      </w:pPr>
      <w:r w:rsidRPr="00D805C3">
        <w:rPr>
          <w:rFonts w:asciiTheme="minorEastAsia" w:hAnsiTheme="minorEastAsia" w:hint="eastAsia"/>
          <w:b/>
          <w:sz w:val="44"/>
          <w:szCs w:val="44"/>
        </w:rPr>
        <w:t>GPU服务器采购项目需求</w:t>
      </w:r>
    </w:p>
    <w:p w:rsidR="00C12B97" w:rsidRDefault="007F4532">
      <w:pPr>
        <w:numPr>
          <w:ilvl w:val="0"/>
          <w:numId w:val="1"/>
        </w:numPr>
        <w:jc w:val="left"/>
        <w:rPr>
          <w:sz w:val="28"/>
          <w:szCs w:val="28"/>
        </w:rPr>
      </w:pPr>
      <w:r>
        <w:rPr>
          <w:rFonts w:hint="eastAsia"/>
          <w:sz w:val="28"/>
          <w:szCs w:val="28"/>
        </w:rPr>
        <w:t>采购清单</w:t>
      </w:r>
    </w:p>
    <w:tbl>
      <w:tblPr>
        <w:tblStyle w:val="a3"/>
        <w:tblW w:w="5724" w:type="dxa"/>
        <w:jc w:val="center"/>
        <w:tblLook w:val="04A0" w:firstRow="1" w:lastRow="0" w:firstColumn="1" w:lastColumn="0" w:noHBand="0" w:noVBand="1"/>
      </w:tblPr>
      <w:tblGrid>
        <w:gridCol w:w="1230"/>
        <w:gridCol w:w="2544"/>
        <w:gridCol w:w="1950"/>
      </w:tblGrid>
      <w:tr w:rsidR="00C12B97">
        <w:trPr>
          <w:jc w:val="center"/>
        </w:trPr>
        <w:tc>
          <w:tcPr>
            <w:tcW w:w="1230" w:type="dxa"/>
          </w:tcPr>
          <w:p w:rsidR="00C12B97" w:rsidRDefault="007F4532">
            <w:pPr>
              <w:widowControl/>
              <w:jc w:val="center"/>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序号</w:t>
            </w:r>
          </w:p>
        </w:tc>
        <w:tc>
          <w:tcPr>
            <w:tcW w:w="2544" w:type="dxa"/>
          </w:tcPr>
          <w:p w:rsidR="00C12B97" w:rsidRDefault="007F4532">
            <w:pPr>
              <w:widowControl/>
              <w:jc w:val="center"/>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设备名称</w:t>
            </w:r>
          </w:p>
        </w:tc>
        <w:tc>
          <w:tcPr>
            <w:tcW w:w="1950" w:type="dxa"/>
          </w:tcPr>
          <w:p w:rsidR="00C12B97" w:rsidRDefault="007F4532">
            <w:pPr>
              <w:widowControl/>
              <w:jc w:val="center"/>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数量（台）</w:t>
            </w:r>
          </w:p>
        </w:tc>
      </w:tr>
      <w:tr w:rsidR="00C12B97">
        <w:trPr>
          <w:jc w:val="center"/>
        </w:trPr>
        <w:tc>
          <w:tcPr>
            <w:tcW w:w="1230" w:type="dxa"/>
          </w:tcPr>
          <w:p w:rsidR="00C12B97" w:rsidRDefault="007F4532">
            <w:pPr>
              <w:widowControl/>
              <w:jc w:val="center"/>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c>
          <w:tcPr>
            <w:tcW w:w="2544" w:type="dxa"/>
          </w:tcPr>
          <w:p w:rsidR="00C12B97" w:rsidRDefault="007F4532">
            <w:pPr>
              <w:widowControl/>
              <w:jc w:val="center"/>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GPU</w:t>
            </w:r>
            <w:r>
              <w:rPr>
                <w:rFonts w:ascii="宋体" w:eastAsia="宋体" w:hAnsi="宋体" w:cs="宋体" w:hint="eastAsia"/>
                <w:color w:val="000000"/>
                <w:kern w:val="0"/>
                <w:sz w:val="24"/>
                <w:lang w:bidi="ar"/>
              </w:rPr>
              <w:t>服务器</w:t>
            </w:r>
          </w:p>
        </w:tc>
        <w:tc>
          <w:tcPr>
            <w:tcW w:w="1950" w:type="dxa"/>
          </w:tcPr>
          <w:p w:rsidR="00C12B97" w:rsidRDefault="007F4532">
            <w:pPr>
              <w:widowControl/>
              <w:jc w:val="center"/>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1</w:t>
            </w:r>
          </w:p>
        </w:tc>
      </w:tr>
    </w:tbl>
    <w:p w:rsidR="00C12B97" w:rsidRDefault="00C12B97">
      <w:pPr>
        <w:jc w:val="left"/>
      </w:pPr>
    </w:p>
    <w:tbl>
      <w:tblPr>
        <w:tblpPr w:leftFromText="180" w:rightFromText="180" w:vertAnchor="page" w:horzAnchor="margin" w:tblpXSpec="center" w:tblpY="4126"/>
        <w:tblOverlap w:val="never"/>
        <w:tblW w:w="8943" w:type="dxa"/>
        <w:tblLayout w:type="fixed"/>
        <w:tblCellMar>
          <w:left w:w="0" w:type="dxa"/>
          <w:right w:w="0" w:type="dxa"/>
        </w:tblCellMar>
        <w:tblLook w:val="04A0" w:firstRow="1" w:lastRow="0" w:firstColumn="1" w:lastColumn="0" w:noHBand="0" w:noVBand="1"/>
      </w:tblPr>
      <w:tblGrid>
        <w:gridCol w:w="772"/>
        <w:gridCol w:w="927"/>
        <w:gridCol w:w="7244"/>
      </w:tblGrid>
      <w:tr w:rsidR="00D805C3" w:rsidTr="00D805C3">
        <w:trPr>
          <w:trHeight w:val="324"/>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sz w:val="22"/>
                <w:szCs w:val="22"/>
              </w:rPr>
            </w:pPr>
            <w:r>
              <w:rPr>
                <w:rFonts w:ascii="微软雅黑" w:eastAsia="微软雅黑" w:hAnsi="微软雅黑" w:cs="微软雅黑" w:hint="eastAsia"/>
                <w:b/>
                <w:color w:val="000000"/>
                <w:kern w:val="0"/>
                <w:sz w:val="22"/>
                <w:szCs w:val="22"/>
                <w:lang w:bidi="ar"/>
              </w:rPr>
              <w:t>序号</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lang w:bidi="ar"/>
              </w:rPr>
              <w:t>指标项</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微软雅黑" w:eastAsia="微软雅黑" w:hAnsi="微软雅黑" w:cs="微软雅黑"/>
                <w:b/>
                <w:color w:val="000000"/>
                <w:sz w:val="22"/>
                <w:szCs w:val="22"/>
              </w:rPr>
            </w:pPr>
            <w:r>
              <w:rPr>
                <w:rFonts w:ascii="微软雅黑" w:eastAsia="微软雅黑" w:hAnsi="微软雅黑" w:cs="微软雅黑" w:hint="eastAsia"/>
                <w:b/>
                <w:color w:val="000000"/>
                <w:kern w:val="0"/>
                <w:sz w:val="22"/>
                <w:szCs w:val="22"/>
                <w:lang w:bidi="ar"/>
              </w:rPr>
              <w:t>指标要求</w:t>
            </w:r>
          </w:p>
        </w:tc>
      </w:tr>
      <w:tr w:rsidR="00D805C3" w:rsidTr="00D805C3">
        <w:trPr>
          <w:trHeight w:val="300"/>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品牌</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国产品牌，非OEM产品。</w:t>
            </w:r>
          </w:p>
        </w:tc>
      </w:tr>
      <w:tr w:rsidR="00D805C3" w:rsidTr="00D805C3">
        <w:trPr>
          <w:trHeight w:val="936"/>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2</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设计</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整机模块化架构设计，支持机框免下架部件维护，降低维护成本；支持CPU和GPU独立演进更换，减少设备升级换代投资成本。需提供官方证明材料并加盖投标厂商公章或投标专用章。</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3</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CPU</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配置颗英特尔至强银牌处理器，主频:≥2.1GHz，≥16核，L3缓存≥22MB。</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4</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内存</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内存配置容量：≥128GB，内存槽位≥24个。</w:t>
            </w:r>
          </w:p>
        </w:tc>
      </w:tr>
      <w:tr w:rsidR="00D805C3" w:rsidTr="00D805C3">
        <w:trPr>
          <w:trHeight w:val="620"/>
        </w:trPr>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5</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存储</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可扩展≥2*2.5"热插拔SAS/SATA + 8*3.5"热插拔SAS/SATA + 6*2.5" NVMe SSD，支持与服务器同品牌自研NVMe SSD硬盘，需提供官方证明材料并加盖投标厂商公章或投标专用章。</w:t>
            </w:r>
          </w:p>
        </w:tc>
      </w:tr>
      <w:tr w:rsidR="00D805C3" w:rsidTr="00D805C3">
        <w:trPr>
          <w:trHeight w:val="360"/>
        </w:trPr>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b/>
                <w:color w:val="000000"/>
                <w:kern w:val="0"/>
                <w:sz w:val="20"/>
                <w:szCs w:val="20"/>
                <w:lang w:bidi="ar"/>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szCs w:val="21"/>
              </w:rPr>
            </w:pP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本次硬盘配置≥5块14T SATA 硬盘。</w:t>
            </w:r>
          </w:p>
        </w:tc>
      </w:tr>
      <w:tr w:rsidR="00D805C3" w:rsidTr="00D805C3">
        <w:trPr>
          <w:trHeight w:val="312"/>
        </w:trPr>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b/>
                <w:color w:val="000000"/>
                <w:kern w:val="0"/>
                <w:sz w:val="20"/>
                <w:szCs w:val="20"/>
                <w:lang w:bidi="ar"/>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szCs w:val="21"/>
              </w:rPr>
            </w:pP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配置磁盘阵列卡，缓存≥2G，支持RAID 0/1/10/5/50/6/60，支持超级电容保护。</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6</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板载网口</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支持2*10GE板载光口。</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7</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I/O扩展</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PCIe拓扑机型I/O插槽总数：≥13个</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8</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显卡</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szCs w:val="21"/>
              </w:rPr>
              <w:t>本次配置≥3张NVIDIA Rtx2080 8G 涡轮定制 显卡</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9</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电源</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满配冗余热插拔电源，并提供配套的电源连接线：单电源≥2200W，2+2冗余。</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10</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风扇</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color w:val="000000"/>
                <w:kern w:val="0"/>
                <w:sz w:val="24"/>
                <w:lang w:bidi="ar"/>
              </w:rPr>
            </w:pPr>
            <w:r>
              <w:rPr>
                <w:rFonts w:ascii="宋体" w:eastAsia="宋体" w:hAnsi="宋体" w:cs="宋体" w:hint="eastAsia"/>
                <w:color w:val="000000"/>
                <w:kern w:val="0"/>
                <w:sz w:val="24"/>
                <w:lang w:bidi="ar"/>
              </w:rPr>
              <w:t>配置≥6个热插拔冗余风扇,支持单风扇失效。</w:t>
            </w:r>
          </w:p>
        </w:tc>
      </w:tr>
      <w:tr w:rsidR="00D805C3" w:rsidTr="00D805C3">
        <w:trPr>
          <w:trHeight w:val="900"/>
        </w:trPr>
        <w:tc>
          <w:tcPr>
            <w:tcW w:w="772" w:type="dxa"/>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11</w:t>
            </w:r>
          </w:p>
        </w:tc>
        <w:tc>
          <w:tcPr>
            <w:tcW w:w="927" w:type="dxa"/>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szCs w:val="21"/>
              </w:rPr>
            </w:pPr>
            <w:r>
              <w:rPr>
                <w:rFonts w:ascii="宋体" w:eastAsia="宋体" w:hAnsi="宋体" w:cs="宋体" w:hint="eastAsia"/>
                <w:szCs w:val="21"/>
              </w:rPr>
              <w:t>可管理性</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具备带外故障检测功能，不依赖于OS，对CPU故障；I2C和 IPMB总线故障；内存故障；PCIe设备故障；硬盘故障，系统宕机、黑屏、蓝屏和异常重启故障等进行分析和定位。需提供官方证明材料并加盖投标厂商公章或投标专用章。</w:t>
            </w:r>
          </w:p>
        </w:tc>
      </w:tr>
      <w:tr w:rsidR="00D805C3" w:rsidTr="00D805C3">
        <w:trPr>
          <w:trHeight w:val="312"/>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12</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数据迁移</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配置在线数据热迁移软件。</w:t>
            </w:r>
          </w:p>
        </w:tc>
      </w:tr>
      <w:tr w:rsidR="00D805C3" w:rsidTr="00D805C3">
        <w:trPr>
          <w:trHeight w:val="90"/>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13</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安全特性</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服务器管理系统支持国产自研管理芯片，需提供官方证明材料并加盖投标厂商公章或投标专用章。</w:t>
            </w:r>
          </w:p>
        </w:tc>
      </w:tr>
      <w:tr w:rsidR="00D805C3" w:rsidTr="00D805C3">
        <w:trPr>
          <w:trHeight w:val="900"/>
        </w:trPr>
        <w:tc>
          <w:tcPr>
            <w:tcW w:w="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14</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widowControl/>
              <w:jc w:val="center"/>
              <w:textAlignment w:val="center"/>
              <w:rPr>
                <w:rFonts w:ascii="宋体" w:eastAsia="宋体" w:hAnsi="宋体" w:cs="宋体"/>
                <w:szCs w:val="21"/>
              </w:rPr>
            </w:pPr>
            <w:r>
              <w:rPr>
                <w:rFonts w:ascii="宋体" w:eastAsia="宋体" w:hAnsi="宋体" w:cs="宋体" w:hint="eastAsia"/>
                <w:szCs w:val="21"/>
              </w:rPr>
              <w:t>资质要求</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具备环境、机械、EMC、安规的测试能力，且具备由中国合格评定国家认可委员会颁发的认可证书。需提供官方证明材料并加盖投标厂商公章或投标专用章。</w:t>
            </w:r>
          </w:p>
        </w:tc>
      </w:tr>
      <w:tr w:rsidR="00D805C3" w:rsidTr="00D805C3">
        <w:trPr>
          <w:trHeight w:val="600"/>
        </w:trPr>
        <w:tc>
          <w:tcPr>
            <w:tcW w:w="77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b/>
                <w:color w:val="000000"/>
                <w:kern w:val="0"/>
                <w:sz w:val="20"/>
                <w:szCs w:val="20"/>
                <w:lang w:bidi="ar"/>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szCs w:val="21"/>
              </w:rPr>
            </w:pP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服务器的制造商和生产厂为同一家企业，具备权威机构颁发的ISO28000体系证书，需提供证书证明材料并加盖投标厂商公章或投标专用章。</w:t>
            </w:r>
          </w:p>
        </w:tc>
      </w:tr>
      <w:tr w:rsidR="00D805C3" w:rsidTr="00D805C3">
        <w:trPr>
          <w:trHeight w:val="600"/>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b/>
                <w:color w:val="000000"/>
                <w:kern w:val="0"/>
                <w:sz w:val="20"/>
                <w:szCs w:val="20"/>
                <w:lang w:bidi="ar"/>
              </w:rPr>
            </w:pPr>
            <w:r>
              <w:rPr>
                <w:rFonts w:ascii="宋体" w:eastAsia="宋体" w:hAnsi="宋体" w:cs="宋体" w:hint="eastAsia"/>
                <w:b/>
                <w:color w:val="000000"/>
                <w:kern w:val="0"/>
                <w:sz w:val="20"/>
                <w:szCs w:val="20"/>
                <w:lang w:bidi="ar"/>
              </w:rPr>
              <w:t>15</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D805C3" w:rsidRDefault="00D805C3" w:rsidP="00D805C3">
            <w:pPr>
              <w:jc w:val="center"/>
              <w:rPr>
                <w:rFonts w:ascii="宋体" w:eastAsia="宋体" w:hAnsi="宋体" w:cs="宋体"/>
                <w:szCs w:val="21"/>
              </w:rPr>
            </w:pPr>
            <w:r>
              <w:rPr>
                <w:rFonts w:ascii="宋体" w:eastAsia="宋体" w:hAnsi="宋体" w:cs="宋体" w:hint="eastAsia"/>
                <w:szCs w:val="21"/>
              </w:rPr>
              <w:t>服务</w:t>
            </w:r>
          </w:p>
        </w:tc>
        <w:tc>
          <w:tcPr>
            <w:tcW w:w="72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cPr>
          <w:p w:rsidR="00D805C3" w:rsidRDefault="00D805C3" w:rsidP="00D805C3">
            <w:pPr>
              <w:widowControl/>
              <w:jc w:val="left"/>
              <w:textAlignment w:val="top"/>
              <w:rPr>
                <w:rFonts w:ascii="宋体" w:eastAsia="宋体" w:hAnsi="宋体" w:cs="宋体"/>
                <w:kern w:val="0"/>
                <w:sz w:val="24"/>
                <w:lang w:bidi="ar"/>
              </w:rPr>
            </w:pPr>
            <w:r>
              <w:rPr>
                <w:rFonts w:ascii="宋体" w:eastAsia="宋体" w:hAnsi="宋体" w:cs="宋体" w:hint="eastAsia"/>
                <w:kern w:val="0"/>
                <w:sz w:val="24"/>
                <w:lang w:bidi="ar"/>
              </w:rPr>
              <w:t>原厂3年维保服务，非制造厂商投标须提供制造厂商针对本项目出具的授权书及售后服务承诺，加盖服务器制造厂商公章或投标专用章。</w:t>
            </w:r>
          </w:p>
        </w:tc>
      </w:tr>
    </w:tbl>
    <w:p w:rsidR="00C12B97" w:rsidRDefault="007F4532">
      <w:pPr>
        <w:numPr>
          <w:ilvl w:val="0"/>
          <w:numId w:val="1"/>
        </w:numPr>
        <w:jc w:val="left"/>
        <w:rPr>
          <w:sz w:val="28"/>
          <w:szCs w:val="28"/>
        </w:rPr>
      </w:pPr>
      <w:r>
        <w:rPr>
          <w:rFonts w:hint="eastAsia"/>
          <w:sz w:val="28"/>
          <w:szCs w:val="28"/>
        </w:rPr>
        <w:t>参数要求</w:t>
      </w:r>
      <w:bookmarkStart w:id="0" w:name="_GoBack"/>
      <w:bookmarkEnd w:id="0"/>
    </w:p>
    <w:sectPr w:rsidR="00C12B97" w:rsidSect="00D805C3">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32" w:rsidRDefault="007F4532" w:rsidP="00D805C3">
      <w:r>
        <w:separator/>
      </w:r>
    </w:p>
  </w:endnote>
  <w:endnote w:type="continuationSeparator" w:id="0">
    <w:p w:rsidR="007F4532" w:rsidRDefault="007F4532" w:rsidP="00D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32" w:rsidRDefault="007F4532" w:rsidP="00D805C3">
      <w:r>
        <w:separator/>
      </w:r>
    </w:p>
  </w:footnote>
  <w:footnote w:type="continuationSeparator" w:id="0">
    <w:p w:rsidR="007F4532" w:rsidRDefault="007F4532" w:rsidP="00D80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86FB"/>
    <w:multiLevelType w:val="singleLevel"/>
    <w:tmpl w:val="09AC86FB"/>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97"/>
    <w:rsid w:val="007F4532"/>
    <w:rsid w:val="00C12B97"/>
    <w:rsid w:val="00D805C3"/>
    <w:rsid w:val="0DBB3A46"/>
    <w:rsid w:val="3405240F"/>
    <w:rsid w:val="34237B93"/>
    <w:rsid w:val="37B327C4"/>
    <w:rsid w:val="4DD4153E"/>
    <w:rsid w:val="67FE1237"/>
    <w:rsid w:val="6D52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D551A"/>
  <w15:docId w15:val="{0043FB5F-9A55-4ACE-9EFD-503627B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05C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805C3"/>
    <w:rPr>
      <w:rFonts w:asciiTheme="minorHAnsi" w:eastAsiaTheme="minorEastAsia" w:hAnsiTheme="minorHAnsi" w:cstheme="minorBidi"/>
      <w:kern w:val="2"/>
      <w:sz w:val="18"/>
      <w:szCs w:val="18"/>
    </w:rPr>
  </w:style>
  <w:style w:type="paragraph" w:styleId="a6">
    <w:name w:val="footer"/>
    <w:basedOn w:val="a"/>
    <w:link w:val="a7"/>
    <w:rsid w:val="00D805C3"/>
    <w:pPr>
      <w:tabs>
        <w:tab w:val="center" w:pos="4153"/>
        <w:tab w:val="right" w:pos="8306"/>
      </w:tabs>
      <w:snapToGrid w:val="0"/>
      <w:jc w:val="left"/>
    </w:pPr>
    <w:rPr>
      <w:sz w:val="18"/>
      <w:szCs w:val="18"/>
    </w:rPr>
  </w:style>
  <w:style w:type="character" w:customStyle="1" w:styleId="a7">
    <w:name w:val="页脚 字符"/>
    <w:basedOn w:val="a0"/>
    <w:link w:val="a6"/>
    <w:rsid w:val="00D805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刘楠</dc:creator>
  <cp:lastModifiedBy>伍睿</cp:lastModifiedBy>
  <cp:revision>2</cp:revision>
  <dcterms:created xsi:type="dcterms:W3CDTF">2014-10-29T20:08:00Z</dcterms:created>
  <dcterms:modified xsi:type="dcterms:W3CDTF">2020-11-30T06:35:00Z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